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6771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261620</wp:posOffset>
            </wp:positionV>
            <wp:extent cx="6771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pacing w:after="0" w:line="39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115570</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143510</wp:posOffset>
            </wp:positionV>
            <wp:extent cx="1427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95" w:lineRule="exact"/>
        <w:rPr>
          <w:sz w:val="24"/>
          <w:szCs w:val="24"/>
          <w:color w:val="auto"/>
        </w:rPr>
      </w:pPr>
    </w:p>
    <w:p>
      <w:pPr>
        <w:ind w:left="5500" w:right="1720" w:hanging="5208"/>
        <w:spacing w:after="0" w:line="311" w:lineRule="auto"/>
        <w:tabs>
          <w:tab w:leader="none" w:pos="7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33" w:lineRule="exact"/>
        <w:rPr>
          <w:sz w:val="24"/>
          <w:szCs w:val="24"/>
          <w:color w:val="auto"/>
        </w:rPr>
      </w:pPr>
    </w:p>
    <w:p>
      <w:pPr>
        <w:ind w:left="720" w:hanging="428"/>
        <w:spacing w:after="0"/>
        <w:tabs>
          <w:tab w:leader="none" w:pos="7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ind w:left="720" w:hanging="428"/>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150495</wp:posOffset>
            </wp:positionV>
            <wp:extent cx="929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720" w:hanging="428"/>
        <w:spacing w:after="0"/>
        <w:tabs>
          <w:tab w:leader="none" w:pos="7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4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Date of event requiring this shell company report</w:t>
      </w: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109220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6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8"/>
          <w:szCs w:val="38"/>
          <w:b w:val="1"/>
          <w:bCs w:val="1"/>
          <w:color w:val="auto"/>
        </w:rPr>
        <w:t>MELCO RESORTS &amp; ENTERTAINMENT LIMITED</w:t>
      </w:r>
    </w:p>
    <w:p>
      <w:pPr>
        <w:spacing w:after="0" w:line="4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111760</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(Jurisdiction of incorporation or organization)</w:t>
      </w:r>
    </w:p>
    <w:p>
      <w:pPr>
        <w:spacing w:after="0" w:line="19"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71 Robinson Road #04-03, Singapore 068895 and 38th Floor, The Centrium, 60 Wyndham Street, Central, Hong Kong</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1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Amy Kuzdowicz, Senior Vice President, Chief Accounting Officer Tel +65 8488 9770 or +852 2598 3600, Fax +852 2537 3618</w:t>
      </w:r>
    </w:p>
    <w:p>
      <w:pPr>
        <w:jc w:val="center"/>
        <w:ind w:right="-279"/>
        <w:spacing w:after="0" w:line="221" w:lineRule="auto"/>
        <w:rPr>
          <w:sz w:val="20"/>
          <w:szCs w:val="20"/>
          <w:color w:val="auto"/>
        </w:rPr>
      </w:pPr>
      <w:r>
        <w:rPr>
          <w:rFonts w:ascii="Times New Roman" w:cs="Times New Roman" w:eastAsia="Times New Roman" w:hAnsi="Times New Roman"/>
          <w:sz w:val="15"/>
          <w:szCs w:val="15"/>
          <w:b w:val="1"/>
          <w:bCs w:val="1"/>
          <w:color w:val="auto"/>
        </w:rPr>
        <w:t>71 Robinson Road #04-03, Singapore 068895</w:t>
      </w: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(Name, Telephone, E-mail and/or Facsimile number and Address of Company Contact Person)</w:t>
      </w:r>
    </w:p>
    <w:p>
      <w:pPr>
        <w:spacing w:after="0" w:line="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12(b) of the Act:</w:t>
      </w:r>
    </w:p>
    <w:p>
      <w:pPr>
        <w:spacing w:after="0" w:line="50" w:lineRule="exact"/>
        <w:rPr>
          <w:sz w:val="24"/>
          <w:szCs w:val="24"/>
          <w:color w:val="auto"/>
        </w:rPr>
      </w:pPr>
    </w:p>
    <w:tbl>
      <w:tblPr>
        <w:tblLayout w:type="fixed"/>
        <w:tblInd w:w="300" w:type="dxa"/>
        <w:tblCellMar>
          <w:top w:w="0" w:type="dxa"/>
          <w:left w:w="0" w:type="dxa"/>
          <w:bottom w:w="0" w:type="dxa"/>
          <w:right w:w="0" w:type="dxa"/>
        </w:tblCellMar>
      </w:tblPr>
      <w:tr>
        <w:trPr>
          <w:trHeight w:val="189"/>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Trading 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r>
      <w:tr>
        <w:trPr>
          <w:trHeight w:val="131"/>
        </w:trPr>
        <w:tc>
          <w:tcPr>
            <w:tcW w:w="36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8"/>
              </w:rPr>
              <w:t>American depositary shares</w:t>
            </w:r>
          </w:p>
        </w:tc>
        <w:tc>
          <w:tcPr>
            <w:tcW w:w="100" w:type="dxa"/>
            <w:vAlign w:val="bottom"/>
          </w:tcPr>
          <w:p>
            <w:pPr>
              <w:spacing w:after="0"/>
              <w:rPr>
                <w:sz w:val="11"/>
                <w:szCs w:val="11"/>
                <w:color w:val="auto"/>
              </w:rPr>
            </w:pPr>
          </w:p>
        </w:tc>
        <w:tc>
          <w:tcPr>
            <w:tcW w:w="3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8"/>
              </w:rPr>
              <w:t>MLCO</w:t>
            </w:r>
          </w:p>
        </w:tc>
        <w:tc>
          <w:tcPr>
            <w:tcW w:w="100" w:type="dxa"/>
            <w:vAlign w:val="bottom"/>
          </w:tcPr>
          <w:p>
            <w:pPr>
              <w:spacing w:after="0"/>
              <w:rPr>
                <w:sz w:val="11"/>
                <w:szCs w:val="11"/>
                <w:color w:val="auto"/>
              </w:rPr>
            </w:pPr>
          </w:p>
        </w:tc>
        <w:tc>
          <w:tcPr>
            <w:tcW w:w="3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The Nasdaq Stock Market LLC</w:t>
            </w:r>
          </w:p>
        </w:tc>
      </w:tr>
      <w:tr>
        <w:trPr>
          <w:trHeight w:val="194"/>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each representing three ordinary shares</w:t>
            </w: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(The Nasdaq Global Select Market)</w:t>
            </w:r>
          </w:p>
        </w:tc>
      </w:tr>
    </w:tbl>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12(g) of the Act:</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(Title of Class)</w:t>
      </w:r>
    </w:p>
    <w:p>
      <w:pPr>
        <w:spacing w:after="0" w:line="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for which there is a reporting obligation pursuant to Section 15(d) of the Act:</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98425</wp:posOffset>
            </wp:positionV>
            <wp:extent cx="1427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Indicate the number of outstanding shares of each of the issuer’s classes of capital or common stock as of the close of the period covered by the annual report.</w:t>
      </w:r>
    </w:p>
    <w:p>
      <w:pPr>
        <w:spacing w:after="0" w:line="4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1,329,679,067 ordinary shares outstanding as of December 31, 2023</w:t>
      </w:r>
    </w:p>
    <w:p>
      <w:pPr>
        <w:spacing w:after="0" w:line="32"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67"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5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Note – Checking the box above will not relieve any registrant required to file reports pursuant to Section 13 or 15(d) of the Securities Exchange Act of 1934 from their obligations under those Sections.</w:t>
      </w:r>
    </w:p>
    <w:p>
      <w:pPr>
        <w:spacing w:after="0" w:line="86"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2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spacing w:after="0" w:line="266" w:lineRule="auto"/>
        <w:rPr>
          <w:sz w:val="20"/>
          <w:szCs w:val="20"/>
          <w:color w:val="auto"/>
        </w:rPr>
      </w:pPr>
      <w:r>
        <w:rPr>
          <w:rFonts w:ascii="Times New Roman" w:cs="Times New Roman" w:eastAsia="Times New Roman" w:hAnsi="Times New Roman"/>
          <w:sz w:val="12"/>
          <w:szCs w:val="12"/>
          <w:color w:val="auto"/>
        </w:rPr>
        <w:t>I</w:t>
      </w:r>
      <w:r>
        <w:rPr>
          <w:rFonts w:ascii="Times New Roman" w:cs="Times New Roman" w:eastAsia="Times New Roman" w:hAnsi="Times New Roman"/>
          <w:sz w:val="12"/>
          <w:szCs w:val="12"/>
          <w:b w:val="1"/>
          <w:bCs w:val="1"/>
          <w:color w:val="auto"/>
        </w:rPr>
        <w:t>ndicate by check mark whether the registrant is a large accelerated filer, an accelerated filer, a non-accelerated filer, or an emerging growth company. See definition of “large accelerated filer,” “accelerated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filer,” and “emerging growth company” in Rule 12b-2 of the Exchange Act. (Check one):</w:t>
      </w:r>
    </w:p>
    <w:p>
      <w:pPr>
        <w:spacing w:after="0" w:line="9" w:lineRule="exact"/>
        <w:rPr>
          <w:sz w:val="24"/>
          <w:szCs w:val="24"/>
          <w:color w:val="auto"/>
        </w:rPr>
      </w:pPr>
    </w:p>
    <w:p>
      <w:pPr>
        <w:ind w:left="380"/>
        <w:spacing w:after="0" w:line="138" w:lineRule="exact"/>
        <w:tabs>
          <w:tab w:leader="none" w:pos="4160" w:val="left"/>
          <w:tab w:leader="none" w:pos="7680" w:val="left"/>
          <w:tab w:leader="none" w:pos="9260" w:val="left"/>
        </w:tabs>
        <w:rPr>
          <w:sz w:val="20"/>
          <w:szCs w:val="20"/>
          <w:color w:val="auto"/>
        </w:rPr>
      </w:pPr>
      <w:r>
        <w:rPr>
          <w:rFonts w:ascii="Times New Roman" w:cs="Times New Roman" w:eastAsia="Times New Roman" w:hAnsi="Times New Roman"/>
          <w:sz w:val="12"/>
          <w:szCs w:val="12"/>
          <w:b w:val="1"/>
          <w:bCs w:val="1"/>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69" w:lineRule="exact"/>
        <w:rPr>
          <w:sz w:val="24"/>
          <w:szCs w:val="24"/>
          <w:color w:val="auto"/>
        </w:rPr>
      </w:pPr>
    </w:p>
    <w:p>
      <w:pPr>
        <w:ind w:left="300" w:right="40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 The term “new or revised financial accounting standard” refers to any update issued by the Financial Accounting Standards Board to its Accounting Standards Codification after April 5, 2012.</w:t>
      </w:r>
    </w:p>
    <w:p>
      <w:pPr>
        <w:spacing w:after="0" w:line="45"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34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300"/>
        <w:spacing w:after="0"/>
        <w:rPr>
          <w:sz w:val="20"/>
          <w:szCs w:val="20"/>
          <w:color w:val="auto"/>
        </w:rPr>
      </w:pPr>
      <w:r>
        <w:rPr>
          <w:rFonts w:ascii="Times New Roman" w:cs="Times New Roman" w:eastAsia="Times New Roman" w:hAnsi="Times New Roman"/>
          <w:sz w:val="14"/>
          <w:szCs w:val="14"/>
          <w:b w:val="1"/>
          <w:bCs w:val="1"/>
          <w:color w:val="auto"/>
        </w:rPr>
        <w:t>Indicate by check mark which basis of accounting the registrant has used to prepare the financial statements included in this filing:</w:t>
      </w:r>
    </w:p>
    <w:p>
      <w:pPr>
        <w:spacing w:after="0" w:line="36" w:lineRule="exact"/>
        <w:rPr>
          <w:sz w:val="24"/>
          <w:szCs w:val="24"/>
          <w:color w:val="auto"/>
        </w:rPr>
      </w:pPr>
    </w:p>
    <w:tbl>
      <w:tblPr>
        <w:tblLayout w:type="fixed"/>
        <w:tblInd w:w="300" w:type="dxa"/>
        <w:tblCellMar>
          <w:top w:w="0" w:type="dxa"/>
          <w:left w:w="0" w:type="dxa"/>
          <w:bottom w:w="0" w:type="dxa"/>
          <w:right w:w="0" w:type="dxa"/>
        </w:tblCellMar>
      </w:tblPr>
      <w:tr>
        <w:trPr>
          <w:trHeight w:val="149"/>
        </w:trPr>
        <w:tc>
          <w:tcPr>
            <w:tcW w:w="2920" w:type="dxa"/>
            <w:vAlign w:val="bottom"/>
          </w:tcPr>
          <w:p>
            <w:pPr>
              <w:ind w:left="112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U.S. GAAP </w:t>
            </w:r>
            <w:r>
              <w:rPr>
                <w:rFonts w:ascii="MS PGothic" w:cs="MS PGothic" w:eastAsia="MS PGothic" w:hAnsi="MS PGothic"/>
                <w:sz w:val="12"/>
                <w:szCs w:val="12"/>
                <w:color w:val="auto"/>
              </w:rPr>
              <w:t>☒</w:t>
            </w:r>
          </w:p>
        </w:tc>
        <w:tc>
          <w:tcPr>
            <w:tcW w:w="5900" w:type="dxa"/>
            <w:vAlign w:val="bottom"/>
          </w:tcPr>
          <w:p>
            <w:pPr>
              <w:jc w:val="center"/>
              <w:ind w:right="899"/>
              <w:spacing w:after="0"/>
              <w:rPr>
                <w:sz w:val="20"/>
                <w:szCs w:val="20"/>
                <w:color w:val="auto"/>
              </w:rPr>
            </w:pPr>
            <w:r>
              <w:rPr>
                <w:rFonts w:ascii="Times New Roman" w:cs="Times New Roman" w:eastAsia="Times New Roman" w:hAnsi="Times New Roman"/>
                <w:sz w:val="12"/>
                <w:szCs w:val="12"/>
                <w:b w:val="1"/>
                <w:bCs w:val="1"/>
                <w:color w:val="auto"/>
              </w:rPr>
              <w:t>International Financial Reporting Standards as issued</w:t>
            </w:r>
          </w:p>
        </w:tc>
        <w:tc>
          <w:tcPr>
            <w:tcW w:w="620" w:type="dxa"/>
            <w:vAlign w:val="bottom"/>
          </w:tcPr>
          <w:p>
            <w:pPr>
              <w:ind w:left="180"/>
              <w:spacing w:after="0" w:line="138" w:lineRule="exact"/>
              <w:rPr>
                <w:sz w:val="20"/>
                <w:szCs w:val="20"/>
                <w:color w:val="auto"/>
              </w:rPr>
            </w:pPr>
            <w:r>
              <w:rPr>
                <w:rFonts w:ascii="Times New Roman" w:cs="Times New Roman" w:eastAsia="Times New Roman" w:hAnsi="Times New Roman"/>
                <w:sz w:val="12"/>
                <w:szCs w:val="12"/>
                <w:b w:val="1"/>
                <w:bCs w:val="1"/>
                <w:color w:val="auto"/>
                <w:w w:val="91"/>
              </w:rPr>
              <w:t xml:space="preserve">Other </w:t>
            </w:r>
            <w:r>
              <w:rPr>
                <w:rFonts w:ascii="MS PGothic" w:cs="MS PGothic" w:eastAsia="MS PGothic" w:hAnsi="MS PGothic"/>
                <w:sz w:val="12"/>
                <w:szCs w:val="12"/>
                <w:color w:val="auto"/>
                <w:w w:val="91"/>
              </w:rPr>
              <w:t>☐</w:t>
            </w:r>
          </w:p>
        </w:tc>
      </w:tr>
      <w:tr>
        <w:trPr>
          <w:trHeight w:val="191"/>
        </w:trPr>
        <w:tc>
          <w:tcPr>
            <w:tcW w:w="2920" w:type="dxa"/>
            <w:vAlign w:val="bottom"/>
          </w:tcPr>
          <w:p>
            <w:pPr>
              <w:spacing w:after="0"/>
              <w:rPr>
                <w:sz w:val="16"/>
                <w:szCs w:val="16"/>
                <w:color w:val="auto"/>
              </w:rPr>
            </w:pPr>
          </w:p>
        </w:tc>
        <w:tc>
          <w:tcPr>
            <w:tcW w:w="5900" w:type="dxa"/>
            <w:vAlign w:val="bottom"/>
          </w:tcPr>
          <w:p>
            <w:pPr>
              <w:jc w:val="center"/>
              <w:ind w:right="899"/>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by the International Accounting Standards Board </w:t>
            </w:r>
            <w:r>
              <w:rPr>
                <w:rFonts w:ascii="MS PGothic" w:cs="MS PGothic" w:eastAsia="MS PGothic" w:hAnsi="MS PGothic"/>
                <w:sz w:val="12"/>
                <w:szCs w:val="12"/>
                <w:color w:val="auto"/>
              </w:rPr>
              <w:t>☐</w:t>
            </w:r>
          </w:p>
        </w:tc>
        <w:tc>
          <w:tcPr>
            <w:tcW w:w="620" w:type="dxa"/>
            <w:vAlign w:val="bottom"/>
          </w:tcPr>
          <w:p>
            <w:pPr>
              <w:spacing w:after="0"/>
              <w:rPr>
                <w:sz w:val="16"/>
                <w:szCs w:val="16"/>
                <w:color w:val="auto"/>
              </w:rPr>
            </w:pPr>
          </w:p>
        </w:tc>
      </w:tr>
      <w:tr>
        <w:trPr>
          <w:trHeight w:val="196"/>
        </w:trPr>
        <w:tc>
          <w:tcPr>
            <w:tcW w:w="882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w:t>
            </w:r>
          </w:p>
        </w:tc>
        <w:tc>
          <w:tcPr>
            <w:tcW w:w="62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b w:val="1"/>
                <w:bCs w:val="1"/>
                <w:color w:val="auto"/>
                <w:w w:val="99"/>
              </w:rPr>
              <w:t xml:space="preserve">Item 18 </w:t>
            </w:r>
            <w:r>
              <w:rPr>
                <w:rFonts w:ascii="MS PGothic" w:cs="MS PGothic" w:eastAsia="MS PGothic" w:hAnsi="MS PGothic"/>
                <w:sz w:val="12"/>
                <w:szCs w:val="12"/>
                <w:color w:val="auto"/>
                <w:w w:val="99"/>
              </w:rPr>
              <w:t>☐</w:t>
            </w:r>
          </w:p>
        </w:tc>
      </w:tr>
      <w:tr>
        <w:trPr>
          <w:trHeight w:val="205"/>
        </w:trPr>
        <w:tc>
          <w:tcPr>
            <w:tcW w:w="882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tc>
        <w:tc>
          <w:tcPr>
            <w:tcW w:w="620" w:type="dxa"/>
            <w:vAlign w:val="bottom"/>
          </w:tcPr>
          <w:p>
            <w:pPr>
              <w:spacing w:after="0"/>
              <w:rPr>
                <w:sz w:val="17"/>
                <w:szCs w:val="17"/>
                <w:color w:val="auto"/>
              </w:rPr>
            </w:pPr>
          </w:p>
        </w:tc>
      </w:tr>
      <w:tr>
        <w:trPr>
          <w:trHeight w:val="163"/>
        </w:trPr>
        <w:tc>
          <w:tcPr>
            <w:tcW w:w="8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(APPLICABLE ONLY TO ISSUERS INVOLVED IN BANKRUPTCY PROCEEDINGS DURING THE PAST FIVE YEARS)</w:t>
            </w:r>
          </w:p>
        </w:tc>
        <w:tc>
          <w:tcPr>
            <w:tcW w:w="620" w:type="dxa"/>
            <w:vAlign w:val="bottom"/>
          </w:tcPr>
          <w:p>
            <w:pPr>
              <w:spacing w:after="0"/>
              <w:rPr>
                <w:sz w:val="14"/>
                <w:szCs w:val="14"/>
                <w:color w:val="auto"/>
              </w:rPr>
            </w:pPr>
          </w:p>
        </w:tc>
      </w:tr>
    </w:tbl>
    <w:p>
      <w:pPr>
        <w:spacing w:after="0" w:line="22" w:lineRule="exact"/>
        <w:rPr>
          <w:sz w:val="24"/>
          <w:szCs w:val="24"/>
          <w:color w:val="auto"/>
        </w:rPr>
      </w:pPr>
    </w:p>
    <w:p>
      <w:pPr>
        <w:ind w:left="300" w:right="2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677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80645</wp:posOffset>
            </wp:positionV>
            <wp:extent cx="6771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ectPr>
          <w:pgSz w:w="11900" w:h="16838" w:orient="portrait"/>
          <w:cols w:equalWidth="0" w:num="1">
            <w:col w:w="10960"/>
          </w:cols>
          <w:pgMar w:left="320" w:top="224" w:right="6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INTRODUCTION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189"/>
        </w:trPr>
        <w:tc>
          <w:tcPr>
            <w:tcW w:w="130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GLOSSARY</w:t>
            </w:r>
          </w:p>
        </w:tc>
        <w:tc>
          <w:tcPr>
            <w:tcW w:w="8220" w:type="dxa"/>
            <w:vAlign w:val="bottom"/>
            <w:gridSpan w:val="43"/>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w:t>
            </w:r>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5160" w:type="dxa"/>
            <w:vAlign w:val="bottom"/>
            <w:tcBorders>
              <w:bottom w:val="single" w:sz="8" w:color="0000EE"/>
            </w:tcBorders>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4360" w:type="dxa"/>
            <w:vAlign w:val="bottom"/>
            <w:gridSpan w:val="7"/>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w:t>
            </w:r>
          </w:p>
        </w:tc>
      </w:tr>
      <w:tr>
        <w:trPr>
          <w:trHeight w:val="189"/>
        </w:trPr>
        <w:tc>
          <w:tcPr>
            <w:tcW w:w="2680" w:type="dxa"/>
            <w:vAlign w:val="bottom"/>
            <w:tcBorders>
              <w:bottom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EXCHANGE RATE INFORMATION</w:t>
            </w:r>
          </w:p>
        </w:tc>
        <w:tc>
          <w:tcPr>
            <w:tcW w:w="6840" w:type="dxa"/>
            <w:vAlign w:val="bottom"/>
            <w:gridSpan w:val="28"/>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52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w w:val="93"/>
              </w:rPr>
              <w:t>PART I</w:t>
            </w:r>
          </w:p>
        </w:tc>
        <w:tc>
          <w:tcPr>
            <w:tcW w:w="9000" w:type="dxa"/>
            <w:vAlign w:val="bottom"/>
            <w:gridSpan w:val="4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6060" w:type="dxa"/>
            <w:vAlign w:val="bottom"/>
            <w:tcBorders>
              <w:bottom w:val="single" w:sz="8" w:color="0000EE"/>
            </w:tcBorders>
            <w:gridSpan w:val="44"/>
          </w:tcPr>
          <w:p>
            <w:pPr>
              <w:spacing w:after="0" w:line="189" w:lineRule="exact"/>
              <w:rPr>
                <w:sz w:val="20"/>
                <w:szCs w:val="20"/>
                <w:color w:val="auto"/>
              </w:rPr>
            </w:pPr>
            <w:r>
              <w:rPr>
                <w:rFonts w:ascii="Times New Roman" w:cs="Times New Roman" w:eastAsia="Times New Roman" w:hAnsi="Times New Roman"/>
                <w:sz w:val="17"/>
                <w:szCs w:val="17"/>
                <w:color w:val="0000EE"/>
              </w:rPr>
              <w:t>ITEM 1. IDENTITY OF DIRECTORS, SENIOR MANAGEMENT AND ADVISERS</w:t>
            </w:r>
          </w:p>
        </w:tc>
        <w:tc>
          <w:tcPr>
            <w:tcW w:w="3460" w:type="dxa"/>
            <w:vAlign w:val="bottom"/>
            <w:gridSpan w:val="3"/>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ITEM 2. OFFER STATISTICS AND EXPECTED TIMETABLE</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2240" w:type="dxa"/>
            <w:vAlign w:val="bottom"/>
            <w:tcBorders>
              <w:top w:val="single" w:sz="8" w:color="0000EE"/>
              <w:bottom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EE"/>
              </w:rPr>
              <w:t>ITEM 3. KEY INFORMATION</w:t>
            </w:r>
          </w:p>
        </w:tc>
        <w:tc>
          <w:tcPr>
            <w:tcW w:w="2280" w:type="dxa"/>
            <w:vAlign w:val="bottom"/>
            <w:tcBorders>
              <w:top w:val="single" w:sz="8" w:color="0000EE"/>
            </w:tcBorders>
            <w:gridSpan w:val="22"/>
          </w:tcPr>
          <w:p>
            <w:pPr>
              <w:spacing w:after="0"/>
              <w:rPr>
                <w:sz w:val="16"/>
                <w:szCs w:val="16"/>
                <w:color w:val="auto"/>
              </w:rPr>
            </w:pPr>
          </w:p>
        </w:tc>
        <w:tc>
          <w:tcPr>
            <w:tcW w:w="5000" w:type="dxa"/>
            <w:vAlign w:val="bottom"/>
            <w:gridSpan w:val="12"/>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1220" w:type="dxa"/>
            <w:vAlign w:val="bottom"/>
            <w:tcBorders>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A. [RESERVED]</w:t>
            </w:r>
          </w:p>
        </w:tc>
        <w:tc>
          <w:tcPr>
            <w:tcW w:w="7960" w:type="dxa"/>
            <w:vAlign w:val="bottom"/>
            <w:gridSpan w:val="40"/>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3380" w:type="dxa"/>
            <w:vAlign w:val="bottom"/>
            <w:tcBorders>
              <w:bottom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7"/>
                <w:szCs w:val="17"/>
                <w:color w:val="0000EE"/>
              </w:rPr>
              <w:t>B. CAPITALIZATION AND INDEBTEDNESS</w:t>
            </w:r>
          </w:p>
        </w:tc>
        <w:tc>
          <w:tcPr>
            <w:tcW w:w="5800" w:type="dxa"/>
            <w:vAlign w:val="bottom"/>
            <w:gridSpan w:val="1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C. REASONS FOR THE OFFER AND USE OF PROCEEDS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4340" w:type="dxa"/>
            <w:vAlign w:val="bottom"/>
            <w:tcBorders>
              <w:top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D. RISK FACTORS</w:t>
            </w:r>
          </w:p>
        </w:tc>
        <w:tc>
          <w:tcPr>
            <w:tcW w:w="4840" w:type="dxa"/>
            <w:vAlign w:val="bottom"/>
            <w:gridSpan w:val="10"/>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20" w:type="dxa"/>
            <w:vAlign w:val="bottom"/>
            <w:tcBorders>
              <w:bottom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ITEM 4. INFORMATION ON THE COMPANY</w:t>
            </w:r>
          </w:p>
        </w:tc>
        <w:tc>
          <w:tcPr>
            <w:tcW w:w="6100" w:type="dxa"/>
            <w:vAlign w:val="bottom"/>
            <w:gridSpan w:val="20"/>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78</w:t>
            </w:r>
          </w:p>
        </w:tc>
      </w:tr>
      <w:tr>
        <w:trPr>
          <w:trHeight w:val="189"/>
        </w:trPr>
        <w:tc>
          <w:tcPr>
            <w:tcW w:w="340" w:type="dxa"/>
            <w:vAlign w:val="bottom"/>
          </w:tcPr>
          <w:p>
            <w:pPr>
              <w:spacing w:after="0"/>
              <w:rPr>
                <w:sz w:val="16"/>
                <w:szCs w:val="16"/>
                <w:color w:val="auto"/>
              </w:rPr>
            </w:pPr>
          </w:p>
        </w:tc>
        <w:tc>
          <w:tcPr>
            <w:tcW w:w="4260" w:type="dxa"/>
            <w:vAlign w:val="bottom"/>
            <w:tcBorders>
              <w:bottom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7"/>
                <w:szCs w:val="17"/>
                <w:color w:val="0000EE"/>
              </w:rPr>
              <w:t>A. HISTORY AND DEVELOPMENT OF THE COMPANY</w:t>
            </w:r>
          </w:p>
        </w:tc>
        <w:tc>
          <w:tcPr>
            <w:tcW w:w="4920" w:type="dxa"/>
            <w:vAlign w:val="bottom"/>
            <w:gridSpan w:val="11"/>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78</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B. BUSINESS OVERVIEW</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79</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C. ORGANIZATIONAL STRUCTURE</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118</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20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D. PROPERTY, PLANT AND EQUIPMENT</w:t>
            </w:r>
          </w:p>
        </w:tc>
        <w:tc>
          <w:tcPr>
            <w:tcW w:w="5980" w:type="dxa"/>
            <w:vAlign w:val="bottom"/>
            <w:gridSpan w:val="17"/>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120</w:t>
            </w:r>
          </w:p>
        </w:tc>
      </w:tr>
      <w:tr>
        <w:trPr>
          <w:trHeight w:val="189"/>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ITEM 4A. UNRESOLVED STAFF COMMENTS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120</w:t>
            </w:r>
          </w:p>
        </w:tc>
      </w:tr>
      <w:tr>
        <w:trPr>
          <w:trHeight w:val="20"/>
        </w:trPr>
        <w:tc>
          <w:tcPr>
            <w:tcW w:w="1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120</w:t>
            </w:r>
          </w:p>
        </w:tc>
      </w:tr>
      <w:tr>
        <w:trPr>
          <w:trHeight w:val="189"/>
        </w:trPr>
        <w:tc>
          <w:tcPr>
            <w:tcW w:w="340" w:type="dxa"/>
            <w:vAlign w:val="bottom"/>
            <w:tcBorders>
              <w:top w:val="single" w:sz="8" w:color="0000EE"/>
            </w:tcBorders>
          </w:tcPr>
          <w:p>
            <w:pPr>
              <w:spacing w:after="0"/>
              <w:rPr>
                <w:sz w:val="16"/>
                <w:szCs w:val="16"/>
                <w:color w:val="auto"/>
              </w:rPr>
            </w:pPr>
          </w:p>
        </w:tc>
        <w:tc>
          <w:tcPr>
            <w:tcW w:w="480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7"/>
                <w:szCs w:val="17"/>
                <w:color w:val="0000EE"/>
              </w:rPr>
              <w:t>A. OPERATING RESULTS</w:t>
            </w:r>
          </w:p>
        </w:tc>
        <w:tc>
          <w:tcPr>
            <w:tcW w:w="4380" w:type="dxa"/>
            <w:vAlign w:val="bottom"/>
            <w:gridSpan w:val="8"/>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120</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B. LIQUIDITY AND CAPITAL RESOURCES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132</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C. RESEARCH AND DEVELOPMENT, PATENTS AND LICENSES, ETC.</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139</w:t>
            </w:r>
          </w:p>
        </w:tc>
      </w:tr>
      <w:tr>
        <w:trPr>
          <w:trHeight w:val="189"/>
        </w:trPr>
        <w:tc>
          <w:tcPr>
            <w:tcW w:w="34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D. TREND INFORMATION</w:t>
            </w:r>
          </w:p>
        </w:tc>
        <w:tc>
          <w:tcPr>
            <w:tcW w:w="3360" w:type="dxa"/>
            <w:vAlign w:val="bottom"/>
            <w:tcBorders>
              <w:top w:val="single" w:sz="8" w:color="0000EE"/>
            </w:tcBorders>
            <w:gridSpan w:val="27"/>
          </w:tcPr>
          <w:p>
            <w:pPr>
              <w:spacing w:after="0"/>
              <w:rPr>
                <w:sz w:val="16"/>
                <w:szCs w:val="16"/>
                <w:color w:val="auto"/>
              </w:rPr>
            </w:pPr>
          </w:p>
        </w:tc>
        <w:tc>
          <w:tcPr>
            <w:tcW w:w="3780" w:type="dxa"/>
            <w:vAlign w:val="bottom"/>
            <w:gridSpan w:val="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139</w:t>
            </w:r>
          </w:p>
        </w:tc>
      </w:tr>
      <w:tr>
        <w:trPr>
          <w:trHeight w:val="189"/>
        </w:trPr>
        <w:tc>
          <w:tcPr>
            <w:tcW w:w="340" w:type="dxa"/>
            <w:vAlign w:val="bottom"/>
          </w:tcPr>
          <w:p>
            <w:pPr>
              <w:spacing w:after="0"/>
              <w:rPr>
                <w:sz w:val="16"/>
                <w:szCs w:val="16"/>
                <w:color w:val="auto"/>
              </w:rPr>
            </w:pPr>
          </w:p>
        </w:tc>
        <w:tc>
          <w:tcPr>
            <w:tcW w:w="3180" w:type="dxa"/>
            <w:vAlign w:val="bottom"/>
            <w:tcBorders>
              <w:bottom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E. CRITICAL ACCOUNTING ESTIMATES</w:t>
            </w:r>
          </w:p>
        </w:tc>
        <w:tc>
          <w:tcPr>
            <w:tcW w:w="6000" w:type="dxa"/>
            <w:vAlign w:val="bottom"/>
            <w:gridSpan w:val="18"/>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140</w:t>
            </w:r>
          </w:p>
        </w:tc>
      </w:tr>
      <w:tr>
        <w:trPr>
          <w:trHeight w:val="189"/>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ITEM 6. DIRECTORS, SENIOR MANAGEMENT AND EMPLOYEES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146</w:t>
            </w:r>
          </w:p>
        </w:tc>
      </w:tr>
      <w:tr>
        <w:trPr>
          <w:trHeight w:val="189"/>
        </w:trPr>
        <w:tc>
          <w:tcPr>
            <w:tcW w:w="340" w:type="dxa"/>
            <w:vAlign w:val="bottom"/>
            <w:tcBorders>
              <w:top w:val="single" w:sz="8" w:color="0000EE"/>
            </w:tcBorders>
          </w:tcPr>
          <w:p>
            <w:pPr>
              <w:spacing w:after="0"/>
              <w:rPr>
                <w:sz w:val="16"/>
                <w:szCs w:val="16"/>
                <w:color w:val="auto"/>
              </w:rPr>
            </w:pPr>
          </w:p>
        </w:tc>
        <w:tc>
          <w:tcPr>
            <w:tcW w:w="3580" w:type="dxa"/>
            <w:vAlign w:val="bottom"/>
            <w:tcBorders>
              <w:top w:val="single" w:sz="8" w:color="0000EE"/>
              <w:bottom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7"/>
                <w:szCs w:val="17"/>
                <w:color w:val="0000EE"/>
              </w:rPr>
              <w:t>A. DIRECTORS AND SENIOR MANAGEMENT</w:t>
            </w:r>
          </w:p>
        </w:tc>
        <w:tc>
          <w:tcPr>
            <w:tcW w:w="1180" w:type="dxa"/>
            <w:vAlign w:val="bottom"/>
            <w:tcBorders>
              <w:top w:val="single" w:sz="8" w:color="0000EE"/>
            </w:tcBorders>
            <w:gridSpan w:val="4"/>
          </w:tcPr>
          <w:p>
            <w:pPr>
              <w:spacing w:after="0"/>
              <w:rPr>
                <w:sz w:val="16"/>
                <w:szCs w:val="16"/>
                <w:color w:val="auto"/>
              </w:rPr>
            </w:pPr>
          </w:p>
        </w:tc>
        <w:tc>
          <w:tcPr>
            <w:tcW w:w="4420" w:type="dxa"/>
            <w:vAlign w:val="bottom"/>
            <w:gridSpan w:val="9"/>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146</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B. COMPENSATION OF DIRECTORS AND EXECUTIVE OFFICERS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151</w:t>
            </w:r>
          </w:p>
        </w:tc>
      </w:tr>
      <w:tr>
        <w:trPr>
          <w:trHeight w:val="189"/>
        </w:trPr>
        <w:tc>
          <w:tcPr>
            <w:tcW w:w="34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7"/>
                <w:szCs w:val="17"/>
                <w:color w:val="0000EE"/>
              </w:rPr>
              <w:t>C. BOARD PRACTICES</w:t>
            </w:r>
          </w:p>
        </w:tc>
        <w:tc>
          <w:tcPr>
            <w:tcW w:w="3320" w:type="dxa"/>
            <w:vAlign w:val="bottom"/>
            <w:tcBorders>
              <w:top w:val="single" w:sz="8" w:color="0000EE"/>
            </w:tcBorders>
            <w:gridSpan w:val="30"/>
          </w:tcPr>
          <w:p>
            <w:pPr>
              <w:spacing w:after="0"/>
              <w:rPr>
                <w:sz w:val="16"/>
                <w:szCs w:val="16"/>
                <w:color w:val="auto"/>
              </w:rPr>
            </w:pPr>
          </w:p>
        </w:tc>
        <w:tc>
          <w:tcPr>
            <w:tcW w:w="4060" w:type="dxa"/>
            <w:vAlign w:val="bottom"/>
            <w:gridSpan w:val="6"/>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152</w:t>
            </w:r>
          </w:p>
        </w:tc>
      </w:tr>
      <w:tr>
        <w:trPr>
          <w:trHeight w:val="189"/>
        </w:trPr>
        <w:tc>
          <w:tcPr>
            <w:tcW w:w="340" w:type="dxa"/>
            <w:vAlign w:val="bottom"/>
          </w:tcPr>
          <w:p>
            <w:pPr>
              <w:spacing w:after="0"/>
              <w:rPr>
                <w:sz w:val="16"/>
                <w:szCs w:val="16"/>
                <w:color w:val="auto"/>
              </w:rPr>
            </w:pPr>
          </w:p>
        </w:tc>
        <w:tc>
          <w:tcPr>
            <w:tcW w:w="1240" w:type="dxa"/>
            <w:vAlign w:val="bottom"/>
            <w:tcBorders>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D. EMPLOYEES</w:t>
            </w:r>
          </w:p>
        </w:tc>
        <w:tc>
          <w:tcPr>
            <w:tcW w:w="7940" w:type="dxa"/>
            <w:vAlign w:val="bottom"/>
            <w:gridSpan w:val="39"/>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158</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E. SHARE OWNERSHIP</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159</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F. DISCLOSURE OF A REGISTRANT’S ACTION TO RECOVER ERRONEOUSLY AWARDED COMPENSATION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163</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5840" w:type="dxa"/>
            <w:vAlign w:val="bottom"/>
            <w:tcBorders>
              <w:bottom w:val="single" w:sz="8" w:color="0000EE"/>
            </w:tcBorders>
            <w:gridSpan w:val="43"/>
          </w:tcPr>
          <w:p>
            <w:pPr>
              <w:spacing w:after="0" w:line="189" w:lineRule="exact"/>
              <w:rPr>
                <w:sz w:val="20"/>
                <w:szCs w:val="20"/>
                <w:color w:val="auto"/>
              </w:rPr>
            </w:pPr>
            <w:r>
              <w:rPr>
                <w:rFonts w:ascii="Times New Roman" w:cs="Times New Roman" w:eastAsia="Times New Roman" w:hAnsi="Times New Roman"/>
                <w:sz w:val="17"/>
                <w:szCs w:val="17"/>
                <w:color w:val="0000EE"/>
              </w:rPr>
              <w:t>ITEM 7. MAJOR SHAREHOLDERS AND RELATED PARTY TRANSACTIONS</w:t>
            </w:r>
          </w:p>
        </w:tc>
        <w:tc>
          <w:tcPr>
            <w:tcW w:w="3680" w:type="dxa"/>
            <w:vAlign w:val="bottom"/>
            <w:gridSpan w:val="4"/>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163</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A. MAJOR SHAREHOLDERS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163</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940" w:type="dxa"/>
            <w:vAlign w:val="bottom"/>
            <w:tcBorders>
              <w:bottom w:val="single" w:sz="8" w:color="0000EE"/>
            </w:tcBorders>
            <w:gridSpan w:val="24"/>
          </w:tcPr>
          <w:p>
            <w:pPr>
              <w:spacing w:after="0" w:line="189" w:lineRule="exact"/>
              <w:rPr>
                <w:sz w:val="20"/>
                <w:szCs w:val="20"/>
                <w:color w:val="auto"/>
              </w:rPr>
            </w:pPr>
            <w:r>
              <w:rPr>
                <w:rFonts w:ascii="Times New Roman" w:cs="Times New Roman" w:eastAsia="Times New Roman" w:hAnsi="Times New Roman"/>
                <w:sz w:val="17"/>
                <w:szCs w:val="17"/>
                <w:color w:val="0000EE"/>
              </w:rPr>
              <w:t>B. RELATED PARTY TRANSACTIONS</w:t>
            </w:r>
          </w:p>
        </w:tc>
        <w:tc>
          <w:tcPr>
            <w:tcW w:w="6240" w:type="dxa"/>
            <w:vAlign w:val="bottom"/>
            <w:gridSpan w:val="22"/>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165</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C. INTERESTS OF EXPERTS AND COUNSEL</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166</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282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ITEM 8. FINANCIAL INFORMATION</w:t>
            </w:r>
          </w:p>
        </w:tc>
        <w:tc>
          <w:tcPr>
            <w:tcW w:w="6700" w:type="dxa"/>
            <w:vAlign w:val="bottom"/>
            <w:gridSpan w:val="2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166</w:t>
            </w:r>
          </w:p>
        </w:tc>
      </w:tr>
      <w:tr>
        <w:trPr>
          <w:trHeight w:val="189"/>
        </w:trPr>
        <w:tc>
          <w:tcPr>
            <w:tcW w:w="340" w:type="dxa"/>
            <w:vAlign w:val="bottom"/>
          </w:tcPr>
          <w:p>
            <w:pPr>
              <w:spacing w:after="0"/>
              <w:rPr>
                <w:sz w:val="16"/>
                <w:szCs w:val="16"/>
                <w:color w:val="auto"/>
              </w:rPr>
            </w:pPr>
          </w:p>
        </w:tc>
        <w:tc>
          <w:tcPr>
            <w:tcW w:w="5960" w:type="dxa"/>
            <w:vAlign w:val="bottom"/>
            <w:tcBorders>
              <w:bottom w:val="single" w:sz="8" w:color="0000EE"/>
            </w:tcBorders>
            <w:gridSpan w:val="44"/>
          </w:tcPr>
          <w:p>
            <w:pPr>
              <w:spacing w:after="0" w:line="189" w:lineRule="exact"/>
              <w:rPr>
                <w:sz w:val="20"/>
                <w:szCs w:val="20"/>
                <w:color w:val="auto"/>
              </w:rPr>
            </w:pPr>
            <w:r>
              <w:rPr>
                <w:rFonts w:ascii="Times New Roman" w:cs="Times New Roman" w:eastAsia="Times New Roman" w:hAnsi="Times New Roman"/>
                <w:sz w:val="17"/>
                <w:szCs w:val="17"/>
                <w:color w:val="0000EE"/>
              </w:rPr>
              <w:t>A. CONSOLIDATED STATEMENTS AND OTHER FINANCIAL INFORMATION</w:t>
            </w:r>
          </w:p>
        </w:tc>
        <w:tc>
          <w:tcPr>
            <w:tcW w:w="3220" w:type="dxa"/>
            <w:vAlign w:val="bottom"/>
            <w:gridSpan w:val="2"/>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166</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B. SIGNIFICANT CHANGES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w:t>
            </w: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2720" w:type="dxa"/>
            <w:vAlign w:val="bottom"/>
            <w:tcBorders>
              <w:bottom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7"/>
                <w:szCs w:val="17"/>
                <w:color w:val="0000EE"/>
              </w:rPr>
              <w:t>ITEM 9. THE OFFER AND LISTING</w:t>
            </w:r>
          </w:p>
        </w:tc>
        <w:tc>
          <w:tcPr>
            <w:tcW w:w="6800" w:type="dxa"/>
            <w:vAlign w:val="bottom"/>
            <w:gridSpan w:val="26"/>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w:t>
            </w: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A. OFFERING AND LISTING DETAILS</w:t>
            </w:r>
          </w:p>
        </w:tc>
        <w:tc>
          <w:tcPr>
            <w:tcW w:w="108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296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B. PLAN OF DISTRIBUTION</w:t>
            </w:r>
          </w:p>
        </w:tc>
        <w:tc>
          <w:tcPr>
            <w:tcW w:w="6220" w:type="dxa"/>
            <w:vAlign w:val="bottom"/>
            <w:gridSpan w:val="21"/>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C. MARKETS</w:t>
            </w:r>
          </w:p>
        </w:tc>
        <w:tc>
          <w:tcPr>
            <w:tcW w:w="1140" w:type="dxa"/>
            <w:vAlign w:val="bottom"/>
            <w:tcBorders>
              <w:top w:val="single" w:sz="8" w:color="0000EE"/>
            </w:tcBorders>
            <w:gridSpan w:val="11"/>
          </w:tcPr>
          <w:p>
            <w:pPr>
              <w:spacing w:after="0"/>
              <w:rPr>
                <w:sz w:val="16"/>
                <w:szCs w:val="16"/>
                <w:color w:val="auto"/>
              </w:rPr>
            </w:pPr>
          </w:p>
        </w:tc>
        <w:tc>
          <w:tcPr>
            <w:tcW w:w="7000" w:type="dxa"/>
            <w:vAlign w:val="bottom"/>
            <w:gridSpan w:val="30"/>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2360" w:type="dxa"/>
            <w:vAlign w:val="bottom"/>
            <w:tcBorders>
              <w:bottom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D. SELLING SHAREHOLDERS</w:t>
            </w:r>
          </w:p>
        </w:tc>
        <w:tc>
          <w:tcPr>
            <w:tcW w:w="6820" w:type="dxa"/>
            <w:vAlign w:val="bottom"/>
            <w:gridSpan w:val="27"/>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E. DILUTION</w:t>
            </w:r>
          </w:p>
        </w:tc>
        <w:tc>
          <w:tcPr>
            <w:tcW w:w="108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F. EXPENSES OF THE ISSUE</w:t>
            </w:r>
          </w:p>
        </w:tc>
        <w:tc>
          <w:tcPr>
            <w:tcW w:w="108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9520" w:type="dxa"/>
            <w:vAlign w:val="bottom"/>
            <w:gridSpan w:val="47"/>
          </w:tcPr>
          <w:p>
            <w:pPr>
              <w:spacing w:after="0" w:line="189" w:lineRule="exact"/>
              <w:rPr>
                <w:sz w:val="20"/>
                <w:szCs w:val="20"/>
                <w:color w:val="auto"/>
              </w:rPr>
            </w:pPr>
            <w:r>
              <w:rPr>
                <w:rFonts w:ascii="Times New Roman" w:cs="Times New Roman" w:eastAsia="Times New Roman" w:hAnsi="Times New Roman"/>
                <w:sz w:val="17"/>
                <w:szCs w:val="17"/>
                <w:color w:val="0000EE"/>
              </w:rPr>
              <w:t>ITEM 10. ADDITIONAL INFORMATION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w:t>
            </w:r>
          </w:p>
        </w:tc>
      </w:tr>
      <w:tr>
        <w:trPr>
          <w:trHeight w:val="189"/>
        </w:trPr>
        <w:tc>
          <w:tcPr>
            <w:tcW w:w="3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A. SHARE CAPITAL</w:t>
            </w:r>
          </w:p>
        </w:tc>
        <w:tc>
          <w:tcPr>
            <w:tcW w:w="6480" w:type="dxa"/>
            <w:vAlign w:val="bottom"/>
            <w:gridSpan w:val="24"/>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w:t>
            </w:r>
          </w:p>
        </w:tc>
      </w:tr>
      <w:tr>
        <w:trPr>
          <w:trHeight w:val="20"/>
        </w:trPr>
        <w:tc>
          <w:tcPr>
            <w:tcW w:w="34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720" w:type="dxa"/>
            <w:vAlign w:val="bottom"/>
            <w:gridSpan w:val="26"/>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4260" w:type="dxa"/>
            <w:vAlign w:val="bottom"/>
            <w:tcBorders>
              <w:bottom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7"/>
                <w:szCs w:val="17"/>
                <w:color w:val="0000EE"/>
              </w:rPr>
              <w:t>B. MEMORANDUM AND ARTICLES OF ASSOCIATION</w:t>
            </w:r>
          </w:p>
        </w:tc>
        <w:tc>
          <w:tcPr>
            <w:tcW w:w="4920" w:type="dxa"/>
            <w:vAlign w:val="bottom"/>
            <w:gridSpan w:val="11"/>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w:t>
            </w:r>
          </w:p>
        </w:tc>
      </w:tr>
    </w:tbl>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900"/>
          </w:cols>
          <w:pgMar w:left="320" w:top="473"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C. MATERIAL CONTRACTS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178</w:t>
            </w:r>
          </w:p>
        </w:tc>
      </w:tr>
      <w:tr>
        <w:trPr>
          <w:trHeight w:val="189"/>
        </w:trPr>
        <w:tc>
          <w:tcPr>
            <w:tcW w:w="34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D. EXCHANGE CONTROLS</w:t>
            </w:r>
          </w:p>
        </w:tc>
        <w:tc>
          <w:tcPr>
            <w:tcW w:w="20" w:type="dxa"/>
            <w:vAlign w:val="bottom"/>
            <w:tcBorders>
              <w:top w:val="single" w:sz="8" w:color="0000EE"/>
            </w:tcBorders>
          </w:tcPr>
          <w:p>
            <w:pPr>
              <w:spacing w:after="0"/>
              <w:rPr>
                <w:sz w:val="16"/>
                <w:szCs w:val="16"/>
                <w:color w:val="auto"/>
              </w:rPr>
            </w:pPr>
          </w:p>
        </w:tc>
        <w:tc>
          <w:tcPr>
            <w:tcW w:w="6820" w:type="dxa"/>
            <w:vAlign w:val="bottom"/>
            <w:gridSpan w:val="24"/>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178</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E. TAXATION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178</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94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F. DIVIDENDS AND PAYING AGENTS</w:t>
            </w:r>
          </w:p>
        </w:tc>
        <w:tc>
          <w:tcPr>
            <w:tcW w:w="6040" w:type="dxa"/>
            <w:vAlign w:val="bottom"/>
            <w:gridSpan w:val="14"/>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G. STATEMENT BY EXPERTS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36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H. DOCUMENTS ON DISPLAY</w:t>
            </w:r>
          </w:p>
        </w:tc>
        <w:tc>
          <w:tcPr>
            <w:tcW w:w="6620" w:type="dxa"/>
            <w:vAlign w:val="bottom"/>
            <w:gridSpan w:val="22"/>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I. SUBSIDIARY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J. ANNUAL REPORT TO SECURITY HOLDERS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6660" w:type="dxa"/>
            <w:vAlign w:val="bottom"/>
            <w:tcBorders>
              <w:bottom w:val="single" w:sz="8" w:color="0000EE"/>
            </w:tcBorders>
            <w:gridSpan w:val="32"/>
          </w:tcPr>
          <w:p>
            <w:pPr>
              <w:spacing w:after="0" w:line="189" w:lineRule="exact"/>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2660" w:type="dxa"/>
            <w:vAlign w:val="bottom"/>
            <w:gridSpan w:val="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185</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186</w:t>
            </w:r>
          </w:p>
        </w:tc>
      </w:tr>
      <w:tr>
        <w:trPr>
          <w:trHeight w:val="189"/>
        </w:trPr>
        <w:tc>
          <w:tcPr>
            <w:tcW w:w="340" w:type="dxa"/>
            <w:vAlign w:val="bottom"/>
            <w:tcBorders>
              <w:top w:val="single" w:sz="8" w:color="0000EE"/>
            </w:tcBorders>
          </w:tcPr>
          <w:p>
            <w:pPr>
              <w:spacing w:after="0"/>
              <w:rPr>
                <w:sz w:val="16"/>
                <w:szCs w:val="16"/>
                <w:color w:val="auto"/>
              </w:rPr>
            </w:pPr>
          </w:p>
        </w:tc>
        <w:tc>
          <w:tcPr>
            <w:tcW w:w="1700" w:type="dxa"/>
            <w:vAlign w:val="bottom"/>
            <w:tcBorders>
              <w:top w:val="single" w:sz="8" w:color="0000EE"/>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A. DEBT SECURITIES</w:t>
            </w:r>
          </w:p>
        </w:tc>
        <w:tc>
          <w:tcPr>
            <w:tcW w:w="3980" w:type="dxa"/>
            <w:vAlign w:val="bottom"/>
            <w:tcBorders>
              <w:top w:val="single" w:sz="8" w:color="0000EE"/>
            </w:tcBorders>
            <w:gridSpan w:val="23"/>
          </w:tcPr>
          <w:p>
            <w:pPr>
              <w:spacing w:after="0"/>
              <w:rPr>
                <w:sz w:val="16"/>
                <w:szCs w:val="16"/>
                <w:color w:val="auto"/>
              </w:rPr>
            </w:pPr>
          </w:p>
        </w:tc>
        <w:tc>
          <w:tcPr>
            <w:tcW w:w="3300" w:type="dxa"/>
            <w:vAlign w:val="bottom"/>
            <w:gridSpan w:val="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186</w:t>
            </w:r>
          </w:p>
        </w:tc>
      </w:tr>
      <w:tr>
        <w:trPr>
          <w:trHeight w:val="189"/>
        </w:trPr>
        <w:tc>
          <w:tcPr>
            <w:tcW w:w="340" w:type="dxa"/>
            <w:vAlign w:val="bottom"/>
          </w:tcPr>
          <w:p>
            <w:pPr>
              <w:spacing w:after="0"/>
              <w:rPr>
                <w:sz w:val="16"/>
                <w:szCs w:val="16"/>
                <w:color w:val="auto"/>
              </w:rPr>
            </w:pPr>
          </w:p>
        </w:tc>
        <w:tc>
          <w:tcPr>
            <w:tcW w:w="2280" w:type="dxa"/>
            <w:vAlign w:val="bottom"/>
            <w:tcBorders>
              <w:bottom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EE"/>
              </w:rPr>
              <w:t>B. WARRANTS AND RIGHTS</w:t>
            </w:r>
          </w:p>
        </w:tc>
        <w:tc>
          <w:tcPr>
            <w:tcW w:w="6700" w:type="dxa"/>
            <w:vAlign w:val="bottom"/>
            <w:gridSpan w:val="2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186</w:t>
            </w:r>
          </w:p>
        </w:tc>
      </w:tr>
      <w:tr>
        <w:trPr>
          <w:trHeight w:val="189"/>
        </w:trPr>
        <w:tc>
          <w:tcPr>
            <w:tcW w:w="340" w:type="dxa"/>
            <w:vAlign w:val="bottom"/>
          </w:tcPr>
          <w:p>
            <w:pPr>
              <w:spacing w:after="0"/>
              <w:rPr>
                <w:sz w:val="16"/>
                <w:szCs w:val="16"/>
                <w:color w:val="auto"/>
              </w:rPr>
            </w:pPr>
          </w:p>
        </w:tc>
        <w:tc>
          <w:tcPr>
            <w:tcW w:w="1820" w:type="dxa"/>
            <w:vAlign w:val="bottom"/>
            <w:tcBorders>
              <w:bottom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 OTHER SECURITIES</w:t>
            </w:r>
          </w:p>
        </w:tc>
        <w:tc>
          <w:tcPr>
            <w:tcW w:w="7160" w:type="dxa"/>
            <w:vAlign w:val="bottom"/>
            <w:gridSpan w:val="28"/>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186</w:t>
            </w:r>
          </w:p>
        </w:tc>
      </w:tr>
      <w:tr>
        <w:trPr>
          <w:trHeight w:val="189"/>
        </w:trPr>
        <w:tc>
          <w:tcPr>
            <w:tcW w:w="340" w:type="dxa"/>
            <w:vAlign w:val="bottom"/>
          </w:tcPr>
          <w:p>
            <w:pPr>
              <w:spacing w:after="0"/>
              <w:rPr>
                <w:sz w:val="16"/>
                <w:szCs w:val="16"/>
                <w:color w:val="auto"/>
              </w:rPr>
            </w:pPr>
          </w:p>
        </w:tc>
        <w:tc>
          <w:tcPr>
            <w:tcW w:w="2960" w:type="dxa"/>
            <w:vAlign w:val="bottom"/>
            <w:tcBorders>
              <w:bottom w:val="single" w:sz="8" w:color="0000EE"/>
            </w:tcBorders>
            <w:gridSpan w:val="23"/>
          </w:tcPr>
          <w:p>
            <w:pPr>
              <w:spacing w:after="0" w:line="189" w:lineRule="exact"/>
              <w:rPr>
                <w:sz w:val="20"/>
                <w:szCs w:val="20"/>
                <w:color w:val="auto"/>
              </w:rPr>
            </w:pPr>
            <w:r>
              <w:rPr>
                <w:rFonts w:ascii="Times New Roman" w:cs="Times New Roman" w:eastAsia="Times New Roman" w:hAnsi="Times New Roman"/>
                <w:sz w:val="17"/>
                <w:szCs w:val="17"/>
                <w:color w:val="0000EE"/>
              </w:rPr>
              <w:t>D. AMERICAN DEPOSITARY SHARES</w:t>
            </w:r>
          </w:p>
        </w:tc>
        <w:tc>
          <w:tcPr>
            <w:tcW w:w="6020" w:type="dxa"/>
            <w:vAlign w:val="bottom"/>
            <w:gridSpan w:val="1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186</w:t>
            </w:r>
          </w:p>
        </w:tc>
      </w:tr>
      <w:tr>
        <w:trPr>
          <w:trHeight w:val="189"/>
        </w:trPr>
        <w:tc>
          <w:tcPr>
            <w:tcW w:w="58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w w:val="94"/>
              </w:rPr>
              <w:t>PART II</w:t>
            </w:r>
          </w:p>
        </w:tc>
        <w:tc>
          <w:tcPr>
            <w:tcW w:w="8740" w:type="dxa"/>
            <w:vAlign w:val="bottom"/>
            <w:gridSpan w:val="3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187</w:t>
            </w:r>
          </w:p>
        </w:tc>
      </w:tr>
      <w:tr>
        <w:trPr>
          <w:trHeight w:val="189"/>
        </w:trPr>
        <w:tc>
          <w:tcPr>
            <w:tcW w:w="5580" w:type="dxa"/>
            <w:vAlign w:val="bottom"/>
            <w:tcBorders>
              <w:bottom w:val="single" w:sz="8" w:color="0000EE"/>
            </w:tcBorders>
            <w:gridSpan w:val="30"/>
          </w:tcPr>
          <w:p>
            <w:pPr>
              <w:spacing w:after="0" w:line="189" w:lineRule="exact"/>
              <w:rPr>
                <w:sz w:val="20"/>
                <w:szCs w:val="20"/>
                <w:color w:val="auto"/>
              </w:rPr>
            </w:pPr>
            <w:r>
              <w:rPr>
                <w:rFonts w:ascii="Times New Roman" w:cs="Times New Roman" w:eastAsia="Times New Roman" w:hAnsi="Times New Roman"/>
                <w:sz w:val="17"/>
                <w:szCs w:val="17"/>
                <w:color w:val="0000EE"/>
              </w:rPr>
              <w:t>ITEM 13. DEFAULTS, DIVIDEND ARREARAGES AND DELINQUENCIES</w:t>
            </w:r>
          </w:p>
        </w:tc>
        <w:tc>
          <w:tcPr>
            <w:tcW w:w="3740" w:type="dxa"/>
            <w:vAlign w:val="bottom"/>
            <w:gridSpan w:val="7"/>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187</w:t>
            </w:r>
          </w:p>
        </w:tc>
      </w:tr>
      <w:tr>
        <w:trPr>
          <w:trHeight w:val="189"/>
        </w:trPr>
        <w:tc>
          <w:tcPr>
            <w:tcW w:w="8340" w:type="dxa"/>
            <w:vAlign w:val="bottom"/>
            <w:tcBorders>
              <w:bottom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ITEM 14. MATERIAL MODIFICATIONS TO THE RIGHTS OF SECURITY HOLDERS AND USE OF PROCEEDS</w:t>
            </w:r>
          </w:p>
        </w:tc>
        <w:tc>
          <w:tcPr>
            <w:tcW w:w="9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187</w:t>
            </w:r>
          </w:p>
        </w:tc>
      </w:tr>
      <w:tr>
        <w:trPr>
          <w:trHeight w:val="189"/>
        </w:trPr>
        <w:tc>
          <w:tcPr>
            <w:tcW w:w="324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ITEM 15. CONTROLS AND PROCEDURES</w:t>
            </w:r>
          </w:p>
        </w:tc>
        <w:tc>
          <w:tcPr>
            <w:tcW w:w="6080" w:type="dxa"/>
            <w:vAlign w:val="bottom"/>
            <w:gridSpan w:val="1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188</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 [RESERVED]</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189</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16A. AUDIT COMMITTEE FINANCIAL EXPERT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189</w:t>
            </w:r>
          </w:p>
        </w:tc>
      </w:tr>
      <w:tr>
        <w:trPr>
          <w:trHeight w:val="189"/>
        </w:trPr>
        <w:tc>
          <w:tcPr>
            <w:tcW w:w="2240" w:type="dxa"/>
            <w:vAlign w:val="bottom"/>
            <w:tcBorders>
              <w:top w:val="single" w:sz="8" w:color="0000EE"/>
              <w:bottom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7"/>
                <w:szCs w:val="17"/>
                <w:color w:val="0000EE"/>
              </w:rPr>
              <w:t>ITEM 16B. CODE OF ETHICS</w:t>
            </w:r>
          </w:p>
        </w:tc>
        <w:tc>
          <w:tcPr>
            <w:tcW w:w="1900" w:type="dxa"/>
            <w:vAlign w:val="bottom"/>
            <w:tcBorders>
              <w:top w:val="single" w:sz="8" w:color="0000EE"/>
            </w:tcBorders>
            <w:gridSpan w:val="16"/>
          </w:tcPr>
          <w:p>
            <w:pPr>
              <w:spacing w:after="0"/>
              <w:rPr>
                <w:sz w:val="16"/>
                <w:szCs w:val="16"/>
                <w:color w:val="auto"/>
              </w:rPr>
            </w:pPr>
          </w:p>
        </w:tc>
        <w:tc>
          <w:tcPr>
            <w:tcW w:w="5180" w:type="dxa"/>
            <w:vAlign w:val="bottom"/>
            <w:gridSpan w:val="11"/>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189</w:t>
            </w:r>
          </w:p>
        </w:tc>
      </w:tr>
      <w:tr>
        <w:trPr>
          <w:trHeight w:val="189"/>
        </w:trPr>
        <w:tc>
          <w:tcPr>
            <w:tcW w:w="4680" w:type="dxa"/>
            <w:vAlign w:val="bottom"/>
            <w:tcBorders>
              <w:bottom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4640" w:type="dxa"/>
            <w:vAlign w:val="bottom"/>
            <w:gridSpan w:val="9"/>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189</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7760" w:type="dxa"/>
            <w:vAlign w:val="bottom"/>
            <w:tcBorders>
              <w:bottom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7"/>
                <w:szCs w:val="17"/>
                <w:color w:val="0000EE"/>
              </w:rPr>
              <w:t>ITEM 16E. PURCHASES OF EQUITY SECURITIES BY THE ISSUER AND AFFILIATED PURCHASERS</w:t>
            </w:r>
          </w:p>
        </w:tc>
        <w:tc>
          <w:tcPr>
            <w:tcW w:w="1560" w:type="dxa"/>
            <w:vAlign w:val="bottom"/>
            <w:gridSpan w:val="2"/>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w:t>
            </w:r>
          </w:p>
        </w:tc>
      </w:tr>
      <w:tr>
        <w:trPr>
          <w:trHeight w:val="189"/>
        </w:trPr>
        <w:tc>
          <w:tcPr>
            <w:tcW w:w="534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3980" w:type="dxa"/>
            <w:vAlign w:val="bottom"/>
            <w:gridSpan w:val="8"/>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16G. CORPORATE GOVERNANCE</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140" w:type="dxa"/>
            <w:vAlign w:val="bottom"/>
            <w:tcBorders>
              <w:bottom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7"/>
                <w:szCs w:val="17"/>
                <w:color w:val="0000EE"/>
              </w:rPr>
              <w:t>ITEM 16H. MINE SAFETY DISCLOSURE</w:t>
            </w:r>
          </w:p>
        </w:tc>
        <w:tc>
          <w:tcPr>
            <w:tcW w:w="6180" w:type="dxa"/>
            <w:vAlign w:val="bottom"/>
            <w:gridSpan w:val="1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189"/>
        </w:trPr>
        <w:tc>
          <w:tcPr>
            <w:tcW w:w="752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1800" w:type="dxa"/>
            <w:vAlign w:val="bottom"/>
            <w:gridSpan w:val="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189"/>
        </w:trPr>
        <w:tc>
          <w:tcPr>
            <w:tcW w:w="3120" w:type="dxa"/>
            <w:vAlign w:val="bottom"/>
            <w:tcBorders>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7"/>
                <w:szCs w:val="17"/>
                <w:color w:val="0000EE"/>
              </w:rPr>
              <w:t>ITEM 16J. INSIDER TRADING POLICIES</w:t>
            </w:r>
          </w:p>
        </w:tc>
        <w:tc>
          <w:tcPr>
            <w:tcW w:w="6200" w:type="dxa"/>
            <w:vAlign w:val="bottom"/>
            <w:gridSpan w:val="17"/>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16K. CYBERSECURITY</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193</w:t>
            </w:r>
          </w:p>
        </w:tc>
      </w:tr>
      <w:tr>
        <w:trPr>
          <w:trHeight w:val="189"/>
        </w:trPr>
        <w:tc>
          <w:tcPr>
            <w:tcW w:w="228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PART III</w:t>
            </w:r>
          </w:p>
        </w:tc>
        <w:tc>
          <w:tcPr>
            <w:tcW w:w="7040" w:type="dxa"/>
            <w:vAlign w:val="bottom"/>
            <w:gridSpan w:val="2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2820" w:type="dxa"/>
            <w:vAlign w:val="bottom"/>
            <w:tcBorders>
              <w:bottom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6500" w:type="dxa"/>
            <w:vAlign w:val="bottom"/>
            <w:gridSpan w:val="19"/>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1520" w:type="dxa"/>
            <w:vAlign w:val="bottom"/>
            <w:tcBorders>
              <w:top w:val="single" w:sz="8" w:color="0000EE"/>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ITEM 19. EXHIBITS</w:t>
            </w:r>
          </w:p>
        </w:tc>
        <w:tc>
          <w:tcPr>
            <w:tcW w:w="1280" w:type="dxa"/>
            <w:vAlign w:val="bottom"/>
            <w:tcBorders>
              <w:top w:val="single" w:sz="8" w:color="0000EE"/>
            </w:tcBorders>
            <w:gridSpan w:val="11"/>
          </w:tcPr>
          <w:p>
            <w:pPr>
              <w:spacing w:after="0"/>
              <w:rPr>
                <w:sz w:val="16"/>
                <w:szCs w:val="16"/>
                <w:color w:val="auto"/>
              </w:rPr>
            </w:pPr>
          </w:p>
        </w:tc>
        <w:tc>
          <w:tcPr>
            <w:tcW w:w="6520" w:type="dxa"/>
            <w:vAlign w:val="bottom"/>
            <w:gridSpan w:val="20"/>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195</w:t>
            </w:r>
          </w:p>
        </w:tc>
      </w:tr>
      <w:tr>
        <w:trPr>
          <w:trHeight w:val="189"/>
        </w:trPr>
        <w:tc>
          <w:tcPr>
            <w:tcW w:w="106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w w:val="98"/>
              </w:rPr>
              <w:t>SIGNATURES</w:t>
            </w:r>
          </w:p>
        </w:tc>
        <w:tc>
          <w:tcPr>
            <w:tcW w:w="8260" w:type="dxa"/>
            <w:vAlign w:val="bottom"/>
            <w:gridSpan w:val="3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201</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F-1</w:t>
            </w:r>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900"/>
          </w:cols>
          <w:pgMar w:left="320" w:top="473"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this annual report on Form 20-F, unless otherwise indicated:</w:t>
      </w:r>
    </w:p>
    <w:p>
      <w:pPr>
        <w:spacing w:after="0" w:line="131" w:lineRule="exact"/>
        <w:rPr>
          <w:sz w:val="20"/>
          <w:szCs w:val="20"/>
          <w:color w:val="auto"/>
        </w:rPr>
      </w:pPr>
    </w:p>
    <w:p>
      <w:pPr>
        <w:ind w:left="1240" w:right="20" w:hanging="530"/>
        <w:spacing w:after="0" w:line="263"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“2015 Credit Facilities” refers to the HK$13.65 billion (equivalent to US$1.75 billion) senior secured credit facilities agreement dated June 19, 2015, entered into by Melco Resorts Macau, as borrower, comprising (i) a Hong Kong dollar term loan facility of HK$3.90 billion (equivalent to US$500.0 million) with a term of six years and (ii) a HK$9.75 billion (equivalent to US$1.25 billion) revolving credit facility, and following the repayment of all outstanding loan amounts, together with accrued interest and associated costs on May 7, 2020, other than the HK$1.0 million (equivalent to US$0.1 million) which remains outstanding under the term loan facility, with a maturity date extended to June 24, 2024, and the HK$1.0 million (equivalent to US$0.1 million) revolving credit facility commitment which remains available under the revolving credit facility, all other commitments under the 2015 Credit Facilities were canceled;</w:t>
      </w:r>
    </w:p>
    <w:p>
      <w:pPr>
        <w:spacing w:after="0" w:line="81" w:lineRule="exact"/>
        <w:rPr>
          <w:rFonts w:ascii="Times New Roman" w:cs="Times New Roman" w:eastAsia="Times New Roman" w:hAnsi="Times New Roman"/>
          <w:sz w:val="17"/>
          <w:szCs w:val="17"/>
          <w:color w:val="auto"/>
        </w:rPr>
      </w:pPr>
    </w:p>
    <w:p>
      <w:pPr>
        <w:ind w:left="1240" w:right="80" w:hanging="530"/>
        <w:spacing w:after="0" w:line="26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 Credit Facilities” refers to the senior facilities agreement dated April 29, 2020, entered into between, among others, MCO Nominee One, our subsidiary and as borrower, and Bank of China Limited, Macau Branch, Bank of Communications Co., Ltd. Macau Branch and Morgan Stanley Senior Funding, Inc., as joint global coordinators, under which lenders have made available HK$14.85 billion (equivalent to US$1.92 billion) in a revolving credit facility for a term of five years, and which have been amended and restated under the 2023 Amendment and Restatement;</w:t>
      </w:r>
    </w:p>
    <w:p>
      <w:pPr>
        <w:spacing w:after="0" w:line="79" w:lineRule="exact"/>
        <w:rPr>
          <w:rFonts w:ascii="Times New Roman" w:cs="Times New Roman" w:eastAsia="Times New Roman" w:hAnsi="Times New Roman"/>
          <w:sz w:val="17"/>
          <w:szCs w:val="17"/>
          <w:color w:val="auto"/>
        </w:rPr>
      </w:pPr>
    </w:p>
    <w:p>
      <w:pPr>
        <w:ind w:left="1240" w:right="20" w:hanging="530"/>
        <w:spacing w:after="0" w:line="26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Studio City Senior Secured Credit Facility” refers to the facility agreement dated November 23, 2016 with, among others, Bank of China Limited, Macau Branch, to amend, restate and extend the Studio City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2028 Studio City Senior Secured Credit Facility;</w:t>
      </w:r>
    </w:p>
    <w:p>
      <w:pPr>
        <w:spacing w:after="0" w:line="79" w:lineRule="exact"/>
        <w:rPr>
          <w:rFonts w:ascii="Times New Roman" w:cs="Times New Roman" w:eastAsia="Times New Roman" w:hAnsi="Times New Roman"/>
          <w:sz w:val="17"/>
          <w:szCs w:val="17"/>
          <w:color w:val="auto"/>
        </w:rPr>
      </w:pPr>
    </w:p>
    <w:p>
      <w:pPr>
        <w:ind w:left="1240" w:hanging="530"/>
        <w:spacing w:after="0" w:line="264"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Amendment and Restatement” refers to the Amendment and Restatement Agreement dated June 29, 2023 among MCO Nominee One, MCO Investments Limited, Melco Resorts Finance, MCO International Limited, and Bank of China Limited, Macau Branch, acting as the facility agent, to amend the provisions of the 2020 Credit Facilities such that borrowings under the 2020 Credit Facilities denominated in U.S. dollars bear interest at the term Secured Overnight Financing Rate plus an applicable credit adjustment spread ranging from 0.06% to 0.20% per annum, as adjusted in accordance with the interest period, and a margin ranging from 1.00% to 2.00% per annum as adjusted in accordance with the leverage ratio in respect of MCO Nominee One and certain of its specified subsidiaries;</w:t>
      </w:r>
    </w:p>
    <w:p>
      <w:pPr>
        <w:spacing w:after="0" w:line="82"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Studio City Notes” refers to the US$600.0 million aggregate principal amount of 7.25% senior notes due 2024 issued by Studio City Finance on February 11, 2019 and as to which no amount remains outstanding following the redemption of all remaining outstanding amounts in February 2021;</w:t>
      </w:r>
    </w:p>
    <w:p>
      <w:pPr>
        <w:spacing w:after="0" w:line="70"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Studio City Notes Tender Offer” refers to the conditional tender offer by Studio City Finance to purchase for cash any and all of the outstanding 2024 Studio City Notes, which commenced and settled in January 2021;</w:t>
      </w:r>
    </w:p>
    <w:p>
      <w:pPr>
        <w:spacing w:after="0" w:line="55" w:lineRule="exact"/>
        <w:rPr>
          <w:rFonts w:ascii="Times New Roman" w:cs="Times New Roman" w:eastAsia="Times New Roman" w:hAnsi="Times New Roman"/>
          <w:sz w:val="17"/>
          <w:szCs w:val="17"/>
          <w:color w:val="auto"/>
        </w:rPr>
      </w:pPr>
    </w:p>
    <w:p>
      <w:pPr>
        <w:ind w:left="1240" w:right="30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Senior Notes” refers to the US$1.0 billion aggregate principal amount of 4.875% senior notes due 2025 issued by Melco Resorts Finance, of which US$650.0 million in aggregate principal amount was issued on June 6, 2017 and US$350.0 million in aggregate principal amount was issued on July 3, 2017;</w:t>
      </w:r>
    </w:p>
    <w:p>
      <w:pPr>
        <w:spacing w:after="0" w:line="70"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Studio City Notes” refers to the US$500 million aggregate principal amount of 6.00% senior notes due 2025 issued by Studio City Finance on July 15, 2020;</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960"/>
          </w:cols>
          <w:pgMar w:left="320" w:top="473"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32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Studio City Notes Tender Offer” refers to the conditional tender offer by Studio City Finance pursuant to which it purchased for cash an aggregate principal amount of US$100.0 million of the outstanding 2025 Studio City Notes in November 2023;</w:t>
      </w:r>
    </w:p>
    <w:p>
      <w:pPr>
        <w:spacing w:after="0" w:line="55"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Senior Notes” refers to the US$500.0 million aggregate principal amount of 5.250% senior notes due 2026 issued by Melco Resorts Finance on April 26, 2019;</w:t>
      </w:r>
    </w:p>
    <w:p>
      <w:pPr>
        <w:spacing w:after="0" w:line="55"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“2027 Senior Notes” refers to the US$600.0 million aggregate principal amount of 5.625% senior notes due 2027 issued by Melco Resorts Finance on July 17, 2019;</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“2027 Studio City Notes” refers to the US$350.0 million aggregate principal amount of 7.00% senior notes due 2027 issued by Studio City Company on February 16, 2022;</w:t>
      </w:r>
    </w:p>
    <w:p>
      <w:pPr>
        <w:spacing w:after="0" w:line="55"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Senior Notes” refers to the US$850 million aggregate principal amount of 5.750% senior notes due 2028 issued by Melco Resorts Finance, of which US$500.0 million in aggregate principal amount was issued on July 21, 2020 (the “First 2028 Senior Notes”) and US$350.0 million in aggregate principal amount was issued on August 11, 2020 (the “Additional 2028 Senior Notes”);</w:t>
      </w:r>
    </w:p>
    <w:p>
      <w:pPr>
        <w:spacing w:after="0" w:line="70"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Studio City Notes” refers to the US$500 million aggregate principal amount of 6.50% senior notes due 2028 issued by Studio City Finance on July 15, 2020;</w:t>
      </w:r>
    </w:p>
    <w:p>
      <w:pPr>
        <w:spacing w:after="0" w:line="55" w:lineRule="exact"/>
        <w:rPr>
          <w:rFonts w:ascii="Times New Roman" w:cs="Times New Roman" w:eastAsia="Times New Roman" w:hAnsi="Times New Roman"/>
          <w:sz w:val="17"/>
          <w:szCs w:val="17"/>
          <w:color w:val="auto"/>
        </w:rPr>
      </w:pPr>
    </w:p>
    <w:p>
      <w:pPr>
        <w:jc w:val="both"/>
        <w:ind w:left="1240" w:right="400" w:hanging="530"/>
        <w:spacing w:after="0" w:line="264"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(equivalent to US$30.0 million), which consist of a</w:t>
      </w:r>
    </w:p>
    <w:p>
      <w:pPr>
        <w:ind w:left="124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HK$233.0 million (equivalent to US$29.9 million) revolving credit facility and a HK$1.0 million (equivalent to US$0.1 million) term loan facility, with the maturity date of January 15, 2028;</w:t>
      </w:r>
    </w:p>
    <w:p>
      <w:pPr>
        <w:spacing w:after="0" w:line="72"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Senior Notes” refers to the US$1.15 billion aggregate principal amount of 5.375% senior notes due 2029 issued by Melco Resorts Finance, of which US$900.0 million in aggregate principal amount was issued on December 4, 2019 (“First 2029 Senior Notes”) and US$250.0 million in aggregate principal amount was issued on January 21, 2021 (“Additional 2029 Senior Notes”);</w:t>
      </w:r>
    </w:p>
    <w:p>
      <w:pPr>
        <w:spacing w:after="0" w:line="70" w:lineRule="exact"/>
        <w:rPr>
          <w:rFonts w:ascii="Times New Roman" w:cs="Times New Roman" w:eastAsia="Times New Roman" w:hAnsi="Times New Roman"/>
          <w:sz w:val="17"/>
          <w:szCs w:val="17"/>
          <w:color w:val="auto"/>
        </w:rPr>
      </w:pPr>
    </w:p>
    <w:p>
      <w:pPr>
        <w:jc w:val="both"/>
        <w:ind w:left="1240" w:right="180" w:hanging="530"/>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Studio City Notes” refers to the US$1.1 billion aggregate principal amount of 5.00% senior notes due 2029 issued by Studio City Finance, of which US$750.0 million in aggregate principal amount was issued on January 14, 2021 (“First 2029 Studio City Notes”) and US$350.0 million in aggregate principal amount was issued on May 20, 2021 (“Additional 2029 Studio City Notes”);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“ADSs” refers to our American depositary shares, each of which represents three ordinary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Macau” refers to an integrated resort located in Taipa, Macau;</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Resorts” refers to our subsidiary, Altira Resorts Limited (formerly known as Altira Developments Limited), a Macau company through which we hold the land and building for Altira Macau and operate hotel and certain other non-gaming businesses at Altira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 and “Australian dollar(s)” refer to the legal currency of Australia;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“board of directors” refer to the board of directors of our Company or a duly constituted committee thereof;</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“CGC” means the Cyprus Gaming and Casino Supervision Commission, also known as the Cyprus Gaming Commission;</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55" w:lineRule="exact"/>
        <w:rPr>
          <w:rFonts w:ascii="Times New Roman" w:cs="Times New Roman" w:eastAsia="Times New Roman" w:hAnsi="Times New Roman"/>
          <w:sz w:val="17"/>
          <w:szCs w:val="17"/>
          <w:color w:val="auto"/>
        </w:rPr>
      </w:pPr>
    </w:p>
    <w:p>
      <w:pPr>
        <w:jc w:val="both"/>
        <w:ind w:left="1240" w:right="460" w:hanging="530"/>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refers to an integrated resort located in Cotai, Macau, which currently features casino areas and four luxury hotels, including a collection of retail brands, a wet stage performance theater (temporarily closed since June 2020) and other entertainment venues;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40"/>
          </w:cols>
          <w:pgMar w:left="320" w:top="473"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Manila” refers to an integrated resort located within Entertainment City, Manila;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Mediterranean” refers to an integrated resort located in Limassol, Cyprus;</w:t>
      </w:r>
    </w:p>
    <w:p>
      <w:pPr>
        <w:spacing w:after="0" w:line="131" w:lineRule="exact"/>
        <w:rPr>
          <w:rFonts w:ascii="Times New Roman" w:cs="Times New Roman" w:eastAsia="Times New Roman" w:hAnsi="Times New Roman"/>
          <w:sz w:val="17"/>
          <w:szCs w:val="17"/>
          <w:color w:val="auto"/>
        </w:rPr>
      </w:pPr>
    </w:p>
    <w:p>
      <w:pPr>
        <w:jc w:val="both"/>
        <w:ind w:left="1240" w:right="40" w:hanging="530"/>
        <w:spacing w:after="0" w:line="276"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 Resorts” refers to our subsidiary, COD Resorts Limited (formerly known as Melco Crown (COD) Developments Limited), a Macau company through which we hold the land and buildings for City of Dreams, operate hotel and certain other non-gaming businesses at City of Dreams and provide shared services within the Company;</w:t>
      </w:r>
    </w:p>
    <w:p>
      <w:pPr>
        <w:spacing w:after="0" w:line="70"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“Concession Contract” refers to the concession contract executed between the Macau Special Administrative Region and Melco Resorts Macau on December 16, 2022, that provides for the terms and conditions of the concession granted to Melco Resorts Macau, which expires on December 31, 2032;</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“Crown Resorts” refers to Crown Resorts Limited, a company listed on the Australian Securities Exchange;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Acquisition” refers to our acquisition of a 75% equity interest in ICR Cyprus from Melco International with the issuance of</w:t>
      </w:r>
    </w:p>
    <w:p>
      <w:pPr>
        <w:spacing w:after="0" w:line="31" w:lineRule="exact"/>
        <w:rPr>
          <w:rFonts w:ascii="Times New Roman" w:cs="Times New Roman" w:eastAsia="Times New Roman" w:hAnsi="Times New Roman"/>
          <w:sz w:val="17"/>
          <w:szCs w:val="17"/>
          <w:color w:val="auto"/>
        </w:rPr>
      </w:pPr>
    </w:p>
    <w:p>
      <w:pPr>
        <w:ind w:left="1240" w:right="4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 million ordinary shares as consideration pursuant to the definitive agreement entered into between us and Melco International on June 24, 2019 and completed on July 31, 2019;</w:t>
      </w:r>
    </w:p>
    <w:p>
      <w:pPr>
        <w:spacing w:after="0" w:line="72"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Casinos” refers to our satellite casinos in Cyprus, which, as of the date of this annual report, comprise properties in Nicosia, Ayia Napa and Paphos;</w:t>
      </w:r>
    </w:p>
    <w:p>
      <w:pPr>
        <w:spacing w:after="0" w:line="55" w:lineRule="exact"/>
        <w:rPr>
          <w:rFonts w:ascii="Times New Roman" w:cs="Times New Roman" w:eastAsia="Times New Roman" w:hAnsi="Times New Roman"/>
          <w:sz w:val="17"/>
          <w:szCs w:val="17"/>
          <w:color w:val="auto"/>
        </w:rPr>
      </w:pPr>
    </w:p>
    <w:p>
      <w:pPr>
        <w:ind w:left="1240" w:right="100" w:hanging="530"/>
        <w:spacing w:after="0" w:line="269"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License” refers to the gaming license granted by the government of Cyprus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w:t>
      </w:r>
    </w:p>
    <w:p>
      <w:pPr>
        <w:spacing w:after="0" w:line="77"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“DICJ” refers to the Direcção de Inspecção e Coordenação de Jogos (the Gaming Inspection and Coordination Bureau), a department of the Public Administration of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“DSEC” refers to the Statistics and Census Service of Macau, a department of the government of Macau;</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 and “Euro(s)” refer to the legal currency of the European Union;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China” refers to mainland China, Hong Kong and Macau, collectively;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“HIBOR” refers to the Hong Kong Interbank Offered Rate;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 and “H.K. dollar(s)” refer to the legal currency of Hong Kong;</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“HKSE” refers to The Stock Exchange of Hong Kong Limited;</w:t>
      </w:r>
    </w:p>
    <w:p>
      <w:pPr>
        <w:spacing w:after="0" w:line="131" w:lineRule="exact"/>
        <w:rPr>
          <w:rFonts w:ascii="Times New Roman" w:cs="Times New Roman" w:eastAsia="Times New Roman" w:hAnsi="Times New Roman"/>
          <w:sz w:val="17"/>
          <w:szCs w:val="17"/>
          <w:color w:val="auto"/>
        </w:rPr>
      </w:pPr>
    </w:p>
    <w:p>
      <w:pPr>
        <w:ind w:left="1240" w:right="32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“ICR Cyprus” refers to ICR Cyprus Holdings Limited, a company incorporated under the laws of Cyprus, in which we acquired a 75% equity interest upon the completion of the Cyprus Acquisition;</w:t>
      </w:r>
    </w:p>
    <w:p>
      <w:pPr>
        <w:spacing w:after="0" w:line="55"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Casino Resorts” refers to Integrated Casino Resorts Cyprus Limited, a company incorporated under the laws of Cyprus and which became our subsidiary upon the completion of the Cyprus Acquisition;</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Nominee One” refers to our subsidiary, MCO Nominee One Limited;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refers to Melco International Development Limited, a Hong Kong-listed company;</w:t>
      </w:r>
    </w:p>
    <w:p>
      <w:pPr>
        <w:spacing w:after="0" w:line="131"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Leisure” refers to Melco Leisure and Entertainment Group Limited, a company incorporated under the laws of the British Virgin Islands and a wholly-owned subsidiary of Melco International;</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60"/>
          </w:cols>
          <w:pgMar w:left="320" w:top="473"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Philippine Parties” refers to Melco Resorts Leisure, MPHIL Holdings No. 1 and MPHIL Holdings No. 2;</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Notes” refers to, collectively, the 2025 Senior Notes, the 2026 Senior Notes, the 2027 Senior Notes, the 2028 Senior Notes and the 2029 Senior Notes;</w:t>
      </w:r>
    </w:p>
    <w:p>
      <w:pPr>
        <w:spacing w:after="0" w:line="55"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refers to our subsidiary, Melco Resorts Finance Limited (formerly known as MCE Finance Limited), a Cayman Islands exempted company with limited liability;</w:t>
      </w:r>
    </w:p>
    <w:p>
      <w:pPr>
        <w:spacing w:after="0" w:line="55" w:lineRule="exact"/>
        <w:rPr>
          <w:rFonts w:ascii="Times New Roman" w:cs="Times New Roman" w:eastAsia="Times New Roman" w:hAnsi="Times New Roman"/>
          <w:sz w:val="17"/>
          <w:szCs w:val="17"/>
          <w:color w:val="auto"/>
        </w:rPr>
      </w:pPr>
    </w:p>
    <w:p>
      <w:pPr>
        <w:ind w:left="1240" w:right="52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refers to our subsidiary, Melco Resorts Leisure (PHP) Corporation (formerly known as MCE Leisure (Philippines) Corporation), a corporation incorporated in the Philippines and one of the Philippine Licensees holding the Philippine License;</w:t>
      </w:r>
    </w:p>
    <w:p>
      <w:pPr>
        <w:spacing w:after="0" w:line="70"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refers to our subsidiary, Melco Resorts (Macau) Limited (formerly known as Melco Crown (Macau) Limited), a Macau company and the holder of our gaming concession;</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“Mocha Clubs” refer to, collectively, our clubs with gaming machines, which are now the largest non-casino based operations of electronic gaming machines in Macau;</w:t>
      </w:r>
    </w:p>
    <w:p>
      <w:pPr>
        <w:spacing w:after="0" w:line="55"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1” refers to our subsidiary, MPHIL Holdings No. 1 Corporation (formerly known as MCE Holdings (Philippines) Corporation), a corporation incorporated in the Philippines and one of the Philippine Licensees holding the Philippine License;</w:t>
      </w:r>
    </w:p>
    <w:p>
      <w:pPr>
        <w:spacing w:after="0" w:line="55" w:lineRule="exact"/>
        <w:rPr>
          <w:rFonts w:ascii="Times New Roman" w:cs="Times New Roman" w:eastAsia="Times New Roman" w:hAnsi="Times New Roman"/>
          <w:sz w:val="17"/>
          <w:szCs w:val="17"/>
          <w:color w:val="auto"/>
        </w:rPr>
      </w:pPr>
    </w:p>
    <w:p>
      <w:pPr>
        <w:ind w:left="1240" w:right="52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2” refers to our subsidiary, MPHIL Holdings No. 2 Corporation (formerly known as MCE Holdings No. 2 (Philippines) Corporation), a corporation incorporated in the Philippines and one of the Philippine Licensees holding the Philippine License;</w:t>
      </w:r>
    </w:p>
    <w:p>
      <w:pPr>
        <w:spacing w:after="0" w:line="70"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“MRP” refers to our subsidiary, Melco Resorts and Entertainment (Philippines) Corporation (formerly known as Melco Crown (Philippines) Resorts Corporation), the shares of which have been delisted from the Philippine Stock Exchange since June 11, 2019 due to MRP’s public ownership having fallen below the minimum requirement of the Philippine Stock Exchange for more than six months;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Manila” refers to the hotel development located in City of Dreams Manila branded as Nobu Hotel Manila;</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Manila” refers to the hotel development located in City of Dreams Manila branded as Nüwa Hotel Manila, formerly branded as the Crown Towers hotel;</w:t>
      </w:r>
    </w:p>
    <w:p>
      <w:pPr>
        <w:spacing w:after="0" w:line="55"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concession” and “our gaming concession” refers to the Macau gaming concession held by Melco Resorts Macau, effective from January 1, 2023 until December 31, 2032;</w:t>
      </w:r>
    </w:p>
    <w:p>
      <w:pPr>
        <w:spacing w:after="0" w:line="55" w:lineRule="exact"/>
        <w:rPr>
          <w:rFonts w:ascii="Times New Roman" w:cs="Times New Roman" w:eastAsia="Times New Roman" w:hAnsi="Times New Roman"/>
          <w:sz w:val="17"/>
          <w:szCs w:val="17"/>
          <w:color w:val="auto"/>
        </w:rPr>
      </w:pPr>
    </w:p>
    <w:p>
      <w:pPr>
        <w:jc w:val="both"/>
        <w:ind w:left="1240" w:right="40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refers to the Philippines Amusement and Gaming Corporation, the Philippines regulatory body with jurisdiction over all gaming activities in the Philippines except for lottery, sweepstakes, cockfighting, horse racing and gaming inside the Cagayan Export Zone;</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Charter” refers to the Presidential Decree No. 1869, of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“Pataca(s)” and “MOP” refer to the legal currency of Macau;</w:t>
      </w:r>
    </w:p>
    <w:p>
      <w:pPr>
        <w:spacing w:after="0" w:line="131" w:lineRule="exact"/>
        <w:rPr>
          <w:rFonts w:ascii="Times New Roman" w:cs="Times New Roman" w:eastAsia="Times New Roman" w:hAnsi="Times New Roman"/>
          <w:sz w:val="17"/>
          <w:szCs w:val="17"/>
          <w:color w:val="auto"/>
        </w:rPr>
      </w:pPr>
    </w:p>
    <w:p>
      <w:pPr>
        <w:ind w:left="1240" w:right="70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License” refers to the regular gaming license dated April 29, 2015 issued by PAGCOR to the Philippine Licensees in replacement of the Provisional License for the operation of City of Dreams Manila and which is valid until July 11, 2033;</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Licensees” refers to holders of the Philippine License, which include the Melco Philippine Parties and the Philippine Parties;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Parties” refers to SM Investments Corporation, Belle Corporation and PremiumLeisure and Amusement, Inc.;</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peso(s)” and “PHP” refer to the legal currency of the Philippines;</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920"/>
          </w:cols>
          <w:pgMar w:left="320" w:top="473"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“Renminbi” and “RMB” refer to the legal currency of the PRC;</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 ADSs” refers to the American depositary shares of SCI, each of which represents four Class A ordinary shares of SCI;</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 and “Studio City International” refer to our subsidiary, Studio City International Holdings Limited, an exempted company registered by way of continuation in the Cayman Islands, the American depositary receipts of which are listed on the New York Stock Exchange;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“SGD” and “Singapore dollar(s)” refer to the legal currency of Singapore;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and “ordinary share(s)” refer to our ordinary share(s), par value of US$0.01 each;</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refers to a cinematically-themed integrated resort in Cotai, an area of reclaimed land located between the islands of Taipa and Coloane in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refers to the gaming areas being operated within Studio City;</w:t>
      </w:r>
    </w:p>
    <w:p>
      <w:pPr>
        <w:spacing w:after="0" w:line="131" w:lineRule="exact"/>
        <w:rPr>
          <w:rFonts w:ascii="Times New Roman" w:cs="Times New Roman" w:eastAsia="Times New Roman" w:hAnsi="Times New Roman"/>
          <w:sz w:val="17"/>
          <w:szCs w:val="17"/>
          <w:color w:val="auto"/>
        </w:rPr>
      </w:pPr>
    </w:p>
    <w:p>
      <w:pPr>
        <w:ind w:left="1240" w:right="140" w:hanging="530"/>
        <w:spacing w:after="0" w:line="269"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77"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refers to our subsidiary, Studio City Company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refers to our subsidiary, Studio City Finance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 refers to the hotel owned by Studio City Developments Limited which includes the four hotel towers at Studio City;</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Hotels” refers to our subsidiary, Studio City Hotels Limited, which is a company incorporated in Macau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refers to our subsidiary, Studio City Investments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IPO” refers to the initial public offering of a total of 33,062,500 SC ADSs, comprising the 28,750,000 SC ADSs sold initially and the 4,312,500 SC ADSs sold pursuant to the over-allotment option, at the price of US$12.50 per SC ADS;</w:t>
      </w:r>
    </w:p>
    <w:p>
      <w:pPr>
        <w:spacing w:after="0" w:line="55"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Notes” refer to, collectively, the 2025 Studio City Notes, the 2027 Studio City Notes, the 2028 Studio City Notes and the 2029 Studio City Notes;</w:t>
      </w:r>
    </w:p>
    <w:p>
      <w:pPr>
        <w:spacing w:after="0" w:line="55" w:lineRule="exact"/>
        <w:rPr>
          <w:rFonts w:ascii="Times New Roman" w:cs="Times New Roman" w:eastAsia="Times New Roman" w:hAnsi="Times New Roman"/>
          <w:sz w:val="17"/>
          <w:szCs w:val="17"/>
          <w:color w:val="auto"/>
        </w:rPr>
      </w:pPr>
    </w:p>
    <w:p>
      <w:pPr>
        <w:ind w:left="1240" w:right="380" w:hanging="530"/>
        <w:spacing w:after="0" w:line="269"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revolving credit facility of HK$775,420,000 (equivalent to US$100 million), and which was amended, restated and extended by the 2021 Studio City Senior Secured Credit Facility;</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Philippines” refers to the Republic of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“TWD” and “New Taiwan dollar(s)” refer to the legal currency of Taiwan;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“U.S. dollar(s)” refer to the legal currency of the United States;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940"/>
          </w:cols>
          <w:pgMar w:left="320" w:top="473"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refers to the U.S. generally accepted accounting principles; and</w:t>
      </w:r>
    </w:p>
    <w:p>
      <w:pPr>
        <w:spacing w:after="0" w:line="131" w:lineRule="exact"/>
        <w:rPr>
          <w:rFonts w:ascii="Times New Roman" w:cs="Times New Roman" w:eastAsia="Times New Roman" w:hAnsi="Times New Roman"/>
          <w:sz w:val="17"/>
          <w:szCs w:val="17"/>
          <w:color w:val="auto"/>
        </w:rPr>
      </w:pPr>
    </w:p>
    <w:p>
      <w:pPr>
        <w:ind w:left="1240" w:right="3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“our Company”, “the Company” and “Melco” refer to Melco Resorts &amp; Entertainment Limited and, as the context requires, its predecessor entities and its consolidated subsidiaries.</w:t>
      </w:r>
    </w:p>
    <w:p>
      <w:pPr>
        <w:spacing w:after="0" w:line="147" w:lineRule="exact"/>
        <w:rPr>
          <w:sz w:val="20"/>
          <w:szCs w:val="20"/>
          <w:color w:val="auto"/>
        </w:rPr>
      </w:pPr>
    </w:p>
    <w:p>
      <w:pPr>
        <w:jc w:val="both"/>
        <w:ind w:left="300" w:firstLine="960"/>
        <w:spacing w:after="0" w:line="295" w:lineRule="auto"/>
        <w:rPr>
          <w:sz w:val="20"/>
          <w:szCs w:val="20"/>
          <w:color w:val="auto"/>
        </w:rPr>
      </w:pPr>
      <w:r>
        <w:rPr>
          <w:rFonts w:ascii="Times New Roman" w:cs="Times New Roman" w:eastAsia="Times New Roman" w:hAnsi="Times New Roman"/>
          <w:sz w:val="17"/>
          <w:szCs w:val="17"/>
          <w:color w:val="auto"/>
        </w:rPr>
        <w:t>This annual report on Form 20-F includes our audited consolidated financial statements for the years ended December 31, 2023, 2022 and 2021 and as of December 31, 2023 and 2022.</w:t>
      </w:r>
    </w:p>
    <w:p>
      <w:pPr>
        <w:spacing w:after="0" w:line="147"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860"/>
          </w:cols>
          <w:pgMar w:left="320" w:top="473"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“average daily rate”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“cage”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“concession”</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“dealer”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 box”</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“electronic gaming table”</w:t>
      </w:r>
    </w:p>
    <w:p>
      <w:pPr>
        <w:spacing w:after="0" w:line="327" w:lineRule="exact"/>
        <w:rPr>
          <w:sz w:val="20"/>
          <w:szCs w:val="20"/>
          <w:color w:val="auto"/>
        </w:rPr>
      </w:pPr>
    </w:p>
    <w:p>
      <w:pPr>
        <w:ind w:left="300" w:right="880"/>
        <w:spacing w:after="0" w:line="404"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“integrated resort”</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“junket player”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“marker”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patron”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-650240</wp:posOffset>
            </wp:positionV>
            <wp:extent cx="7178675"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23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occupied, including complimentary rooms, i.e., average price of occupied rooms per day</w:t>
      </w:r>
    </w:p>
    <w:p>
      <w:pPr>
        <w:spacing w:after="0" w:line="57"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7"/>
          <w:szCs w:val="17"/>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round token that is used on casino gaming tables in lieu of cash</w:t>
      </w:r>
    </w:p>
    <w:p>
      <w:pPr>
        <w:spacing w:after="0" w:line="118"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casino employee who takes and pays out wagers or otherwise oversees a gaming table</w:t>
      </w:r>
    </w:p>
    <w:p>
      <w:pPr>
        <w:spacing w:after="0" w:line="118"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the amount of cash to purchase gaming chips and promotional vouchers that is deposited in a gaming table’s drop box, plus gaming chips purchased at the casino cage</w:t>
      </w:r>
    </w:p>
    <w:p>
      <w:pPr>
        <w:spacing w:after="0" w:line="42"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color w:val="auto"/>
        </w:rPr>
        <w:t>a box or container that serves as a repository for cash, chip purchase vouchers, credit markers and forms used to record movements in the chip inventory on each table game</w:t>
      </w:r>
    </w:p>
    <w:p>
      <w:pPr>
        <w:spacing w:after="0" w:line="4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table with an electronic or computerized wagering and payment system that allow players to place bets from multiple-player gaming seats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slot machine and/or electronic gaming 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amount wagered in gaming machines</w:t>
      </w:r>
    </w:p>
    <w:p>
      <w:pPr>
        <w:spacing w:after="0" w:line="11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gaming machine win (calculated before non-discretionary incentives (including our point-loyalty programs) and allocating casino revenues related to goods and services provided to gaming patrons on a complimentary basis) expressed as a percentage of gaming machine handle</w:t>
      </w:r>
    </w:p>
    <w:p>
      <w:pPr>
        <w:spacing w:after="0" w:line="5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w:t>
      </w:r>
    </w:p>
    <w:p>
      <w:pPr>
        <w:spacing w:after="0" w:line="65"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color w:val="auto"/>
        </w:rPr>
        <w:t>a resort which provides customers with a combination of hotel accommodations, casinos or gaming areas, retail and dining facilities, MICE space, entertainment venues and spas</w:t>
      </w:r>
    </w:p>
    <w:p>
      <w:pPr>
        <w:spacing w:after="0" w:line="42" w:lineRule="exact"/>
        <w:rPr>
          <w:sz w:val="20"/>
          <w:szCs w:val="20"/>
          <w:color w:val="auto"/>
        </w:rPr>
      </w:pPr>
    </w:p>
    <w:p>
      <w:pPr>
        <w:ind w:right="1540"/>
        <w:spacing w:after="0" w:line="385" w:lineRule="auto"/>
        <w:rPr>
          <w:sz w:val="20"/>
          <w:szCs w:val="20"/>
          <w:color w:val="auto"/>
        </w:rPr>
      </w:pPr>
      <w:r>
        <w:rPr>
          <w:rFonts w:ascii="Times New Roman" w:cs="Times New Roman" w:eastAsia="Times New Roman" w:hAnsi="Times New Roman"/>
          <w:sz w:val="17"/>
          <w:szCs w:val="17"/>
          <w:color w:val="auto"/>
        </w:rPr>
        <w:t>a player sourced by gaming promoters to play in the VIP gaming rooms or areas evidence of indebtedness by a player to the casino or gaming operator a customer who plays in the mass market segment</w:t>
      </w:r>
    </w:p>
    <w:p>
      <w:pPr>
        <w:ind w:right="120"/>
        <w:spacing w:after="0" w:line="295" w:lineRule="auto"/>
        <w:rPr>
          <w:sz w:val="20"/>
          <w:szCs w:val="20"/>
          <w:color w:val="auto"/>
        </w:rPr>
      </w:pPr>
      <w:r>
        <w:rPr>
          <w:rFonts w:ascii="Times New Roman" w:cs="Times New Roman" w:eastAsia="Times New Roman" w:hAnsi="Times New Roman"/>
          <w:sz w:val="17"/>
          <w:szCs w:val="17"/>
          <w:color w:val="auto"/>
        </w:rPr>
        <w:t>consists of both table games and gaming machines played by mass market patrons primarily for cash stakes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2">
            <w:col w:w="3100" w:space="720"/>
            <w:col w:w="7140"/>
          </w:cols>
          <w:pgMar w:left="320" w:top="473"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table games drop”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table games hold percentage”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right="580"/>
        <w:spacing w:after="0" w:line="424" w:lineRule="auto"/>
        <w:rPr>
          <w:sz w:val="20"/>
          <w:szCs w:val="20"/>
          <w:color w:val="auto"/>
        </w:rPr>
      </w:pPr>
      <w:r>
        <w:rPr>
          <w:rFonts w:ascii="Times New Roman" w:cs="Times New Roman" w:eastAsia="Times New Roman" w:hAnsi="Times New Roman"/>
          <w:sz w:val="17"/>
          <w:szCs w:val="17"/>
          <w:color w:val="auto"/>
        </w:rPr>
        <w:t>“mass market table games segment” “MICE”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rolling”</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“non-negotiable 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“non-rolling 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“occupancy rate”</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“premium direct player”</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“progressive jackpot”</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 per available room” or “REVPAR”</w:t>
      </w:r>
    </w:p>
    <w:p>
      <w:pPr>
        <w:spacing w:after="0" w:line="200" w:lineRule="exact"/>
        <w:rPr>
          <w:sz w:val="20"/>
          <w:szCs w:val="20"/>
          <w:color w:val="auto"/>
        </w:rPr>
      </w:pPr>
    </w:p>
    <w:p>
      <w:pPr>
        <w:spacing w:after="0" w:line="336" w:lineRule="exact"/>
        <w:rPr>
          <w:sz w:val="20"/>
          <w:szCs w:val="20"/>
          <w:color w:val="auto"/>
        </w:rPr>
      </w:pPr>
    </w:p>
    <w:p>
      <w:pPr>
        <w:ind w:left="300" w:right="620"/>
        <w:spacing w:after="0" w:line="424" w:lineRule="auto"/>
        <w:rPr>
          <w:sz w:val="20"/>
          <w:szCs w:val="20"/>
          <w:color w:val="auto"/>
        </w:rPr>
      </w:pPr>
      <w:r>
        <w:rPr>
          <w:rFonts w:ascii="Times New Roman" w:cs="Times New Roman" w:eastAsia="Times New Roman" w:hAnsi="Times New Roman"/>
          <w:sz w:val="17"/>
          <w:szCs w:val="17"/>
          <w:color w:val="auto"/>
        </w:rPr>
        <w:t>“rolling chip” or “VIP rolling chip” “rolling chip patron”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segment”</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volume”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win rate”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“slot machine”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-651510</wp:posOffset>
            </wp:positionV>
            <wp:extent cx="7178675"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mass market table games win (calculated before discounts, commissions, non-discretionary incentives (including our point-loyalty programs) and allocating casino revenues related to goods and services provided to gaming patrons on a complimentary basis) as a percentage of mass market table games drop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mass market segment consisting of mass market patrons who play table games</w:t>
      </w:r>
    </w:p>
    <w:p>
      <w:pPr>
        <w:spacing w:after="0" w:line="118"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Meetings, Incentives, Conventions and Exhibitions, an acronym commonly used to refer to tourism involving large groups brought together for an event or specific purpose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turnover in a non-negotiable chip game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promotional casino chip that is not to be exchanged for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chip that can be exchanged for cash, used by mass market patrons to make wagers</w:t>
      </w:r>
    </w:p>
    <w:p>
      <w:pPr>
        <w:spacing w:after="0" w:line="118" w:lineRule="exact"/>
        <w:rPr>
          <w:sz w:val="20"/>
          <w:szCs w:val="20"/>
          <w:color w:val="auto"/>
        </w:rPr>
      </w:pPr>
    </w:p>
    <w:p>
      <w:pPr>
        <w:jc w:val="both"/>
        <w:ind w:right="140"/>
        <w:spacing w:after="0" w:line="295" w:lineRule="auto"/>
        <w:rPr>
          <w:sz w:val="20"/>
          <w:szCs w:val="20"/>
          <w:color w:val="auto"/>
        </w:rPr>
      </w:pP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42"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a rolling chip patron who is a direct customer of the concessionaire and is attracted to the casino through marketing efforts of the gaming operator</w:t>
      </w:r>
    </w:p>
    <w:p>
      <w:pPr>
        <w:spacing w:after="0" w:line="42"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57"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available, thereby representing a combination of hotel average daily room rates and occupancy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non-negotiable chip primarily used by rolling chip patrons to make wagers</w:t>
      </w:r>
    </w:p>
    <w:p>
      <w:pPr>
        <w:spacing w:after="0" w:line="11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a player who primarily plays on a rolling chip or VIP rolling chip tables and typically plays for higher stakes than mass market gaming patrons</w:t>
      </w:r>
    </w:p>
    <w:p>
      <w:pPr>
        <w:spacing w:after="0" w:line="42"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consists of table games played in private VIP gaming rooms or areas by rolling chip patrons who are either premium direct players or junket players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non-negotiable chips wagered and lost by the rolling chip market segment</w:t>
      </w:r>
    </w:p>
    <w:p>
      <w:pPr>
        <w:spacing w:after="0" w:line="11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rolling chip table games win (calculated before discounts, commissions, non-discretionary incentives (including our point-loyalty programs) and allocating casino revenues related to goods and services provided to gaming patrons on a complimentary basis) as a percentage of rolling chip volume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traditional slot or electronic gaming machine operated by a single player</w:t>
      </w:r>
    </w:p>
    <w:p>
      <w:pPr>
        <w:spacing w:after="0" w:line="11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9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2">
            <w:col w:w="3400" w:space="420"/>
            <w:col w:w="7120"/>
          </w:cols>
          <w:pgMar w:left="320" w:top="473" w:right="6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120" w:type="dxa"/>
            <w:vAlign w:val="bottom"/>
          </w:tcPr>
          <w:p>
            <w:pPr>
              <w:spacing w:after="0"/>
              <w:rPr>
                <w:sz w:val="17"/>
                <w:szCs w:val="17"/>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497"/>
        </w:trPr>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“table games win”</w:t>
            </w: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the amount of wagers won net of wagers lost on gaming tables that is retained and recorded as casino</w:t>
            </w:r>
          </w:p>
        </w:tc>
      </w:tr>
      <w:tr>
        <w:trPr>
          <w:trHeight w:val="209"/>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revenues. Table games win is calculated before discounts, commissions, non-discretionary incentives</w:t>
            </w:r>
          </w:p>
        </w:tc>
      </w:tr>
      <w:tr>
        <w:trPr>
          <w:trHeight w:val="209"/>
        </w:trPr>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(including our point-loyalty programs) and allocating casino revenues related to goods and services</w:t>
            </w:r>
          </w:p>
        </w:tc>
      </w:tr>
      <w:tr>
        <w:trPr>
          <w:trHeight w:val="227"/>
        </w:trPr>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provided to gaming patrons on a complimentary basis</w:t>
            </w:r>
          </w:p>
        </w:tc>
      </w:tr>
      <w:tr>
        <w:trPr>
          <w:trHeight w:val="296"/>
        </w:trPr>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“VIP gaming room”</w:t>
            </w: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gaming rooms or areas that have restricted access to rolling chip patrons and typically offer more</w:t>
            </w:r>
          </w:p>
        </w:tc>
      </w:tr>
      <w:tr>
        <w:trPr>
          <w:trHeight w:val="227"/>
        </w:trPr>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personalized service than the general mass market gaming areas</w:t>
            </w:r>
          </w:p>
        </w:tc>
      </w:tr>
      <w:tr>
        <w:trPr>
          <w:trHeight w:val="353"/>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12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9</w:t>
            </w:r>
          </w:p>
        </w:tc>
      </w:tr>
    </w:tbl>
    <w:p>
      <w:pPr>
        <w:ind w:left="2820"/>
        <w:spacing w:after="0"/>
        <w:rPr>
          <w:sz w:val="20"/>
          <w:szCs w:val="20"/>
          <w:color w:val="auto"/>
        </w:rPr>
        <w:sectPr>
          <w:pgSz w:w="11900" w:h="16838" w:orient="portrait"/>
          <w:cols w:equalWidth="0" w:num="1">
            <w:col w:w="10880"/>
          </w:cols>
          <w:pgMar w:left="320" w:top="467" w:right="6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20"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across various geographies including Macau, the Philippines and Cyprus, new risk factors may emerge from time to time and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74"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8" w:lineRule="exact"/>
        <w:rPr>
          <w:sz w:val="20"/>
          <w:szCs w:val="20"/>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goals and strategies;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pace of recovery from the impact of the global COVID-19 outbreak on our business, financial results and liquidity;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reduced access to our target markets due to travel restrictions, and the potential long-term impact on customer retention;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conditions on visitation by citizens of the PRC to Macau, the Philippines and Cyprus;</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the travel and leisure industry from factors such as an outbreak of an infectious disease, such as the COVID-19 pandemic or the period of time required for tourism to return to pre-pandemic levels (if at all), extreme weather patterns or natural disasters, military conflicts and any future security alerts and/or terrorist attacks or other acts of violence;</w:t>
      </w:r>
    </w:p>
    <w:p>
      <w:pPr>
        <w:spacing w:after="0" w:line="70"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domestic or global political and economic conditions, including in the PRC and Hong Kong, which may impact levels of travel, leisure and consumer spending;</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operate our casinos;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or maintain all required governmental approvals, authorizations and licenses for our operations;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conditions and covenants under the existing and future indebtedness;</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rules and regulations which could bar the trading of the American depositary shares of our Company and of SCI in the United States such as the Holding Foreign Companies Accountable Act and the rules promulgated thereunder;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and credit market volatility;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if and when required;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development, results of operations and financial condition;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gaming and leisure market in Macau, the Philippines and Cyprus;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60"/>
          </w:cols>
          <w:pgMar w:left="320" w:top="473" w:right="6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liberalization of travel restrictions on PRC citizens and convertibility of the Renminbi;</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tightened control of certain cross-border fund transfers from the PRC;</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credit for gaming patrons;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tourist behavior related to spending and vacationing at casino resorts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occupancy rates and average daily room rates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develop new technologies and/or upgrade our existing technologies;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including misappropriation of customer information or other breaches of information security;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131"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casino hotel and resort projects in Macau and elsewhere in Asia, including the other concessionaires in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entering into new development and construction projects and new ventures in or outside of Macau, the Philippines or Cyprus;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cost estimates and completion time estimates for our development projects, including projected variances from budgeted costs and timing;</w:t>
      </w:r>
    </w:p>
    <w:p>
      <w:pPr>
        <w:spacing w:after="0" w:line="55"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laws and regulations relating to the leisure and gaming industry, including the implementation of the amended gaming law in Macau, and the legalization of gaming in other jurisdictions;</w:t>
      </w:r>
    </w:p>
    <w:p>
      <w:pPr>
        <w:spacing w:after="0" w:line="55"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increased regulatory scrutiny on Macau gaming promoters’ operations that has resulted in the cessation of business by many gaming promoters in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infrastructure projects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gain new customers;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new services and attractions;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changes in our revenues, costs or expenditures;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demand for our services and market acceptance of our brands and businesses;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current and future litigation;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under “Item 3. Key Information — D. Risk Factors.”</w:t>
      </w:r>
    </w:p>
    <w:p>
      <w:pPr>
        <w:spacing w:after="0" w:line="223"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940"/>
          </w:cols>
          <w:pgMar w:left="320" w:top="473"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EXCHANGE RATE INFORMATION</w:t>
      </w:r>
    </w:p>
    <w:p>
      <w:pPr>
        <w:spacing w:after="0" w:line="225"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The majority of our current revenues are denominated in H.K. dollars, whereas our current expenses are denominated predominantly in Patacas, H.K. dollars, the Philippine peso and Euros. Unless otherwise noted, all translations from H.K. dollars to U.S. dollars and from U.S. dollars to H.K. dollars in this annual report on Form 20-F were made at a rate of HK$7.811768 to US$1.00.</w:t>
      </w:r>
    </w:p>
    <w:p>
      <w:pPr>
        <w:spacing w:after="0" w:line="16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387"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The Pataca is pegged to the H.K. dollar at a rate of HK$1.00 = MOP1.03. All translations from Patacas to U.S. dollars in this annual report on Form 20-F were made at the exchange rate of MOP8.046088 = US$1.00. This annual report on Form 20-F also contains translations of certain Renminbi, Euro, Philippine peso, Australian dollar and Singapore dollar amounts into U.S. dollars. Unless otherwise stated, all translations from Renminbi, Euros, Philippine pesos, Australian dollars and Singapore dollars to U.S. dollars in this annual report on Form 20-F were made at RMB7.119414 to US$1.00, EUR0.903384 to US$1.00, PHP55.567904 to US$1.00, AUD1.463495 to US$1.00 and SGD1.319838 to US$1.00, respectively.</w:t>
      </w:r>
    </w:p>
    <w:p>
      <w:pPr>
        <w:spacing w:after="0" w:line="384" w:lineRule="exact"/>
        <w:rPr>
          <w:sz w:val="20"/>
          <w:szCs w:val="20"/>
          <w:color w:val="auto"/>
        </w:rPr>
      </w:pPr>
    </w:p>
    <w:p>
      <w:pPr>
        <w:ind w:left="300" w:right="260" w:firstLine="960"/>
        <w:spacing w:after="0" w:line="295" w:lineRule="auto"/>
        <w:rPr>
          <w:sz w:val="20"/>
          <w:szCs w:val="20"/>
          <w:color w:val="auto"/>
        </w:rPr>
      </w:pPr>
      <w:r>
        <w:rPr>
          <w:rFonts w:ascii="Times New Roman" w:cs="Times New Roman" w:eastAsia="Times New Roman" w:hAnsi="Times New Roman"/>
          <w:sz w:val="17"/>
          <w:szCs w:val="17"/>
          <w:color w:val="auto"/>
        </w:rPr>
        <w:t>We make no representation that any RMB, EUR, PHP, AUD, SGD or U.S. dollar amounts could have been, or could be, converted into U.S. dollars or RMB or EUR or PHP or AUD or SGD, as the case may be, at any particular rate or at all.</w:t>
      </w:r>
    </w:p>
    <w:p>
      <w:pPr>
        <w:spacing w:after="0" w:line="147"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ectPr>
          <w:pgSz w:w="11900" w:h="16838" w:orient="portrait"/>
          <w:cols w:equalWidth="0" w:num="1">
            <w:col w:w="10920"/>
          </w:cols>
          <w:pgMar w:left="320" w:top="473"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IDENTITY OF DIRECTORS, SENIOR MANAGEMENT AND ADVISERS</w:t>
      </w:r>
    </w:p>
    <w:p>
      <w:pPr>
        <w:spacing w:after="0" w:line="120" w:lineRule="exact"/>
        <w:rPr>
          <w:sz w:val="20"/>
          <w:szCs w:val="20"/>
          <w:color w:val="auto"/>
        </w:rPr>
      </w:pPr>
    </w:p>
    <w:p>
      <w:pPr>
        <w:sectPr>
          <w:pgSz w:w="11900" w:h="16838" w:orient="portrait"/>
          <w:cols w:equalWidth="0" w:num="2">
            <w:col w:w="920" w:space="440"/>
            <w:col w:w="9560"/>
          </w:cols>
          <w:pgMar w:left="320" w:top="473" w:right="65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320" w:top="473" w:right="65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20" w:lineRule="exact"/>
        <w:rPr>
          <w:sz w:val="20"/>
          <w:szCs w:val="20"/>
          <w:color w:val="auto"/>
        </w:rPr>
      </w:pPr>
    </w:p>
    <w:p>
      <w:pPr>
        <w:sectPr>
          <w:pgSz w:w="11900" w:h="16838" w:orient="portrait"/>
          <w:cols w:equalWidth="0" w:num="2">
            <w:col w:w="920" w:space="440"/>
            <w:col w:w="9560"/>
          </w:cols>
          <w:pgMar w:left="320" w:top="473" w:right="65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920"/>
          </w:cols>
          <w:pgMar w:left="320" w:top="473" w:right="6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3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A. [RESERVED]</w:t>
      </w:r>
    </w:p>
    <w:p>
      <w:pPr>
        <w:spacing w:after="0" w:line="200" w:lineRule="exact"/>
        <w:rPr>
          <w:sz w:val="20"/>
          <w:szCs w:val="20"/>
          <w:color w:val="auto"/>
        </w:rPr>
      </w:pPr>
    </w:p>
    <w:p>
      <w:pPr>
        <w:spacing w:after="0" w:line="2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B. CAPITALIZATION AND INDEBTEDNESS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7"/>
          <w:szCs w:val="17"/>
          <w:b w:val="1"/>
          <w:bCs w:val="1"/>
          <w:color w:val="auto"/>
        </w:rPr>
        <w:t>C. REASONS FOR THE OFFER AND USE OF PROCEEDS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139"/>
          </w:cols>
          <w:pgMar w:left="320" w:top="47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RISK FACTORS</w:t>
      </w:r>
    </w:p>
    <w:p>
      <w:pPr>
        <w:spacing w:after="0" w:line="120"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Melco Resorts &amp; Entertainment Limited is a Cayman Islands holding company. All of our current operations, and administrative and corporate functions are conducted in Macau, Hong Kong, Singapore, the Philippines and Cyprus.</w:t>
      </w:r>
    </w:p>
    <w:p>
      <w:pPr>
        <w:spacing w:after="0" w:line="147"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We conduct our operations primarily in Macau, as well as in Cyprus and the Philippines. Our principal executive offices are located in Singapore and Hong Kong. Our operations in the PRC are currently limited to a wholly-owned subsidiary that hosts the domain names of our PRC websites and other online platforms which promote our non-gaming amenities in the PRC, and we do not have any material assets or operations in the PRC. We have no variable interest entities in our corporate structure.</w:t>
      </w:r>
    </w:p>
    <w:p>
      <w:pPr>
        <w:spacing w:after="0" w:line="169"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 a company primarily operating in Macau, Cyprus and the Philippines. Since we derive a significant majority of our revenues from our Macau business and a significant number of our customers come from, and are expected to continue to come from, the PRC, our results of operations and financial condition may be materially and adversely affected by significant regulatory developments in the PRC. Actions by the PRC government can also significantly affect our business by, for example, placing limits on the ability of PRC residents to travel or remit currency outside of the PRC or by restricting gaming-related marketing activities in China. See “Item 3. Key Information — D. Risk Factors — Risks Relating to Our Business and Operations — Policies, campaigns and measures adopted by the PRC and/or Macau governments from time to time could materially and adversely affect our operations.”</w:t>
      </w:r>
    </w:p>
    <w:p>
      <w:pPr>
        <w:spacing w:after="0" w:line="17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PRC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Additionally, the Chinese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 Risks Relating to Our Business and Operations — Changes in laws, regulations and policies in the PRC and uncertainties in the legal systems in the PRC may expose us to risks. In addition, rules and regulations in the PRC can change quickly with little advance notice” and “— 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174" w:lineRule="exact"/>
        <w:rPr>
          <w:sz w:val="20"/>
          <w:szCs w:val="20"/>
          <w:color w:val="auto"/>
        </w:rPr>
      </w:pPr>
    </w:p>
    <w:p>
      <w:pPr>
        <w:ind w:left="300" w:right="460" w:firstLine="960"/>
        <w:spacing w:after="0" w:line="276"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the markets in which we operate, including the interpretation of the amended gaming law in Macau, as well as the continued ability by the U.S. Public Company Accounting Oversight Board, or PCAOB, to inspect our auditors.</w:t>
      </w:r>
    </w:p>
    <w:p>
      <w:pPr>
        <w:spacing w:after="0" w:line="265" w:lineRule="exact"/>
        <w:rPr>
          <w:sz w:val="20"/>
          <w:szCs w:val="20"/>
          <w:color w:val="auto"/>
        </w:rPr>
      </w:pPr>
    </w:p>
    <w:p>
      <w:pPr>
        <w:ind w:left="300" w:right="240"/>
        <w:spacing w:after="0" w:line="298" w:lineRule="auto"/>
        <w:rPr>
          <w:sz w:val="20"/>
          <w:szCs w:val="20"/>
          <w:color w:val="auto"/>
        </w:rPr>
      </w:pPr>
      <w:r>
        <w:rPr>
          <w:rFonts w:ascii="Times New Roman" w:cs="Times New Roman" w:eastAsia="Times New Roman" w:hAnsi="Times New Roman"/>
          <w:sz w:val="17"/>
          <w:szCs w:val="17"/>
          <w:b w:val="1"/>
          <w:bCs w:val="1"/>
          <w:color w:val="auto"/>
        </w:rPr>
        <w:t>Permissions, Approvals, Licenses, Certificates and Permits Required from the PRC, Hong Kong and Macau Authorities for Our Operations and for the Offering of Our Securities to Foreign Investors</w:t>
      </w:r>
    </w:p>
    <w:p>
      <w:pPr>
        <w:spacing w:after="0" w:line="39"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As of the date of this annual report, we have obtained the requisite permissions, approvals, licenses, certificates and permits from the PRC, Hong Kong and Macau government authorities that are material for our business operations in those jurisdictions, including in particular our gaming concession in Macau which is required to operate gaming operations in that jurisdiction, and none have been denied. See “Item 4. Information on the Company — B. Business Overview — Regulations” for a detailed discussion on the concession in Macau.</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920"/>
          </w:cols>
          <w:pgMar w:left="320" w:top="473"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spacing w:after="0" w:line="276" w:lineRule="auto"/>
        <w:rPr>
          <w:sz w:val="20"/>
          <w:szCs w:val="20"/>
          <w:color w:val="auto"/>
        </w:rPr>
      </w:pPr>
      <w:r>
        <w:rPr>
          <w:rFonts w:ascii="Times New Roman" w:cs="Times New Roman" w:eastAsia="Times New Roman" w:hAnsi="Times New Roman"/>
          <w:sz w:val="17"/>
          <w:szCs w:val="17"/>
          <w:color w:val="auto"/>
        </w:rPr>
        <w:t>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62"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Furthermore, in connection with our issuance of securities to foreign investors, under current PRC laws, regulations and regulatory rules, as of the date of this annual report, we do not believe we are currently required to obtain permissions from or complete any filing with the China Securities Regulatory Commission, or the CSRC, or required to go through cybersecurity review by the Cyberspace Administration of China, or the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73"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120"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Cash from financing and operations is primarily retained by our operating subsidiaries for the purposes of funding our operating activities, capital expenditures and investing activities. Cash from financing and operations within our group is primarily transferred between our subsidiaries through intercompany loan arrangements or equity capital contributions. In 2023, excluding cash transferred for the purpose of the settlement of intragroup charges for operating activities, cash transferred to our holding company, Melco Resorts &amp; Entertainment Limited, from its subsidiaries for loan or advances amounted to US$158.0 million and repayment of advances of US$75.0 million, respectively, while cash transferred from our holding company to its subsidiaries in the form of advances amounted to US$528.8 million and repayments of loans or advances amounted to US$270.6 million, respectively. In addition, cash transferred to our holding company from its subsidiary for transfer of intangible assets amounted to US$519.0 million. No dividend payments were made in 2023 as no dividend was declared by our Macau operating subsidiary in 2023, and no dividend payments were made to our shareholders in 2023, including holders of our ordinary shares with an address of record known to us to be in the United States (which includes all holders of our ADRs, which are traded on Nasdaq in the United States). See also “Item 4. Information on the Company — B. Business Overview — Tax”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Melco Resorts Macau must notify the Macau Chief Executive five business days in advance of any decision related to internal funds transfer in an amount greater than MOP2.5 billion (equivalent to approximately US$310.7 million), seek Macau government consent to grant or receive any loan in the amount of MOP100 million (equivalent to approximately US$12.4 million) and our subsidiaries incorporated in Macau are required to set aside a specified amount of the entity’s profit after tax as a legal reserve which is not distributable to the shareholders of such subsidiaries and authorization is required in the Philippines for inward and outward transfers of Philippine pesos above a certain amount. See “Item 4. Information on the Company — B. Business Overview — Regulations — Macau Regulations — Restrictions on Distribution of Profits Regulations” and “Item 10. Additional Information — D. Exchange Controls.”</w:t>
      </w:r>
    </w:p>
    <w:p>
      <w:pPr>
        <w:spacing w:after="0" w:line="3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940"/>
          </w:cols>
          <w:pgMar w:left="320" w:top="473"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Prior to May 14, 2020, we had declared various quarterly dividends in 2018, 2019 and 2020, as well as a special dividend in 2017. On such date, we announced the suspension of the Company’s quarterly dividend program to preserve liquidity in light of the COVID-19 outbreaks and to continue investing in our business. Accordingly, we have not paid dividends since the first quarter of the year ended December 31, 2020. Our board will continue to review from time to time our dividend policy as part of our commitment to maximizing shareholder value, taking into consideration our financial performance and market conditions. We cannot assure you that we will make any dividend payments on our shares in the future. Except as permitted under the Companies Act, as amended, of the Cayman Islands, or the Companies Act,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Studio City Notes, 2028 Studio City Senior Secured Credit Facility and other agreements governing indebtedness we and our subsidiaries may incur. For more details, see “Item 3. Key Information — D. Risk Factors — Risks Relating to Our Shares and ADSs — We cannot assure you that we will make dividend payments in the future” and “— Item 5. Operating and Financial Review and Prospects — B. Liquidity and Capital Resources — Indebtedness.”</w:t>
      </w:r>
    </w:p>
    <w:p>
      <w:pPr>
        <w:spacing w:after="0" w:line="389"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6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Operations</w:t>
      </w:r>
    </w:p>
    <w:p>
      <w:pPr>
        <w:spacing w:after="0" w:line="133" w:lineRule="exact"/>
        <w:rPr>
          <w:sz w:val="20"/>
          <w:szCs w:val="20"/>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recovery from the COVID-19 pandemic.</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generating a substantial portion of revenues and cash from Macau and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operating in a highly regulated industry.</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regional political, social, economic and legal and regulatory risks in Macau, the Philippines and Cyprus, and uncertainties in the legal systems in the PRC.</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inadequate transportation infrastructure that may hinder increase in visitation to our properties.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natural disasters and extreme weather phenomena.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facing intense competition.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dependence on the continued efforts of our senior management and retaining qualified personnel.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inadequate insurance coverage.</w:t>
      </w:r>
    </w:p>
    <w:p>
      <w:pPr>
        <w:spacing w:after="0" w:line="131"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operating in the gaming industry, including risk of cheating and counterfeiting, inability to collect receivables from credit customers.</w:t>
      </w:r>
    </w:p>
    <w:p>
      <w:pPr>
        <w:spacing w:after="0" w:line="55"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mergers, acquisitions, strategic transactions, investments, divestments and developing new branded products or entering into new business lines.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fluctuations in currency exchange rates of currencies used in our business and availability of credit.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failure to comply with anti-corruption laws and anti-money laundering policies.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cybersecurity and failure to protect the integrity and security of data, including customer information.</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960"/>
          </w:cols>
          <w:pgMar w:left="320" w:top="473" w:right="6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620" w:hanging="530"/>
        <w:spacing w:after="0" w:line="295"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having a significant majority of operations in Macau, uncertainties in the legal systems in the PRC, and policies, campaigns and measures adopted by the PRC and/or Macau governments from time to time.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protection or alleged infringement of intellectual property rights.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environmental, social and governance and sustainability related concerns.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significant projects in various phases of development, including construction risks.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33" w:lineRule="exact"/>
        <w:rPr>
          <w:sz w:val="20"/>
          <w:szCs w:val="20"/>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Melco Resorts Macau’s Concession Contract.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restrictions on export of Renminbi.</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adverse changes or developments in gaming laws or other regulations in Macau.</w:t>
      </w:r>
    </w:p>
    <w:p>
      <w:pPr>
        <w:spacing w:after="0" w:line="131" w:lineRule="exact"/>
        <w:rPr>
          <w:rFonts w:ascii="Times New Roman" w:cs="Times New Roman" w:eastAsia="Times New Roman" w:hAnsi="Times New Roman"/>
          <w:sz w:val="17"/>
          <w:szCs w:val="17"/>
          <w:color w:val="auto"/>
        </w:rPr>
      </w:pPr>
    </w:p>
    <w:p>
      <w:pPr>
        <w:ind w:left="1240" w:right="220" w:hanging="530"/>
        <w:spacing w:after="0" w:line="295"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interpretation of the Macau gaming law amended in 2022 and related laws and their implementation by the Macau government.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Related to Operating in the Gaming Industry in the Philippines</w:t>
      </w:r>
    </w:p>
    <w:p>
      <w:pPr>
        <w:spacing w:after="0" w:line="133" w:lineRule="exact"/>
        <w:rPr>
          <w:sz w:val="20"/>
          <w:szCs w:val="20"/>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tenancy relationships as the land and buildings comprising the site of City of Dreams Manila are leased.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regulatory requirements for and restrictions on the operation of City of Dreams Manila.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a suspension of VIP gaming operations at City of Dreams Manila under certain circumstances.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Cyprus</w:t>
      </w:r>
    </w:p>
    <w:p>
      <w:pPr>
        <w:spacing w:after="0" w:line="133" w:lineRule="exact"/>
        <w:rPr>
          <w:sz w:val="20"/>
          <w:szCs w:val="20"/>
          <w:color w:val="auto"/>
        </w:rPr>
      </w:pPr>
    </w:p>
    <w:p>
      <w:pPr>
        <w:ind w:left="1240" w:hanging="530"/>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short operating history in Cyprus.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continued partnership and cooperation of The Cyprus Phassouri (Zakaki) Limited for the operation of City of Dreams Mediterranean and the Cyprus Casinos.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regulatory requirements for and restrictions on our operations in Cyprus.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Corporate Structure and Ownership</w:t>
      </w:r>
    </w:p>
    <w:p>
      <w:pPr>
        <w:spacing w:after="0" w:line="133" w:lineRule="exact"/>
        <w:rPr>
          <w:sz w:val="20"/>
          <w:szCs w:val="20"/>
          <w:color w:val="auto"/>
        </w:rPr>
      </w:pPr>
    </w:p>
    <w:p>
      <w:pPr>
        <w:ind w:left="1240" w:hanging="530"/>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substantial influence our controlling shareholder has over 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competing with Melco International on casino projects.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SCI’s ability to remain in compliance with the New York Stock Exchange requirements for its continued listing.</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Financing and Indebtedness</w:t>
      </w:r>
    </w:p>
    <w:p>
      <w:pPr>
        <w:spacing w:after="0" w:line="133" w:lineRule="exact"/>
        <w:rPr>
          <w:sz w:val="20"/>
          <w:szCs w:val="20"/>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current, projected and potential future indebtedness and our need for additional financing.</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inability to generate sufficient cash flow to meet our debt service obligations.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compliance with credit facilities and debt instruments.</w:t>
      </w:r>
    </w:p>
    <w:p>
      <w:pPr>
        <w:spacing w:after="0" w:line="1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860"/>
          </w:cols>
          <w:pgMar w:left="320" w:top="473"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Operations</w:t>
      </w:r>
    </w:p>
    <w:p>
      <w:pPr>
        <w:spacing w:after="0" w:line="116" w:lineRule="exact"/>
        <w:rPr>
          <w:sz w:val="20"/>
          <w:szCs w:val="20"/>
          <w:color w:val="auto"/>
        </w:rPr>
      </w:pPr>
    </w:p>
    <w:p>
      <w:pPr>
        <w:ind w:left="300"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continue to recover from the impact of, and disruptions caused by, COVID-19 on our operations, and the pace of recovery may continue to materially affect our business, prospects, financial condition and results of operations.</w:t>
      </w:r>
    </w:p>
    <w:p>
      <w:pPr>
        <w:spacing w:after="0" w:line="38" w:lineRule="exact"/>
        <w:rPr>
          <w:sz w:val="20"/>
          <w:szCs w:val="20"/>
          <w:color w:val="auto"/>
        </w:rPr>
      </w:pPr>
    </w:p>
    <w:p>
      <w:pPr>
        <w:ind w:left="300" w:right="80" w:firstLine="960"/>
        <w:spacing w:after="0" w:line="268" w:lineRule="auto"/>
        <w:rPr>
          <w:sz w:val="20"/>
          <w:szCs w:val="20"/>
          <w:color w:val="auto"/>
        </w:rPr>
      </w:pPr>
      <w:r>
        <w:rPr>
          <w:rFonts w:ascii="Times New Roman" w:cs="Times New Roman" w:eastAsia="Times New Roman" w:hAnsi="Times New Roman"/>
          <w:sz w:val="17"/>
          <w:szCs w:val="17"/>
          <w:color w:val="auto"/>
        </w:rPr>
        <w:t>While quarantine-free travel within Greater China, the Philippines and Cyprus have resumed and pandemic measures have been lifted, negative impacts of COVID-19 on the PRC economy and nearby Asian regions, the Philippines and Cyprus are still being experienced. The pace of our business recovery from COVID-19 is highly uncertain and will depend on the impact of potentially higher unemployment rates, declines in income levels and loss of personal wealth resulting from COVID-19 outbreaks. There is no guarantee that travel and consumer sentiment will rebound quickly or at all.</w:t>
      </w:r>
    </w:p>
    <w:p>
      <w:pPr>
        <w:spacing w:after="0" w:line="381"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According to the DSEC, visitor arrivals to Macau increased by 395% on a year-over-year basis in 2023 as compared to 2022 while, according to the DICJ, gross gaming revenues in Macau increased by 334% on a year-over-year basis in 2023. However, visitor arrivals in 2023 were still 28% lower than in 2019, and gross gaming revenues in 2023 were still 37% lower than in 2019. As we derive a significant majority of our revenues from our business and operations in Macau, our business has been materially affected and continues to be adversely affected by the disruptions resulting from the COVID-19 pandemic.</w:t>
      </w:r>
    </w:p>
    <w:p>
      <w:pPr>
        <w:spacing w:after="0" w:line="171"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The COVID-19 outbreak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w:t>
      </w:r>
    </w:p>
    <w:p>
      <w:pPr>
        <w:spacing w:after="0" w:line="162" w:lineRule="exact"/>
        <w:rPr>
          <w:sz w:val="20"/>
          <w:szCs w:val="20"/>
          <w:color w:val="auto"/>
        </w:rPr>
      </w:pPr>
    </w:p>
    <w:p>
      <w:pPr>
        <w:ind w:left="300" w:right="300" w:firstLine="960"/>
        <w:spacing w:after="0" w:line="269" w:lineRule="auto"/>
        <w:rPr>
          <w:sz w:val="20"/>
          <w:szCs w:val="20"/>
          <w:color w:val="auto"/>
        </w:rPr>
      </w:pPr>
      <w:r>
        <w:rPr>
          <w:rFonts w:ascii="Times New Roman" w:cs="Times New Roman" w:eastAsia="Times New Roman" w:hAnsi="Times New Roman"/>
          <w:sz w:val="17"/>
          <w:szCs w:val="17"/>
          <w:color w:val="auto"/>
        </w:rPr>
        <w:t>The disruptions to our business caused by COVID-19 outbreaks have had an adverse effect on our operations. For the years ended December 31, 2023, 2022 and 2021, our operating revenues amounted to US$3.78 billion, US$1.35 billion and US$2.01 billion, respectively. Lower operating revenues in 2021 and 2022 were mainly due to the effects of COVID-19. As we continue to recover from the impact of, and disruptions caused by, COVID-19, such impact and disruptions could materially affect our business, prospects, financial condition and results of operations.</w:t>
      </w:r>
    </w:p>
    <w:p>
      <w:pPr>
        <w:spacing w:after="0" w:line="270" w:lineRule="exact"/>
        <w:rPr>
          <w:sz w:val="20"/>
          <w:szCs w:val="20"/>
          <w:color w:val="auto"/>
        </w:rPr>
      </w:pPr>
    </w:p>
    <w:p>
      <w:pPr>
        <w:ind w:left="300"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operating history of some of our businesses may not serve as an adequate basis to judge our future operating results and prospects. We have significant projects which commenced operations recently and therefore are subject to significant risks and uncertainties.</w:t>
      </w:r>
    </w:p>
    <w:p>
      <w:pPr>
        <w:spacing w:after="0" w:line="38"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The operating history of some of our businesses is shorter than some of our competitors and therefore may not serve as an adequate basis for your evaluation of our business and prospects. Morpheus, the third phase of City of Dreams, opened in June 2018, City of Dreams Manila commenced operations in December 2014 and Studio City commenced operations in October 2015 while Studio City Phase 2 progressively opened in April and September of 2023. In addition, City of Dreams Mediterranean opened to the public in July 2023, and we continue to operate three satellite casinos in Nicosia, Ayia Napa and Paphos in conjunction with City of Dreams Mediterranean.</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We face certain risks, expenses and challenges in operating gaming businesses in intensely competitive markets. Some of the risks relate to</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ability to:</w:t>
      </w:r>
    </w:p>
    <w:p>
      <w:pPr>
        <w:spacing w:after="0" w:line="113" w:lineRule="exact"/>
        <w:rPr>
          <w:sz w:val="20"/>
          <w:szCs w:val="20"/>
          <w:color w:val="auto"/>
        </w:rPr>
      </w:pPr>
    </w:p>
    <w:p>
      <w:pPr>
        <w:ind w:left="1240" w:hanging="530"/>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 conditions precedent to draw down or roll over funds from current and future credit facilities;</w:t>
      </w:r>
    </w:p>
    <w:p>
      <w:pPr>
        <w:spacing w:after="0" w:line="131" w:lineRule="exact"/>
        <w:rPr>
          <w:rFonts w:ascii="Times New Roman" w:cs="Times New Roman" w:eastAsia="Times New Roman" w:hAnsi="Times New Roman"/>
          <w:sz w:val="17"/>
          <w:szCs w:val="17"/>
          <w:color w:val="auto"/>
        </w:rPr>
      </w:pPr>
    </w:p>
    <w:p>
      <w:pPr>
        <w:ind w:left="1240" w:right="400" w:hanging="530"/>
        <w:spacing w:after="0" w:line="295"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economic uncertainties, including the social and economic disruptions caused by COVID-19 outbreaks and other global or regional health events;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covenants under our existing and future debt issuances and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additional capital, as required;</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940"/>
          </w:cols>
          <w:pgMar w:left="320" w:top="472"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changing financing requirements;</w:t>
      </w:r>
    </w:p>
    <w:p>
      <w:pPr>
        <w:spacing w:after="0" w:line="131"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support, expand and develop our operations and our facilities, including new operations and facilities introduced with Phase 2 of Studio City;</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customers and qualified employees;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effective control of our operating costs and expenses;</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internal personnel, systems, controls and procedures to assure compliance with the extensive regulatory requirements applicable to the gaming business as well as regulatory compliance as a public company;</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and/or deteriorating market conditions;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changes in our regulatory environment and government policies;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 or extend leases or right to use agreements for existing Mocha Clubs.</w:t>
      </w:r>
    </w:p>
    <w:p>
      <w:pPr>
        <w:spacing w:after="0" w:line="22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If we are unable to complete any of these tasks or successfully manage one or more of the risks,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could cause a material adverse effect on our business and prospects, financial condition, results of operations and cash flows.</w:t>
      </w:r>
    </w:p>
    <w:p>
      <w:pPr>
        <w:spacing w:after="0" w:line="272"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a substantial portion of our cash flow from our properties in Macau and the Philippines and, to a lesser degree, Cyprus and, as a result, we are subject to greater risks than a gaming company which operates in more geographical regions.</w:t>
      </w:r>
    </w:p>
    <w:p>
      <w:pPr>
        <w:spacing w:after="0" w:line="38"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62" w:lineRule="exact"/>
        <w:rPr>
          <w:sz w:val="20"/>
          <w:szCs w:val="20"/>
          <w:color w:val="auto"/>
        </w:rPr>
      </w:pPr>
    </w:p>
    <w:p>
      <w:pPr>
        <w:ind w:left="300" w:right="20" w:firstLine="960"/>
        <w:spacing w:after="0" w:line="268" w:lineRule="auto"/>
        <w:rPr>
          <w:sz w:val="20"/>
          <w:szCs w:val="20"/>
          <w:color w:val="auto"/>
        </w:rPr>
      </w:pPr>
      <w:r>
        <w:rPr>
          <w:rFonts w:ascii="Times New Roman" w:cs="Times New Roman" w:eastAsia="Times New Roman" w:hAnsi="Times New Roman"/>
          <w:sz w:val="17"/>
          <w:szCs w:val="17"/>
          <w:color w:val="auto"/>
        </w:rPr>
        <w:t>We primarily depend on our properties in Macau and City of Dreams Manila and, to a lesser degree, City of Dreams Mediterranean for our cash flow. Given that our operations are and will be primarily conducted based on our principal properties in Macau, one property in Manila and one property and three satellite casinos in Cyprus, we are and will be subject to greater risks resulting from limited diversification of our businesses and sources of revenues as compared to gaming companies with more operating properties in various geographic regions. These risks include, but are not limited to:</w:t>
      </w:r>
    </w:p>
    <w:p>
      <w:pPr>
        <w:spacing w:after="0" w:line="290" w:lineRule="exact"/>
        <w:rPr>
          <w:sz w:val="20"/>
          <w:szCs w:val="20"/>
          <w:color w:val="auto"/>
        </w:rPr>
      </w:pPr>
    </w:p>
    <w:p>
      <w:pPr>
        <w:ind w:left="1240" w:right="20" w:hanging="530"/>
        <w:spacing w:after="0" w:line="295"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Macau, the PRC, Philippine and Cypriot laws and regulations, including gaming laws and regulations or interpretations thereof, as well as PRC travel and visa policies;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the gaming, tourism and leisure market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diversification of businesses and sources of revenues;</w:t>
      </w:r>
    </w:p>
    <w:p>
      <w:pPr>
        <w:spacing w:after="0" w:line="131" w:lineRule="exact"/>
        <w:rPr>
          <w:rFonts w:ascii="Times New Roman" w:cs="Times New Roman" w:eastAsia="Times New Roman" w:hAnsi="Times New Roman"/>
          <w:sz w:val="17"/>
          <w:szCs w:val="17"/>
          <w:color w:val="auto"/>
        </w:rPr>
      </w:pPr>
    </w:p>
    <w:p>
      <w:pPr>
        <w:jc w:val="both"/>
        <w:ind w:left="1240" w:right="20" w:hanging="530"/>
        <w:spacing w:after="0" w:line="276"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air, land or ferry passenger traffic to Macau, the Philippines or Cyprus from the PRC and other areas or countries due to higher ticket costs, fears concerning travel, travel restrictions or otherwise, including as a result of the outbreak of widespread health epidemics or pandemics, such as the outbreak of COVID-19;</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economic and political conditions in Macau, the PRC, the Philippines, Cyprus, Asia, Europe or the Middle East;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competition within the gaming industry in Macau, the Philippines, Cyprus or generally in Asia or in Europe;</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940"/>
          </w:cols>
          <w:pgMar w:left="320" w:top="473"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inaccessibility to Macau, the Philippines or Cyprus due to inclement weather, road construction or closure of primary access routes;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austerity measures imposed now or in the future by the governments in the PRC or other countries in Asia or in Europe;</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control of cross-border fund transfers, foreign exchange and/or anti-money laundering regulations or policies effected by the PRC, Macau, Philippine and/or Cyprus governments;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enforcement or legal measures taken by the PRC government to deter gaming activities and/or marketing thereof;</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and other disasters, including typhoons, earthquakes, volcano eruptions, outbreaks of infectious diseases, terrorism, violent criminal activities or disruption affecting Macau, the Philippines or Cyprus;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expected rate of increase or decrease in the number of visitors to Macau, the Philippines or Cyprus;</w:t>
      </w:r>
    </w:p>
    <w:p>
      <w:pPr>
        <w:spacing w:after="0" w:line="131"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relaxation of regulations on gaming laws in other regional economies that could compete with the Macau, the Philippines and the Cypriot markets;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restrictions on growth of gaming markets, including policies on gaming table allocation and caps;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gaming activities and other spending at our properties.</w:t>
      </w:r>
    </w:p>
    <w:p>
      <w:pPr>
        <w:spacing w:after="0" w:line="223" w:lineRule="exact"/>
        <w:rPr>
          <w:sz w:val="20"/>
          <w:szCs w:val="20"/>
          <w:color w:val="auto"/>
        </w:rPr>
      </w:pPr>
    </w:p>
    <w:p>
      <w:pPr>
        <w:ind w:left="300" w:right="500" w:firstLine="960"/>
        <w:spacing w:after="0" w:line="295" w:lineRule="auto"/>
        <w:rPr>
          <w:sz w:val="20"/>
          <w:szCs w:val="20"/>
          <w:color w:val="auto"/>
        </w:rPr>
      </w:pPr>
      <w:r>
        <w:rPr>
          <w:rFonts w:ascii="Times New Roman" w:cs="Times New Roman" w:eastAsia="Times New Roman" w:hAnsi="Times New Roman"/>
          <w:sz w:val="17"/>
          <w:szCs w:val="17"/>
          <w:color w:val="auto"/>
        </w:rPr>
        <w:t>Any of these developments or events could have a material adverse effect on our business, cash flows, financial condition, results of operations and prospects.</w:t>
      </w:r>
    </w:p>
    <w:p>
      <w:pPr>
        <w:spacing w:after="0" w:line="247" w:lineRule="exact"/>
        <w:rPr>
          <w:sz w:val="20"/>
          <w:szCs w:val="20"/>
          <w:color w:val="auto"/>
        </w:rPr>
      </w:pPr>
    </w:p>
    <w:p>
      <w:pPr>
        <w:ind w:left="300" w:right="3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renewal of a land concession is subject to compliance with certain legal requirements. In the event of any failure to meet such legal requirements, we could be forced to forfeit all or part of our investment in City of Dreams and Studio City, along with our interest in the land on which City of Dreams and Studio City properties are located and the building and structures on such land.</w:t>
      </w:r>
    </w:p>
    <w:p>
      <w:pPr>
        <w:spacing w:after="0" w:line="57" w:lineRule="exact"/>
        <w:rPr>
          <w:sz w:val="20"/>
          <w:szCs w:val="20"/>
          <w:color w:val="auto"/>
        </w:rPr>
      </w:pPr>
    </w:p>
    <w:p>
      <w:pPr>
        <w:ind w:left="300" w:right="300" w:firstLine="960"/>
        <w:spacing w:after="0" w:line="269" w:lineRule="auto"/>
        <w:rPr>
          <w:sz w:val="20"/>
          <w:szCs w:val="20"/>
          <w:color w:val="auto"/>
        </w:rPr>
      </w:pPr>
      <w:r>
        <w:rPr>
          <w:rFonts w:ascii="Times New Roman" w:cs="Times New Roman" w:eastAsia="Times New Roman" w:hAnsi="Times New Roman"/>
          <w:sz w:val="17"/>
          <w:szCs w:val="17"/>
          <w:color w:val="auto"/>
        </w:rPr>
        <w:t>Our subsidiaries have entered into land concession contracts for the land on which our City of Dreams and Studio City properties are located. Land concessions in Macau are issued by the Macau government and generally have terms of 25 years and are renewable for further consecutive periods of ten years, subject to compliance with certain legal and administrative requirements, including the registration of the definitive concession.</w:t>
      </w:r>
    </w:p>
    <w:p>
      <w:pPr>
        <w:spacing w:after="0" w:line="169"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In the event that we do not timely meet the legal and administrative requirements to enable the renewal of the land concession, we could lose all or substantially all of our investment in City of Dreams and Studio City, including our interest in the land and building and may not be able to continue to operate City of Dreams and Studio City as planned, which will materially and adversely affect our business and prospects, results of operations and financial condition. See also “Item 4. Information on the Company — B. Business Overview — Regulations — Macau Regulations — Land Regulations.”</w:t>
      </w:r>
    </w:p>
    <w:p>
      <w:pPr>
        <w:spacing w:after="0" w:line="272" w:lineRule="exact"/>
        <w:rPr>
          <w:sz w:val="20"/>
          <w:szCs w:val="20"/>
          <w:color w:val="auto"/>
        </w:rPr>
      </w:pPr>
    </w:p>
    <w:p>
      <w:pPr>
        <w:ind w:left="30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Studio City Casino is operated by us through the Studio City Casino Agreement under our concession. Changes in Macau’s gaming law or the requirements applicable to the concession granted to us by the Macau government could necessitate amendments to or the termination of the Studio City Casino Agreement, which may have a material adverse effect on the operation of the Studio City Casino.</w:t>
      </w:r>
    </w:p>
    <w:p>
      <w:pPr>
        <w:spacing w:after="0" w:line="57"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Melco Resorts Macau and our subsidiary, Studio City Entertainment Limited, or Studio City Entertainment, have entered into the Studio City Casino Agreement since Studio City does not hold a gaming license in Macau. Under such arrangements, Melco Resorts Macau pays gaming taxes and the costs incurred in connection with its on-going operations from Studio City Casino’s gross gaming revenues. Studio City receives the residual amount and recognizes such residual amount as revenue arising from the Studio City Casino Agreement.</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960"/>
          </w:cols>
          <w:pgMar w:left="320" w:top="473" w:right="6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Any changes in Macau’s gaming law or other requirements applicable to the concession granted to us by the Macau government that necessitate amendments to, or termination of, the Studio City Casino Agreement, may have a material adverse effect on the operation of the Studio City Casino and, in turn, affect our financial condition and results of operations.</w:t>
      </w:r>
    </w:p>
    <w:p>
      <w:pPr>
        <w:spacing w:after="0" w:line="263" w:lineRule="exact"/>
        <w:rPr>
          <w:sz w:val="20"/>
          <w:szCs w:val="20"/>
          <w:color w:val="auto"/>
        </w:rPr>
      </w:pPr>
    </w:p>
    <w:p>
      <w:pPr>
        <w:ind w:left="30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in Macau, the Philippines and Cyprus is subject to certain regional and global political, social and economic risks, as well as natural disasters, that may significantly affect visitations to our properties and have a material adverse effect on our results of operations.</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The strength and profitability of our business will depend on consumer demand for integrated resorts and leisure travel in general. Terrorist and violent criminal activities in Europe, the United States, Southeast Asia and elsewhere, the military conflict between Russia and Ukraine, the Israel-Hamas conflict and other conflicts in the Middle East, social events, natural disasters such as typhoons, tsunamis and earthquakes, and outbreaks of widespread health epidemics or pandemics, including COVID-19 outbreaks, have had and may continue to negatively affect travel and leisure expenditures, including lodging, gaming and tourism. We cannot predict the extent to which such acts or events may affect us, directly or indirectly, in the future. See also “— We continue to recover from the impact of, and disruptions caused by, COVID-19 on our operations, and the pace of recovery may continue to materially affect our business, prospects, financial condition and results of operations,” “— An outbreak of widespread health epidemics or pandemics, contagious disease or other outbreaks may have an adverse effect on the economies of affected countries or regions and may have a material adverse effect on our business, financial condition and results of operations” and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w:t>
      </w:r>
    </w:p>
    <w:p>
      <w:pPr>
        <w:spacing w:after="0" w:line="389"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We derive a significant majority of our revenues from our Macau business and a significant number of our customers come from, and are expected to continue to come from, the PRC. Accordingly, our results of operations and financial condition may be materially and adversely affected by significant political, social and economic developments in Macau and the PRC and our business is sensitive to the willingness and ability of our customers to travel. In particular, our operating results may be adversely affected by:</w:t>
      </w:r>
    </w:p>
    <w:p>
      <w:pPr>
        <w:spacing w:after="0" w:line="78" w:lineRule="exact"/>
        <w:rPr>
          <w:sz w:val="20"/>
          <w:szCs w:val="20"/>
          <w:color w:val="auto"/>
        </w:rPr>
      </w:pPr>
    </w:p>
    <w:p>
      <w:pPr>
        <w:ind w:left="1240" w:hanging="530"/>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Macau’s and the PRC’s political, economic and social conditions, including any slowdown in economic growth in the PRC;</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tightening of travel or visa restrictions to Macau or from the PRC, including due to the outbreak of infectious diseases, such as COVID-19 outbreaks, or austerity measures which may be imposed by the PRC government;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measures that may be introduced to control inflation, such as interest rate increases or bank account withdrawal controls;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tax laws and regulations.</w:t>
      </w:r>
    </w:p>
    <w:p>
      <w:pPr>
        <w:spacing w:after="0" w:line="223"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For example, our business and operations are affected by the travel or visa restrictions imposed by the PRC on its citizens from time to time. Even before the COVID-19 outbreak, the Chinese government imposed restrictions on exit visas granted to resident citizens of the PRC for travel to Macau. The PRC government further restricts the number of days that resident citizens of the PRC may spend in Macau for certain types of travel. Such travel and visa restrictions, and any changes imposed by the Chinese government from time to time, could disrupt the number of visitors from the PRC to our properties.</w:t>
      </w:r>
    </w:p>
    <w:p>
      <w:pPr>
        <w:spacing w:after="0" w:line="171"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For example, the Macau gaming law amended in 2022 requires the payment of a special premium if gross gaming revenue falls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940"/>
          </w:cols>
          <w:pgMar w:left="320" w:top="473"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below the gross gaming revenue threshold set by the Macau government. In addition, 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the PRC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An extended period of reduced discretionary spending and/or disruptions or declines in travel could materially and adversely affect our business, results of operations and financial condition.</w:t>
      </w:r>
    </w:p>
    <w:p>
      <w:pPr>
        <w:spacing w:after="0" w:line="178" w:lineRule="exact"/>
        <w:rPr>
          <w:sz w:val="20"/>
          <w:szCs w:val="20"/>
          <w:color w:val="auto"/>
        </w:rPr>
      </w:pPr>
    </w:p>
    <w:p>
      <w:pPr>
        <w:ind w:left="300" w:right="100" w:firstLine="960"/>
        <w:spacing w:after="0" w:line="259" w:lineRule="auto"/>
        <w:rPr>
          <w:sz w:val="20"/>
          <w:szCs w:val="20"/>
          <w:color w:val="auto"/>
        </w:rPr>
      </w:pPr>
      <w:r>
        <w:rPr>
          <w:rFonts w:ascii="Times New Roman" w:cs="Times New Roman" w:eastAsia="Times New Roman" w:hAnsi="Times New Roman"/>
          <w:sz w:val="17"/>
          <w:szCs w:val="17"/>
          <w:color w:val="auto"/>
        </w:rPr>
        <w:t>In addition, our business and results of operations may be materially and adversely affected by any changes in the PRC’s economy, including any decrease in the pace of economic growth. Various factors have negatively impacted economic growth in the PRC in recent years, including the government’s efforts to cool the PRC’s housing market and disruptions caused by the COVID-19 outbreaks, leading to reduced consumer discretionary budget and ultimately affecting their spending on travel and leisure. Moreover, the PRC’s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Chinese government in recent years to control the rate of economic growth, including those designed to tighten credit and liquidity, may have contributed to a slowdown of the PRC’s economy. According to preliminary estimates from the National Bureau of Statistics of China, the PRC’s GDP growth rate was 5.2% in 2023, which was higher than the 3.0% in 2022 but lower than the 8.4% in 2021. Any slowdown in the PRC’s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the PRC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85"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and terrorism. Any future political or social instability in the Philippines could adversely affect the business operations and financial conditions of City of Dreams Manila. Any changes in the policies of the government or laws or regulations, or in the interpretation or enforcement of these laws and regulations, such as anti-smoking policies or legislation, may negatively impact consumption patterns of visitors to City of Dreams Manila and could adversely affect our business operations and financial condition.</w:t>
      </w:r>
    </w:p>
    <w:p>
      <w:pPr>
        <w:spacing w:after="0" w:line="173"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69"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Our business in the Philippines will also depend significantly on revenues from foreign visitors and be affected by the development of Manila and the Philippines as a tourist and gaming destination. Such revenues from foreign visitors and development of Manila and the Philippines may be disrupted by events that reduce foreigners’ willingness to travel to or create substantial disruption in Metro Manila and raise substantial concerns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940"/>
          </w:cols>
          <w:pgMar w:left="320" w:top="473"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about visitors’ personal safety, such as power outages, civil disturbances, terrorist attacks and outbreaks of widespread health epidemics or pandemics, among others. The Philippines has also experienced a significant number of major catastrophes over the years, including typhoons, volcanic eruptions and earthquakes, which have caused road closures and work stoppages in the affected areas as well as cancelation of flights.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 and that any such damage will be completely covered by insurance, if at all.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 Any of these occurrences may disrupt our operations in the Philippines.</w:t>
      </w:r>
    </w:p>
    <w:p>
      <w:pPr>
        <w:spacing w:after="0" w:line="178"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subtropical climate and location of both Macau and the Philippines render them susceptible to typhoons, heavy rainstorms and other natural disasters, while Cyprus is also susceptible to heavy rainstorms and other natural disasters. In the event of a major typhoon, or other natural disasters in Macau, the Philippines or Cyprus, our properties may be severely damaged, our operations may be materially and adversely affected, and our properties may even be required to temporarily cease operations by regulatory authorities. Any flooding, unscheduled interruption in the technology or transportation services or interruption in the supply of public utilities is likely to result in an immediate and possibly substantial loss of revenues due to a shutdown of any of our properties and material adverse effect on our business operations and financial condition.</w:t>
      </w:r>
    </w:p>
    <w:p>
      <w:pPr>
        <w:spacing w:after="0" w:line="17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Our operations in Cyprus are subject to certain economic, political and social risks within Cyprus, particularly in the occupied part of Cyprus, as well as outside of Cyprus due to the ongoing conflicts in the Middle East. There are ongoing political, social and economic issues in Cyprus relating to the division of the island following the Turkish invasion in 1974, with the occupied part of Cyprus controlled by Turkey and its military. These issues have been escalated due to the discovery and exploration of natural gas in Cyprus’ economic zones as well as in the economic zones around Cyprus. Turkey has unilaterally created its own economic zones overlapping the Cyprus ones and has initiated exploratory drilling in the area. Any future political or social instability in Cyprus or in the neighboring region could adversely affect the business operations and financial conditions of our casinos in Cyprus, including City of Dreams Mediterranean. In addition, changes in government policies, laws or regulations, or in the interpretation or enforcement of these laws and regulations, may negatively impact consumption patterns of visitors to our facilities in Cyprus and could adversely affect our business operations and financial condition. Cyprus’ relatively small and open economy means it remains susceptible to rapid changes in economic conditions in the neighboring regions or globally.</w:t>
      </w:r>
    </w:p>
    <w:p>
      <w:pPr>
        <w:spacing w:after="0" w:line="174" w:lineRule="exact"/>
        <w:rPr>
          <w:sz w:val="20"/>
          <w:szCs w:val="20"/>
          <w:color w:val="auto"/>
        </w:rPr>
      </w:pPr>
    </w:p>
    <w:p>
      <w:pPr>
        <w:ind w:left="300" w:right="80" w:firstLine="960"/>
        <w:spacing w:after="0" w:line="261" w:lineRule="auto"/>
        <w:rPr>
          <w:sz w:val="20"/>
          <w:szCs w:val="20"/>
          <w:color w:val="auto"/>
        </w:rPr>
      </w:pPr>
      <w:r>
        <w:rPr>
          <w:rFonts w:ascii="Times New Roman" w:cs="Times New Roman" w:eastAsia="Times New Roman" w:hAnsi="Times New Roman"/>
          <w:sz w:val="17"/>
          <w:szCs w:val="17"/>
          <w:color w:val="auto"/>
        </w:rPr>
        <w:t>In addition, the global macroeconomic environment continues to face significant challenges, including disruptions to global economic conditions as a result of the responses to the global COVID-19 outbreak and other global economic, political and social conditions. These events have caused and may continue to cause significant declines as well as volatility in global equity and debt capital markets, elevating the risk of an extended global economic downturn or even a global recession that could in turn trigger a severe contraction of liquidity in the global credit markets. Even prior to the global COVID-19 outbreak, the global economy was facing the end of quantitative easing by the U.S. Federal Reserve, the continuation of international trade conflicts, including the trade disputes between the United States and China and the potential further escalation of trade tariffs and related retaliatory measures between these two countries and globally. Even though it eased its “zero-COVID” policy, the PRC government may re-impose lockdown or travel restriction measures in response to COVID-19 outbreaks or the outbreak of another contagious disease. Such measures, if re-imposed, may significantly affect visitation to our properties and have a material adverse effect on our results of operations.</w:t>
      </w:r>
    </w:p>
    <w:p>
      <w:pPr>
        <w:spacing w:after="0" w:line="178" w:lineRule="exact"/>
        <w:rPr>
          <w:sz w:val="20"/>
          <w:szCs w:val="20"/>
          <w:color w:val="auto"/>
        </w:rPr>
      </w:pPr>
    </w:p>
    <w:p>
      <w:pPr>
        <w:jc w:val="both"/>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Tensions between the United States and China have continued to escalate in connection with ongoing trade disputes as well as other political factors. Continued rising political tensions globally could reduce levels of trade, investment, technological exchanges and other economic activities between these two major economies,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940"/>
          </w:cols>
          <w:pgMar w:left="320" w:top="473"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which would have a material adverse effect on global economic conditions and the stability of global financial markets. The introduction of the National Security Law for Hong Kong and the U.S. Department of State’s statements in reaction to it have resulted in a further deterioration in the Sino-U.S. bilateral relationship, which could negatively affect the Chinese economy and its demand for gaming and leisure activities.</w:t>
      </w:r>
    </w:p>
    <w:p>
      <w:pPr>
        <w:spacing w:after="0" w:line="16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Rising inflation rates globally and in places where we operate may not only weaken discretionary spending of our customers but also increase our operating costs due to possible hikes in salary payments for our staff or key expenditures in our business.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In 2022, as the pandemic-related economic instability eased, the U.S. Federal Reserve started tapering its quantitative easing monetary policies in response to elevated inflation levels (from high food and energy prices and broader pressures) and supply and demand imbalances, brought about by the COVID-19 pandemic and the ongoing Russia-Ukraine conflict. The U.S. Federal Reserve raised the benchmark federal-funds rate from near-zero in March 2022 to 5% to 5.25% in May 2023 and to 5.25% to 5.50% in July 2023. The direction that the U.S. Federal Reserve will take with regards to its monetary policies is uncertain. The financial conditions of banking institutions have come under severe pressure and deterioration, as exemplified by the restructuring of several banks in the first half of 2023, driven by bank runs or simultaneous withdrawals by depositors due to various reasons, including lack of confidence in the banking system. These developments may adversely impact global liquidity, heighten market volatility and increase U.S. dollar funding costs resulting in tightened global financial conditions and fears of a recession. A prolonged period of volatile and unstable market conditions would likely increase our funding costs and negatively affect our market risk mitigation strategies.</w:t>
      </w:r>
    </w:p>
    <w:p>
      <w:pPr>
        <w:spacing w:after="0" w:line="394"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The continued pressure on the Chinese property market since 2022, as well as the deterioration in the Chinese economy post-COVID-19, also negatively impacted the market for high yield bonds of issuers in other sectors connected with the PRC, including those issued by Macau gaming operators and associated entities.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travel have had and could materially adversely affect our business, results of operations and financial condition.</w:t>
      </w:r>
    </w:p>
    <w:p>
      <w:pPr>
        <w:spacing w:after="0" w:line="173"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Considerable uncertainty remains over the long-term effects of the expansionary monetary and fiscal policies adopted by the central banks and financial authorities of some of the world’s leading economies, including the United States and the PRC. There have been concerns over conflicts, unrest and terrorist threats in the Ukraine, Middle East, Europe and Africa, including, but not limited to, the Israel-Hamas conflict and the continuing military conflict between Russia and Ukraine leading to sanctions and export controls imposed by the United States, the European Union, the United Kingdom and other countries targeting Russia, its financial system and major financial institutions and certain Russian entities and persons. Such sanctions and measures and the Israel-Hamas conflict have had and may continue to have a negative impact on our business and our ability to accept certain customers, including for our business in Cyprus where historically a significant number of tourists have come from Russia, Israel and the Middle East. These conflicts have also caused volatility in global financial markets as well as a rise in prices of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00" w:lineRule="exact"/>
        <w:rPr>
          <w:sz w:val="20"/>
          <w:szCs w:val="20"/>
          <w:color w:val="auto"/>
        </w:rPr>
      </w:pPr>
    </w:p>
    <w:p>
      <w:pPr>
        <w:spacing w:after="0" w:line="289"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Policies, campaigns and measures adopted by the PRC and/or Macau governments from time to time could materially and adversely affect our operations.</w:t>
      </w:r>
    </w:p>
    <w:p>
      <w:pPr>
        <w:spacing w:after="0" w:line="38"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A significant number of the customers of our properties come from, and are expected to continue to come from, the PRC. Any travel restrictions imposed by the PRC could negatively affect the number of patrons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940"/>
          </w:cols>
          <w:pgMar w:left="320" w:top="473"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7"/>
          <w:szCs w:val="17"/>
          <w:color w:val="auto"/>
        </w:rPr>
        <w:t>visiting our properties from the PRC. Since mid-2003, under the Individual Visit Scheme, or IVS, Chinese citizens from certain cities have been able to travel to Macau individually instead of as part of a tour group. The Chinese government has restricted and loosened IVS travel frequently and may continue to do so from time to time and it is unclear whether such measures will become more restrictive in the future. In March 2016, for instance, the Ministry of Public Security of China announced a new practice to make it easier for some Chinese citizens to apply for the IVS visa. The IVS was further expanded to Qingdao and Xi’an beginning in March 2024. A decrease in the number of visitors from the PRC could adversely affect our results of operations. See also “— An outbreak of widespread health epidemics or pandemics, contagious disease or other outbreaks may have an adverse effect on the economies of affected countries or regions and may have a material adverse effect on our business, financial condition and results of operations” and “— We continue to recover from the impact of, and disruptions caused by, COVID-19 on our operations, and the pace of recovery may continue to materially affect our business, prospects, financial condition and results of operations” for discussions of how COVID-19 outbreaks affected the policies and measures adopted by the PRC and Macau governments.</w:t>
      </w:r>
    </w:p>
    <w:p>
      <w:pPr>
        <w:spacing w:after="0" w:line="174"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In addition, certain policies and campaigns implemented by the Chinese government may lead to a decline in the number of patrons visiting our properties in Macau and the amount of spending by such patrons. The strength and profitability of our business depends on consumer demand for integrated resorts in general and for the type of luxury amenities that a gaming operator offers. Initiatives and campaigns undertaken by the Chinese government in recent years have resulted in an overall dampening effect on the behavior of Chinese consumers and a decrease in their spending, particularly in luxury good sales and other discretionary spending. For example, the Chinese government’s ongoing anti-corruption campaign has had an overall dampening effect on the behavior of Chinese consumers and their spending patterns both domestically and abroad. In addition, the number of patrons visiting our properties may be affected by the Chinese government’s focus on deterring marketing of gaming to Chinese citizens and its initiatives to tighten monetary transfer regulations, increase monitoring of various transactions, including bank or credit card transactions, and reduce the amount that China-issued ATM cardholders can withdraw in each withdrawal and impose a limit on the annual aggregate amount that may be withdrawn. The Chinese government has also developed its digital currency and has performed certain test trials in its application within the PRC. If a digital currency is adopted by the Macau government for gaming operations in Macau, there could be a material and adverse impact on our operations, especially our VIP rolling chip operations, if limitations on transactions per player are also introduced in conjunction with the adoption of the digital currency.</w:t>
      </w:r>
    </w:p>
    <w:p>
      <w:pPr>
        <w:spacing w:after="0" w:line="386"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Regulatory scrutiny of gaming promoters in the PRC, Macau and the Philippines has also affected the gaming business. See “— We depend upon gaming promoters for a portion of our gaming revenues in Macau, the Philippines and Cyprus. If we are unable to establish, maintain and increase the number of successful relationships with gaming promoters in Macau, the Philippines or Cyprus,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and “— Our business in Macau, the Philippines and Cyprus is subject to certain regional and global political, social and economic risks, as well as natural disasters, that may significantly affect visitations to our properties and have a material adverse effect on our results of operations.”</w:t>
      </w:r>
    </w:p>
    <w:p>
      <w:pPr>
        <w:spacing w:after="0" w:line="275" w:lineRule="exact"/>
        <w:rPr>
          <w:sz w:val="20"/>
          <w:szCs w:val="20"/>
          <w:color w:val="auto"/>
        </w:rPr>
      </w:pPr>
    </w:p>
    <w:p>
      <w:pPr>
        <w:ind w:left="30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38"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While we currently generate revenues from our Philippine and Cyprus operations, we expect to continue to derive a significant majority of our revenues from our Macau gaming business and may be materially affected by any disruptions or downturns in the Macau gaming market. In 2019, for example, gross gaming revenues in Macau declined by 3.4% on a year-over-year basis as reported by the DICJ. We believe such year-over-year decline in 2019 was mainly driven by a decline in VIP gaming revenues in Macau and the slowdown in the Chinese economy. Governmental policies and responses to COVID-19 outbreaks resulted in a significant</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960"/>
          </w:cols>
          <w:pgMar w:left="320" w:top="473"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260"/>
        <w:spacing w:after="0" w:line="269" w:lineRule="auto"/>
        <w:rPr>
          <w:sz w:val="20"/>
          <w:szCs w:val="20"/>
          <w:color w:val="auto"/>
        </w:rPr>
      </w:pPr>
      <w:r>
        <w:rPr>
          <w:rFonts w:ascii="Times New Roman" w:cs="Times New Roman" w:eastAsia="Times New Roman" w:hAnsi="Times New Roman"/>
          <w:sz w:val="17"/>
          <w:szCs w:val="17"/>
          <w:color w:val="auto"/>
        </w:rPr>
        <w:t>decline in inbound tourism in Macau with gross gaming revenues declining by 30.2% in 2022 compared to 2020, according to the DICJ. See “— We continue to recover from the impact of, and disruptions caused by, COVID-19 on our operations, and the pace of recovery may continue to materially affect our business, prospects, financial condition and results of operations” for a discussion of the impact of COVID-19 outbreaks on our business in Macau.</w:t>
      </w:r>
    </w:p>
    <w:p>
      <w:pPr>
        <w:spacing w:after="0" w:line="169"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Although gross gaming revenues in Macau increased by 334% on a year-over-year basis in 2023 compared to 2022 according to the DICJ, recovery from the disruptions caused by COVID-19 outbreaks is ongoing. Our business, financial condition and results of operations may be materially and adversely affected by such impacts or other disruptions in the Macau gaming market. See “— 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gaming industries in Macau, the Philippines and Cyprus are highly regulated.</w:t>
      </w:r>
    </w:p>
    <w:p>
      <w:pPr>
        <w:spacing w:after="0" w:line="12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Gaming is a highly regulated industry in Macau. Our Macau gaming business is subject to various laws and increased audits and inspections from regulators, such as those relating to licensing, tax rates and other regulatory obligations, such as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concession. Any such adverse developments in the regulation of the Macau gaming industry could be difficult to comply with and could significantly increase our costs, which could cause our projects to be unsuccessful.</w:t>
      </w:r>
    </w:p>
    <w:p>
      <w:pPr>
        <w:spacing w:after="0" w:line="387"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The Philippine gaming industry is also highly regulated, including the amendment to the existing Philippines Anti-Money Laundering Act, as amended (“Philippine AMLA”), whereby casinos are included as covered persons subject to reporting and other requirements under the Philippine AMLA. The Anti-Money Laundering Council and PAGCOR have also recently released regulations and guidelines on compliance. Amendments to existing anti-money laundering regulations have been signed into law, expanding the coverage of the Philippine AMLA and including Philippine offshore gaming operators in the list of covered persons, which includes the Melco Philippine Parties. The authority of the Anti-Money Laundering Council was also expanded to include the power to apply for search and seizure orders, issue subpoenas, and preserve, manage or dispose assets pursuant to a freeze order or judgment of forfeiture. While we have adjusted our anti-money laundering policies for our Philippine operations to the revised rules and regulations, we cannot assure you that our contractors, agents or employees will continually adhere to any such current or future policies or any such current or future policies will be effective in preventing our Philippines operations from being exploited for money laundering purposes. City of Dreams Manila is also subject to increased audits and inspections from regulators, including those relating to anti-money laundering requirements and measures. City of Dreams Manila may legally operate under the Philippine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Philippine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w:t>
      </w:r>
    </w:p>
    <w:p>
      <w:pPr>
        <w:spacing w:after="0" w:line="3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960"/>
          </w:cols>
          <w:pgMar w:left="320" w:top="473" w:right="6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80"/>
        <w:spacing w:after="0" w:line="295" w:lineRule="auto"/>
        <w:rPr>
          <w:sz w:val="20"/>
          <w:szCs w:val="20"/>
          <w:color w:val="auto"/>
        </w:rPr>
      </w:pPr>
      <w:r>
        <w:rPr>
          <w:rFonts w:ascii="Times New Roman" w:cs="Times New Roman" w:eastAsia="Times New Roman" w:hAnsi="Times New Roman"/>
          <w:sz w:val="17"/>
          <w:szCs w:val="17"/>
          <w:color w:val="auto"/>
        </w:rPr>
        <w:t>that various Philippine and local government agencies may require. Any of the foregoing could adversely affect our business, financial condition and results of operations in the Philippines.</w:t>
      </w:r>
    </w:p>
    <w:p>
      <w:pPr>
        <w:spacing w:after="0" w:line="147"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 the relevant Philippine government agencies will not impose additional and more onerous requirements or costs. This may affect our ability to renew our licenses and permits, which could adversely affect our business in the Philippines.</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Gaming in Cyprus is a highly regulated new market and subject to various regulations of the European Union that are being developed and adopted in Cyprus. We have to review and amend our anti-money laundering policies for our operations in Cyprus when new laws and regulations come into force from time to time, including, for instance, a revised anti-money laundering Direction issued by the CGC in December 2021. The CGC has and will continue to conduct business-wide anti-money laundering and counter-terrorist financing inspections at City of Dreams Mediterranean and the Cyprus Casinos and review our anti-money laundering policies. As a result of these inspections and reviews, we have made, and expect we will need to continue to make, certain adjustments to our policies and compliance procedures from time to time. Being a relatively new gaming regime, there are also fewer precedents on the interpretation of these laws and regulations. Our Cyprus License also requires us to submit periodic reports to the CGC in areas that include our operations, regulatory compliance, consumer complaints and financial and tax reporting. If we are unable to fully comply with any of the foregoing requirements, we could be subject to fines or other penalties.</w:t>
      </w:r>
    </w:p>
    <w:p>
      <w:pPr>
        <w:spacing w:after="0" w:line="178"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Furthermore, our operations in Cyprus require various licenses and permits granted from various governmental or regulatory bodies in Cyprus, such as those related to labor, food and beverages, safety, fire, buildings, health and environmental, some of which are required to be renewed annually. There is no guarantee that the requirements for such permits and licenses will remain the same, or that the relevant Cyprus governmental or regulatory bodies will not impose additional and more onerous requirements. This may affect our ability to renew our licenses and permits or we may not be able to obtain any additional licenses or permits required to conduct our business as our business and operations expand in a timely manner or at all, which could adversely affect our business in Cyprus.</w:t>
      </w:r>
    </w:p>
    <w:p>
      <w:pPr>
        <w:spacing w:after="0" w:line="173"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In addition, current laws and regulations in Macau, the Philippines and Cyprus concerning gaming and gaming concessions and licenses, for the most part, have been enacted or amended recently and there are limited precedents on the interpretation of these laws and regulations. These laws and regulations are complex, and a court or administrative or regulatory body may in the future render an interpretation of these laws and regulations, or issue new or modified regulations, that differ from our interpretation.</w:t>
      </w:r>
    </w:p>
    <w:p>
      <w:pPr>
        <w:spacing w:after="0" w:line="270" w:lineRule="exact"/>
        <w:rPr>
          <w:sz w:val="20"/>
          <w:szCs w:val="20"/>
          <w:color w:val="auto"/>
        </w:rPr>
      </w:pPr>
    </w:p>
    <w:p>
      <w:pPr>
        <w:ind w:left="300"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and policies in the PRC and uncertainties in the legal systems in the PRC may expose us to risks. In addition, rules and regulations in the PRC can change quickly with little advance notice.</w:t>
      </w:r>
    </w:p>
    <w:p>
      <w:pPr>
        <w:spacing w:after="0" w:line="38"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We derive a significant majority of our revenues from our Macau business and a significant number of our customers come from, and are expected to continue to come from, the PRC. Accordingly, our results of operations and financial condition may be materially and adversely affected by significant regulatory developments not only in Macau but also in the PRC. Gaming-related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Rules and regulations in the PRC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the PRC is or will be consistent with the interpretation and</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960"/>
          </w:cols>
          <w:pgMar w:left="320" w:top="473"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7"/>
          <w:szCs w:val="17"/>
          <w:color w:val="auto"/>
        </w:rPr>
        <w:t>application 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the PRC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w:t>
      </w:r>
    </w:p>
    <w:p>
      <w:pPr>
        <w:spacing w:after="0" w:line="171"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and the level of legal protection we enjoy than in other legal systems. Any litigation or proceedings in the PRC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272" w:lineRule="exact"/>
        <w:rPr>
          <w:sz w:val="20"/>
          <w:szCs w:val="20"/>
          <w:color w:val="auto"/>
        </w:rPr>
      </w:pPr>
    </w:p>
    <w:p>
      <w:pPr>
        <w:jc w:val="both"/>
        <w:ind w:left="30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r>
        <w:rPr>
          <w:rFonts w:ascii="Times New Roman" w:cs="Times New Roman" w:eastAsia="Times New Roman" w:hAnsi="Times New Roman"/>
          <w:sz w:val="17"/>
          <w:szCs w:val="17"/>
          <w:b w:val="1"/>
          <w:bCs w:val="1"/>
          <w:color w:val="auto"/>
        </w:rPr>
        <w:t>.</w:t>
      </w:r>
    </w:p>
    <w:p>
      <w:pPr>
        <w:spacing w:after="0" w:line="57" w:lineRule="exact"/>
        <w:rPr>
          <w:sz w:val="20"/>
          <w:szCs w:val="20"/>
          <w:color w:val="auto"/>
        </w:rPr>
      </w:pPr>
    </w:p>
    <w:p>
      <w:pPr>
        <w:ind w:left="300" w:right="100" w:firstLine="960"/>
        <w:spacing w:after="0" w:line="260" w:lineRule="auto"/>
        <w:rPr>
          <w:sz w:val="20"/>
          <w:szCs w:val="20"/>
          <w:color w:val="auto"/>
        </w:rPr>
      </w:pPr>
      <w:r>
        <w:rPr>
          <w:rFonts w:ascii="Times New Roman" w:cs="Times New Roman" w:eastAsia="Times New Roman" w:hAnsi="Times New Roman"/>
          <w:sz w:val="17"/>
          <w:szCs w:val="17"/>
          <w:color w:val="auto"/>
        </w:rPr>
        <w:t>The Chinese government has exercised and continues to exercise substantial control over virtually every sector of the Chinese economy through evolving development, interpretation and implementation of applicable laws and regulations. The PRC may also enact new PRC laws, rules or regulations, which may influence our operations in Macau or elsewhere, at any time as the PRC government deems appropriate to further regulatory, political and societal goals, or may exert more control over offerings conducted overseas and/or foreign investment in PRC-based issuers, which could result in a material change in our operations and/or the value of our ordinary shares. Additionally, the Chinese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See also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PRC Data Security Law.</w:t>
      </w:r>
    </w:p>
    <w:p>
      <w:pPr>
        <w:spacing w:after="0" w:line="18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For example, on February 17, 2023, the CSRC released a set of regulations, including the Trial Administrative Measures of Overseas Securities Offerings and Listings by Domestic Companies, or the Trial Administrative New Measures, and related guidelines, which came into effect on March 31, 2023, and the Notice on the Arrangements for the Recordation Management of Overseas Issuances and Listings of Domestic Enterprises, or the Notice on Overseas Issuance and Listing.</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Under the first paragraph of Article 15 of the Trial Administrative New Measures, overseas offerings and listings of a listing applicant by a PRC company must conduct and complete the relevant filing procedures with the CSRC if (i) more than 50% of its operating revenue, total profit, total assets or net assets were derived from its PRC entities based on the audited consolidated financial statements for the most recent financial year, and</w:t>
      </w:r>
    </w:p>
    <w:p>
      <w:pPr>
        <w:ind w:left="300" w:right="100" w:hanging="8"/>
        <w:spacing w:after="0" w:line="260" w:lineRule="auto"/>
        <w:tabs>
          <w:tab w:leader="none" w:pos="5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parts of its business activities are conducted in the PRC, its principal places of business are located in the PRC, or the majority of senior management in charge of its business operations are Chinese citizens or domiciled in the PRC. Furthermore, the second paragraph of Article 15 of the Trial Administrative New Measures provides that a “substance over form” principle, or the Principle, shall be followed when determining whether an issuer is subject to the filing requirements under the Trial Administrative New Measures. In addition, according to the Notice on Overseas Issuance and Listing, companies which have completed overseas listings or offerings prior to March 31, 2023 are not required to complete any filing procedures immediately, but may be required to file with the CSRC for any follow-on offerings.</w:t>
      </w: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940"/>
          </w:cols>
          <w:pgMar w:left="320" w:top="472"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do not believe that our previous or any future offshore offerings are or will be subject to the filing procedures under the Trial Administrative New Measures and related guidelines as (i) we currently have two subsidiaries in the PRC, and the aggregate operating revenue, total profit, total assets or net assets of such subsidiaries as recorded in our audited consolidated financial statements for the most recent financial year were immaterial and will not reach the threshold under the first paragraph of Article 15 of the Trial Administrative New Measures; (ii) the main parts of the Company’s business activities are not and are not expected to be conducted in the PRC; (iii) the Company’s principal places of business are not and are not expected to be located in the PRC; (iv) the senior management in charge of the Company’s business operation are not PRC citizens and the management does not and is not expected to be domiciled in the PRC; and (v) the risk factors disclosed in the offering document of any future offshore offerings are not expected to be predominately related to the PRC as compared to other countries and regions. However, significant uncertainties exist as to how the Trial Administrative New Measures and the related guidelines will be interpreted and implemented since they are newly published. Particularly, the Principle is subject to any new laws, rules and regulations or interpretations and implementations in any form relating to the filing requirements under the Trial Administrative New Measures at the discretion of the PRC government authorities.</w:t>
      </w:r>
    </w:p>
    <w:p>
      <w:pPr>
        <w:spacing w:after="0" w:line="180" w:lineRule="exact"/>
        <w:rPr>
          <w:sz w:val="20"/>
          <w:szCs w:val="20"/>
          <w:color w:val="auto"/>
        </w:rPr>
      </w:pPr>
    </w:p>
    <w:p>
      <w:pPr>
        <w:ind w:left="300" w:right="200" w:firstLine="960"/>
        <w:spacing w:after="0" w:line="264" w:lineRule="auto"/>
        <w:rPr>
          <w:sz w:val="20"/>
          <w:szCs w:val="20"/>
          <w:color w:val="auto"/>
        </w:rPr>
      </w:pPr>
      <w:r>
        <w:rPr>
          <w:rFonts w:ascii="Times New Roman" w:cs="Times New Roman" w:eastAsia="Times New Roman" w:hAnsi="Times New Roman"/>
          <w:sz w:val="17"/>
          <w:szCs w:val="17"/>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in Macau, the Philippines and elsewhere in Asia and Europe and may not be able to compete successfully.</w:t>
      </w:r>
    </w:p>
    <w:p>
      <w:pPr>
        <w:spacing w:after="0" w:line="12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The hotel, resort and gaming industries are highly competitive. The competitors of our business in Macau and the Philippines include many of the largest gaming, hospitality, leisure and resort companies in the world. Some of these current and future competitors are larger than we are and may have more diversified resources, better brand recognition and greater access to capital to support their developments and operations in Macau, the Philippines and elsewhere.</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In the Philippine gaming market, we compete with hotels and resorts owned by both Philippine nationals and international operators. PAGCOR, an entity owned and controlled by the government of the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attract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Macau, some competitors have opened new properties, expanded operations and/or have announced intentions for further expansion and developments in Cotai, where City of Dreams and Studio City are located. For example, Phase 3 of the Galaxy Macau Resort progressively opened from the second quarter of 2023, while Phase 4 is currently under development and is expected to open in 2027. Sands China Ltd., a subsidiary of Las Vegas Sands Corporation, has rebranded and redeveloped Sands Cotai Central in Cotai into The Londoner Macau, which opened in February 2021. Sociedade de Jogos de Macau, S.A., or SJM, opened Grand Lisboa Palace in July 2021 and opened two additional hotels in 2023. See “Item 4. Information on the Company — B. Business Overview — Market and Competition.”</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940"/>
          </w:cols>
          <w:pgMar w:left="320" w:top="473"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Cyprus, we hold a 30-year casino gaming license, which commenced from June 2017 and as to which the first 15 years are exclusive. Although we hold the exclusive license to operate casinos in the Republic of Cyprus until 2032, we may face competition from a large number of sports betting shops in Cyprus, online sports betting or other illegal casinos in Cyprus closed down by the Cyprus government, and from a large number of casinos in the occupied part of Cyprus or from casinos in nearby parts of Europe and the Middle East. For instance, Hard Rock International announced its plans to open a new integrated casino resort in Greece’s Athens Riviera in 2027 while Wynn Resorts Ltd. announced plans to open the first Gulf Arab region casino at the luxury resort it is constructing at Ras Al Khaimah in the UAE in 2027.</w:t>
      </w:r>
    </w:p>
    <w:p>
      <w:pPr>
        <w:spacing w:after="0" w:line="173"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We also compete to some extent with casinos located in other countries, such as Singapore, Malaysia, South Korea, Vietnam, Cambodia, Australia, New Zealand and elsewhere in the world, including Las Vegas and Atlantic City in the United States, and in the future, proposed developments in Japan and the United Arab Emirates, among others. Certain other markets, such as Taiwan and Thailand, may also in the future legalize casino gaming and may not be subject to as stringent regulations as the Macau, Philippine and/or Cyprus markets. We also compete with both legal and illegal online gaming and sports betting websites, cruise ships operating out of Hong Kong and other areas of Asia that offer gaming. The proliferation of gaming venues in Asia could also significantly and adversely affect our business, financial condition, results of operations, cash flows and prospects.</w:t>
      </w:r>
    </w:p>
    <w:p>
      <w:pPr>
        <w:spacing w:after="0" w:line="173"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Currently, Macau is the only region in the Greater China area offering legal casino gaming. Although the Chinese government has strictly enforced its regulations prohibiting domestic gaming operations, there may be casinos in parts of the PRC that are operated illegally and without licenses. In addition, there is no assurance that the PRC will not in the future permit domestic gaming operations. Competition from casinos in the PRC, legal or illegal, could materially and adversely affect our business, results of operations, financial condition, cash flows and prospects.</w:t>
      </w:r>
    </w:p>
    <w:p>
      <w:pPr>
        <w:spacing w:after="0" w:line="169"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regional competitors also include casino resorts that Melco International may develop elsewhere in Asia Pacific outside Macau or elsewhere in the world. Melco International may develop different interests and strategies for projects in Asia or elsewhere in the world which conflict with the interests of our business in Macau, the Philippines and Cyprus or otherwise compete with us for gaming and leisure customers. See “— Risks Relating to Our Corporate Structure and Ownership.”</w:t>
      </w:r>
    </w:p>
    <w:p>
      <w:pPr>
        <w:spacing w:after="0" w:line="270"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Inadequate transportation infrastructure in the Philippines, Macau or Cyprus may hinder increases in visitations to the Philippines, Macau or Cyprus.</w:t>
      </w:r>
    </w:p>
    <w:p>
      <w:pPr>
        <w:spacing w:after="0" w:line="38"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City of Dreams Manila is located within Entertainment City, a controlled development in the City of Paranaque. In addition to us, Solaire and Okada Manila, Newport World Resorts has commenced the construction of an integrated resort to be located within Entertainment City.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NAIA Expressway and the newly constructed Skyway Stage-3 Expressway helped alleviate the traffic congestion within the area surrounding Entertainment City and the Philippine government continues to examine viable alternatives to ease traffic congestion in Manila, there is no guarantee that these measures will succeed, or that they will sufficiently eliminate the traffic problems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78"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Macau consists of a peninsula and two islands and is connected to the PRC by five border crossings. Macau has an international airport and connections to the PRC and Hong Kong by road and ferry. To support Macau’s planned future development as a gaming and leisure destination, the frequency of bus, car, air and ferry</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940"/>
          </w:cols>
          <w:pgMar w:left="320" w:top="473"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spacing w:after="0" w:line="264" w:lineRule="auto"/>
        <w:rPr>
          <w:sz w:val="20"/>
          <w:szCs w:val="20"/>
          <w:color w:val="auto"/>
        </w:rPr>
      </w:pPr>
      <w:r>
        <w:rPr>
          <w:rFonts w:ascii="Times New Roman" w:cs="Times New Roman" w:eastAsia="Times New Roman" w:hAnsi="Times New Roman"/>
          <w:sz w:val="17"/>
          <w:szCs w:val="17"/>
          <w:color w:val="auto"/>
        </w:rPr>
        <w:t>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our projects in Macau. Furthermore, even if constructed, the expected benefits of these projects may not fully materialize, and may not result in significantly increased traffic to Macau and to our Macau properties. Any further delays or termination of Macau’s transportation infrastructure projects may have a material adverse effect on our business, prospects, financial condition, results of operations and cash flows.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Cyprus is an island in the Eastern Basin of the Mediterranean Sea. It is the third largest island in the Mediterranean after the Italian islands of Sicily and Sardinia. Cyprus has two international airports with flights to other European countries as well as outside of Europe such as Russia, the Middle East and Africa. Cyprus’ existing transportation infrastructure may be incapable of handling the increased number of tourist arrivals that may be necessary to support visitor traffic to City of Dreams Mediterranean in Limassol or our three satellite casinos in Nicosia, Ayia Napa and Paphos. There is no guarantee that any measures taken by the government of Cyprus will successfully increase air traffic into Cyprus or sufficiently eliminate the traffic problem or other deficiencies in Cyprus’ transportation infrastructure.</w:t>
      </w:r>
    </w:p>
    <w:p>
      <w:pPr>
        <w:spacing w:after="0" w:line="274" w:lineRule="exact"/>
        <w:rPr>
          <w:sz w:val="20"/>
          <w:szCs w:val="20"/>
          <w:color w:val="auto"/>
        </w:rPr>
      </w:pPr>
    </w:p>
    <w:p>
      <w:pPr>
        <w:ind w:left="300" w:right="2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38"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In Macau, Melco Resorts Macau is one of the six companies authorized by the Macau government to operate gaming activities. Pursuant to the terms of Macau Law No. 16/2001, or the Macau Gaming Operations Law, as amended,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us to lose or be unable to maintain or gain market share and, as a result, adversely affect our business.</w:t>
      </w:r>
    </w:p>
    <w:p>
      <w:pPr>
        <w:spacing w:after="0" w:line="171" w:lineRule="exact"/>
        <w:rPr>
          <w:sz w:val="20"/>
          <w:szCs w:val="20"/>
          <w:color w:val="auto"/>
        </w:rPr>
      </w:pPr>
    </w:p>
    <w:p>
      <w:pPr>
        <w:ind w:left="300" w:right="220" w:firstLine="960"/>
        <w:spacing w:after="0" w:line="262" w:lineRule="auto"/>
        <w:rPr>
          <w:sz w:val="20"/>
          <w:szCs w:val="20"/>
          <w:color w:val="auto"/>
        </w:rPr>
      </w:pPr>
      <w:r>
        <w:rPr>
          <w:rFonts w:ascii="Times New Roman" w:cs="Times New Roman" w:eastAsia="Times New Roman" w:hAnsi="Times New Roman"/>
          <w:sz w:val="17"/>
          <w:szCs w:val="17"/>
          <w:color w:val="auto"/>
        </w:rPr>
        <w:t>In the Philippines, PAGCOR has issued regular gaming licenses to the Philippine Licensees and one other company and additional provisional gaming licenses to three other companies in the Philippines for the development and operation of integrated casino resorts. PAGCOR also granted a provisional license to a casino operator located at Las Piñas City and has also licensed private casino operators in special economic zones, including four in the Clark Ecozone, one in Poro Point, La Union, one in Binangonan, Rizal and one in the Newport City CyberTourism Zone, Pasay City. The Philippine License granted by PAGCOR to the Philippine Licensees is non-exclusive, and there is no assurance that PAGCOR will not issue additional gaming licenses, or that it will limit the number of licenses it issues. Any additional gaming licenses issued by PAGCOR could increase competition in the Philippine gaming industry, which could diminish the value of the Philippine Licensees’ Philippine License. This could materially and adversely affect our business, financial condition and results of operations in the Philippines.</w:t>
      </w:r>
    </w:p>
    <w:p>
      <w:pPr>
        <w:spacing w:after="0" w:line="275" w:lineRule="exact"/>
        <w:rPr>
          <w:sz w:val="20"/>
          <w:szCs w:val="20"/>
          <w:color w:val="auto"/>
        </w:rPr>
      </w:pPr>
    </w:p>
    <w:p>
      <w:pPr>
        <w:ind w:left="30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simultaneous planning, design, construction and development of any projects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300" w:right="80" w:firstLine="960"/>
        <w:spacing w:after="0" w:line="267" w:lineRule="auto"/>
        <w:rPr>
          <w:sz w:val="20"/>
          <w:szCs w:val="20"/>
          <w:color w:val="auto"/>
        </w:rPr>
      </w:pPr>
      <w:r>
        <w:rPr>
          <w:rFonts w:ascii="Times New Roman" w:cs="Times New Roman" w:eastAsia="Times New Roman" w:hAnsi="Times New Roman"/>
          <w:sz w:val="17"/>
          <w:szCs w:val="17"/>
          <w:color w:val="auto"/>
        </w:rPr>
        <w:t>There may be overlap in the planning, design, development and construction periods of our gaming and non-gaming projects. Members of our senior management will be involved in planning and developing our projects at the same time, in addition to</w:t>
      </w:r>
    </w:p>
    <w:p>
      <w:pPr>
        <w:spacing w:after="0" w:line="1" w:lineRule="exact"/>
        <w:rPr>
          <w:sz w:val="20"/>
          <w:szCs w:val="20"/>
          <w:color w:val="auto"/>
        </w:rPr>
      </w:pPr>
    </w:p>
    <w:p>
      <w:pPr>
        <w:jc w:val="both"/>
        <w:ind w:left="300" w:right="160"/>
        <w:spacing w:after="0" w:line="262" w:lineRule="auto"/>
        <w:rPr>
          <w:sz w:val="20"/>
          <w:szCs w:val="20"/>
          <w:color w:val="auto"/>
        </w:rPr>
      </w:pPr>
      <w:r>
        <w:rPr>
          <w:rFonts w:ascii="Times New Roman" w:cs="Times New Roman" w:eastAsia="Times New Roman" w:hAnsi="Times New Roman"/>
          <w:sz w:val="17"/>
          <w:szCs w:val="17"/>
          <w:color w:val="auto"/>
        </w:rPr>
        <w:t>overseeing our day-to-day operations. Our management may be unable to devote sufficient time and attention to such projects, as well as our operating properties, which may result in delays in the construction or opening of any of our current or future projects, cause construction cost overruns or cause the performance of our operating properties to be lower than expected, which could have a material adverse effect on our business, financial condition and results of operations.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960"/>
          </w:cols>
          <w:pgMar w:left="320" w:top="473"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substantially on the continuing efforts of our senior management, and our business may be severely disrupted if we lose their services.</w:t>
      </w:r>
    </w:p>
    <w:p>
      <w:pPr>
        <w:spacing w:after="0" w:line="38"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place substantial reliance on the gaming, project development and hospitality industry experience and knowledge of the Macau, the Philippine and the Cyprus markets possessed by members of our board of directors, our senior management team, as well as other management personnel. We may experience changes in our key management in the future, including for reasons beyond our control. The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key management personnel could be difficult, and competition for personnel of similar experience could be intense in Macau, the Philippines and Cyprus. In addition, we do not currently carry key person insurance on any members of our senior management team.</w:t>
      </w:r>
    </w:p>
    <w:p>
      <w:pPr>
        <w:spacing w:after="0" w:line="274"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38" w:lineRule="exact"/>
        <w:rPr>
          <w:sz w:val="20"/>
          <w:szCs w:val="20"/>
          <w:color w:val="auto"/>
        </w:rPr>
      </w:pPr>
    </w:p>
    <w:p>
      <w:pPr>
        <w:ind w:left="300" w:right="120" w:firstLine="960"/>
        <w:spacing w:after="0" w:line="261" w:lineRule="auto"/>
        <w:rPr>
          <w:sz w:val="20"/>
          <w:szCs w:val="20"/>
          <w:color w:val="auto"/>
        </w:rPr>
      </w:pPr>
      <w:r>
        <w:rPr>
          <w:rFonts w:ascii="Times New Roman" w:cs="Times New Roman" w:eastAsia="Times New Roman" w:hAnsi="Times New Roman"/>
          <w:sz w:val="17"/>
          <w:szCs w:val="17"/>
          <w:color w:val="auto"/>
        </w:rPr>
        <w:t>The pool of experienced gaming and other skilled and unskilled personnel in Macau, the Philippines and Cyprus is limited. Our demand remains high for personnel occupying sensitive positions that require qualifications sufficient to meet gaming regulations and other requirements or skills and knowledge. Competitive demand for qualified personnel is expected to continue due to the increased number of properties recently opened and expected to open in close proximity to our properties in Macau and the Philippines. Notably, with the lifting of COVID-19 travel restrictions in Macau and the increase in business volumes and the opening of Studio City Phase 2, we will need to hire a significant number of employees to operate at full capacity, with a significant portion of these vacancies expected to be filled by non-resident workers for which Macau government-issued quotas are required. Conversely, the expected increase in demand for personnel in Macau due to the easing of COVID-19 travel restrictions could adversely affect the supply of personnel in the Philippines. The limited supply and increased competition in the labor market could cause our labor costs to increase.</w:t>
      </w:r>
    </w:p>
    <w:p>
      <w:pPr>
        <w:spacing w:after="0" w:line="390"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Macau government policy prohibits us from hiring non-Macau resident dealers and supervisors. In addition, the Macau government has continuously stressed that it will continue to monitor the proportion of management positions held by Macau residents and implement measures to ensure such proportion remains no less than 85% of senior and mid-management positions. Due to the increased competition in the labor market and the relevant regulatory restrictions, we cannot assure you that we will be able to attract and retain a sufficient number of qualified individuals to operate our properties, or that costs to recruit and retain such personnel will not increase significantly. In addition, we have previously been subject to certain labor demands in Macau. The inability to attract, retain and motivate qualified employees and management personnel and to continuously optimize our workforce based on changing business demands could have a material adverse effect on our business.</w:t>
      </w:r>
    </w:p>
    <w:p>
      <w:pPr>
        <w:spacing w:after="0" w:line="17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Further, the Macau government is currently enforcing a labor policy pursuant to which the ratio of local to foreign workers that may be recruited is determined on a case-by-case basis and, in relation to construction work, must be at least 1:1 unless otherwise authorized by the Macau government. Such a policy could have a material adverse effect on our ability to complete work on our properties. Moreover, if the Macau government enforces similar restrictive ratios in other areas, such as the gaming, hotel and entertainment sectors, or imposes additional restrictions on the hiring of foreign workers generally, this could have a material adverse effect on the operation of our properties.</w:t>
      </w:r>
    </w:p>
    <w:p>
      <w:pPr>
        <w:spacing w:after="0" w:line="171" w:lineRule="exact"/>
        <w:rPr>
          <w:sz w:val="20"/>
          <w:szCs w:val="20"/>
          <w:color w:val="auto"/>
        </w:rPr>
      </w:pPr>
    </w:p>
    <w:p>
      <w:pPr>
        <w:jc w:val="both"/>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In the Philippines, the Philippine License requires that at least 95% of City of Dreams Manila’s total employees be locally hired. Our inability to recruit a sufficient number of employees in the Philippines to meet this provision or to do so in a cost-effective manner may cause us to lower our hiring standards, which may have</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920"/>
          </w:cols>
          <w:pgMar w:left="320" w:top="473"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7"/>
          <w:szCs w:val="17"/>
          <w:color w:val="auto"/>
        </w:rPr>
        <w:t>an adverse impact on City of Dreams Manila’s service levels, reputation and business. In addition, Kilusan ng Manggagawang Makabayan (KMM-Katipunan) Melco Resorts Leisure (PHP) Corporation — Table Games Division — Chapter, or KMM-MELCO TGD, represents the rank-and-file employees of the Table Games Division of City of Dreams Manila as the latter’s sole and exclusive bargaining agent and an updated collective bargaining agreement was signed between City of Dreams Manila and the KMM-MELCO TGD, which covers the period from July 1, 2022 until June 30, 2024. This collective bargaining agreement provided a slight adjustment to salaries with effect from July 1, 2023 and an improved leave policy for employees of Table Games Division of City of Dreams Manila. In February 2023, a petition was granted permitting KMM-Katipunan Melco Resorts and Leisure (Phil) Corporation Integrated Resorts and Casino (Housekeeping Chapter) to hold a certification election in an effort to represent the employees of the Housekeeping Division of City of Dreams Manila. However, a majority of the members of the Housekeeping Division voted against the unionization of their division at the certification election held in April 2023. In addition, another union, Kilusan ng Manggagawang Makabayan (KMM-Katipunan) Melco Resorts Leisure (PHP) Corporation — Security and Surveillance Division — Chapter, or KMM-MELCO SSDC, also sought to organize and represent the employees of the Security Division of City of Dreams Manila and filed a petition in February 2021 and July 2022 to request an election by the relevant employees. However, a majority of the members of the Security Division voted against the unionization of their division at the certification election in 2021, and the KMM-MELCO SSDC withdrew its petition for certification election in November 2022. Any demand or activities of such collective bargaining agent, including in relation to entry into any new or updated collective bargaining agreement, or any additional collective bargaining agents that may be certified by the Philippines Department of Labor in the future, could have a material adverse effect on the business and operations of City of Dreams Manila or our financial condition and results of operations. The impact of any union activity is difficult to predict, and, if not resolved in a timely and cost-effective manner, industrial action or other labor unrest could prevent or hinder our operations from being carried out as we expect and could have a material adverse effect on our business, results of operations and financial condition.</w:t>
      </w:r>
    </w:p>
    <w:p>
      <w:pPr>
        <w:spacing w:after="0" w:line="176"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In Cyprus, there is also a risk that our employees may organize or become part of a collective bargaining agreement or trade union. There is a shortage of experienced gaming and other skilled and unskilled personnel as Cyprus is a relatively new gaming market and we also compete with other local hotels and resorts for non-gaming personnel in the hospitality sector.</w:t>
      </w:r>
    </w:p>
    <w:p>
      <w:pPr>
        <w:spacing w:after="0" w:line="162"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w:t>
      </w:r>
    </w:p>
    <w:p>
      <w:pPr>
        <w:spacing w:after="0" w:line="272" w:lineRule="exact"/>
        <w:rPr>
          <w:sz w:val="20"/>
          <w:szCs w:val="20"/>
          <w:color w:val="auto"/>
        </w:rPr>
      </w:pPr>
    </w:p>
    <w:p>
      <w:pPr>
        <w:ind w:left="300" w:right="5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38"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We currently have various insurance policies providing certain coverage typically required by gaming and hospitality operations in Macau. In addition, we maintain various types of insurance policies for our Philippine and Cyprus business and operations, including mainly property damage, business interruption, general liability and crime insurance policies. In the Philippines, we also maintain a surety bond required by PAGCOR, which secures the prompt payment by Melco Resorts Leisure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Certain events, such as typhoons and fires, have increased our premium costs and reduced policy limits. The cost of coverage may in the future become so high that we may be unable to obtain the insurance policies we deem necessary for the operation of our projects on commercially practicable</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960"/>
          </w:cols>
          <w:pgMar w:left="320" w:top="473" w:right="6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terms, or at all, or we may need to reduce our policy limits or agree to certain exclusions from our coverage. Our cyber insurance may not cover all expenses and losses arising from any cybersecurity incidents and, accordingly, such breaches or other compromises of our information security or that of its third-party service providers or business partners may have an adverse impact on our operating results and financial condition.</w:t>
      </w:r>
    </w:p>
    <w:p>
      <w:pPr>
        <w:spacing w:after="0" w:line="162" w:lineRule="exact"/>
        <w:rPr>
          <w:sz w:val="20"/>
          <w:szCs w:val="20"/>
          <w:color w:val="auto"/>
        </w:rPr>
      </w:pPr>
    </w:p>
    <w:p>
      <w:pPr>
        <w:ind w:left="300" w:right="100" w:firstLine="960"/>
        <w:spacing w:after="0" w:line="260" w:lineRule="auto"/>
        <w:rPr>
          <w:sz w:val="20"/>
          <w:szCs w:val="20"/>
          <w:color w:val="auto"/>
        </w:rPr>
      </w:pPr>
      <w:r>
        <w:rPr>
          <w:rFonts w:ascii="Times New Roman" w:cs="Times New Roman" w:eastAsia="Times New Roman" w:hAnsi="Times New Roman"/>
          <w:sz w:val="17"/>
          <w:szCs w:val="17"/>
          <w:color w:val="auto"/>
        </w:rPr>
        <w:t>We cannot assure you that any such insurance policies we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may not be successful in obtaining insurance without increases in cost or decreases in coverage levels. In addition, in the event of a substantial loss, the insurance coverage we carry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terrorist acts or cybersecurity attacks, we may suffer a disruption of our business as a result of these events or be subject to claims by third parties who may be injured or harmed. As an example, COVID-19 outbreaks resulted in many governments around the world, including in the Philippines, Macau and Cyprus where we operate,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38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There is limited available insurance in Macau, the Philippines and Cyprus and our insurers in Macau, the Philippines and Cyprus may need to secure reinsurance in order to provide adequate cover for our property and development projects. Our credit agreements, our gaming concession in Macau, the Philippine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our gaming concession in Macau or the Philippine License and may have a material adverse effect on our business, financial condition, results of operations and cash flows.</w:t>
      </w:r>
    </w:p>
    <w:p>
      <w:pPr>
        <w:spacing w:after="0" w:line="274"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Gaming inherently involves elements of chance that are beyond our control, and as a result our revenues may be volatile and the winnings of our patrons could exceed our casino winnings at particular times during our operations.</w:t>
      </w:r>
    </w:p>
    <w:p>
      <w:pPr>
        <w:spacing w:after="0" w:line="38"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gaming industry is characterized by the element of chance. In addition to the element of chance, theoretical expected win rates are also affected by other factors, including players’ skills and experience, the mix of games played, the financial resources of players, the spread of table limits, the volume and mix of bets placed by our players, the amount of time players spend on gambling and the number of our players. As a result,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173"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revenues are mainly derived from the difference between our casino winnings and the winnings of our casino patrons. Since there are inherent elements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960"/>
          </w:cols>
          <w:pgMar w:left="320" w:top="472"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gaming business is subject to the risk of cheating and counterfeiting.</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operations.</w:t>
      </w:r>
    </w:p>
    <w:p>
      <w:pPr>
        <w:spacing w:after="0" w:line="171"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Gaming customers may attempt or commit fraud or cheat in order to increase their winnings, including in collusion with the casino’s staff. Internal acts of cheating could also be conducted by staff through collusion with dealers, surveillance staff, floor managers or other gaming area staff. 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71"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Our operations are reviewed to detect and prevent cheating. Each game has a theoretical win rate and statistics are examined with these in mind. Cheating may give rise to negative publicity and such action may materially affect our business, financial condition, operations and cash flows.</w:t>
      </w:r>
    </w:p>
    <w:p>
      <w:pPr>
        <w:spacing w:after="0" w:line="247" w:lineRule="exact"/>
        <w:rPr>
          <w:sz w:val="20"/>
          <w:szCs w:val="20"/>
          <w:color w:val="auto"/>
        </w:rPr>
      </w:pPr>
    </w:p>
    <w:p>
      <w:pPr>
        <w:ind w:left="30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38"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Our operations could be, and in certain cases, such as in relation to COVID-19, have been adversely affected by the outbreak of widespread health epidemics or pandemics, such as swine flu, avian influenza, severe acute respiratory syndrome (SARS), Middle East respiratory syndrome (MERS), Zika, Ebola and COVID-19. The occurrence of such health epidemics or pandemics, prolonged outbreak of an epidemic illness or other adverse public health developments in the PRC or elsewhere in the world could materially disrupt our business and operations. Such events could significantly impact our industry and cause severe travel restrictions in the PRC or elsewhere in the world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We continue to recover from the impact of, and disruptions caused by, COVID-19 on our operations, and the pace of recovery may continue to materially affect our business, prospects, financial condition and results of operations.”</w:t>
      </w:r>
    </w:p>
    <w:p>
      <w:pPr>
        <w:spacing w:after="0" w:line="174"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w:t>
      </w:r>
    </w:p>
    <w:p>
      <w:pPr>
        <w:spacing w:after="0" w:line="16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There can be no assurance that any further outbreak of COVID-19 or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940"/>
          </w:cols>
          <w:pgMar w:left="320" w:top="473"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220"/>
        <w:spacing w:after="0" w:line="276" w:lineRule="auto"/>
        <w:rPr>
          <w:sz w:val="20"/>
          <w:szCs w:val="20"/>
          <w:color w:val="auto"/>
        </w:rPr>
      </w:pPr>
      <w:r>
        <w:rPr>
          <w:rFonts w:ascii="Times New Roman" w:cs="Times New Roman" w:eastAsia="Times New Roman" w:hAnsi="Times New Roman"/>
          <w:sz w:val="17"/>
          <w:szCs w:val="17"/>
          <w:color w:val="auto"/>
        </w:rPr>
        <w:t>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PRC or global economy in general.</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Health and safety or food safety incidents at our properties may lead to reputational damage and financial exposures.</w:t>
      </w:r>
    </w:p>
    <w:p>
      <w:pPr>
        <w:spacing w:after="0" w:line="122" w:lineRule="exact"/>
        <w:rPr>
          <w:sz w:val="20"/>
          <w:szCs w:val="20"/>
          <w:color w:val="auto"/>
        </w:rPr>
      </w:pPr>
    </w:p>
    <w:p>
      <w:pPr>
        <w:ind w:left="300" w:right="280" w:firstLine="960"/>
        <w:spacing w:after="0" w:line="263" w:lineRule="auto"/>
        <w:rPr>
          <w:sz w:val="20"/>
          <w:szCs w:val="20"/>
          <w:color w:val="auto"/>
        </w:rPr>
      </w:pPr>
      <w:r>
        <w:rPr>
          <w:rFonts w:ascii="Times New Roman" w:cs="Times New Roman" w:eastAsia="Times New Roman" w:hAnsi="Times New Roman"/>
          <w:sz w:val="17"/>
          <w:szCs w:val="17"/>
          <w:color w:val="auto"/>
        </w:rPr>
        <w:t>We provide goods and services to a significant number of customers on a daily basis at our properties in Macau, Manila and Cyprus. In particular, with attractions, entertainment and food and beverage offerings at our properties,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our properties. See “— We are subject to risks relating to litigation, disputes and regulatory investigations and proceedings which may adversely affect our profitability, financial condition, reputation and prospects.”</w:t>
      </w:r>
    </w:p>
    <w:p>
      <w:pPr>
        <w:spacing w:after="0" w:line="274" w:lineRule="exact"/>
        <w:rPr>
          <w:sz w:val="20"/>
          <w:szCs w:val="20"/>
          <w:color w:val="auto"/>
        </w:rPr>
      </w:pPr>
    </w:p>
    <w:p>
      <w:pPr>
        <w:jc w:val="both"/>
        <w:ind w:left="300"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Unfavorable fluctuations in the currency exchange rates of the H.K. dollar, U.S. dollar, the Pataca, the Philippine peso or the Euro and other risks related to foreign exchange and currencies, including restrictions on conversions and/or repatriation of foreign currencies, could adversely affect our indebtedness, expenses, profitability and financial condition.</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and our indebtedness and as a result of</w:t>
      </w:r>
    </w:p>
    <w:p>
      <w:pPr>
        <w:spacing w:after="0" w:line="32"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7"/>
          <w:szCs w:val="17"/>
          <w:color w:val="auto"/>
        </w:rPr>
        <w:t>the presentation of our financial statements in U.S. dollars. The majority of our current revenues are denominated in H.K. dollars, given the H.K. dollar is the predominant currency used in gaming transactions in Macau and is often used interchangeably with the Pataca in Macau. Our current expenses are denominated predominantly in Patacas, H.K. dollars, the Philippine pesos and the Euro. In addition, we have revenues, assets, debt and expenses denominated in Philippine pesos and in Euros relating to our businesses in the Philippines and Cyprus, respectively. We also have subsidiaries, branch offices and assets in various countries and regions, including Singapore and 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Melco Resorts Finance Notes and Studio City Notes, and certain expenses, are or will be denominated in U.S. dollars, and the costs associated with servicing and repaying such debt will be denominated in U.S. dollars.</w:t>
      </w:r>
    </w:p>
    <w:p>
      <w:pPr>
        <w:spacing w:after="0" w:line="176"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The value of the H.K. dollar, the Pataca, the Philippine peso and the Euro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the Pataca, the Philippine peso or the Euro to the U.S. dollar may have a material adverse effect on our revenues and financial condition. For example, to the extent that we are required to convert U.S. dollar financings into H.K. dollars or Patacas for our operations, fluctuations in exchange rates between the H.K. dollar or Pataca against the U.S. dollar could have an adverse effect on the amounts we receive from the conversion.</w:t>
      </w:r>
    </w:p>
    <w:p>
      <w:pPr>
        <w:spacing w:after="0" w:line="175"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While we maintain a certain amount of our operating funds in the same currencies in which we have obligations in order to reduce our exposure to currency fluctuations, we have not engaged in hedging transactions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940"/>
          </w:cols>
          <w:pgMar w:left="320" w:top="473"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with respect to foreign exchange exposure of our revenues and expenses in our day-to-day operations during the years ended December 31, 2023 and 2022.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171"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Furthermore, the PRC has tightened currency exchange controls and restrictions on the export and conversion of the Renminbi in recent years. Restrictions on the export of the Renminbi, as well as the increased effectiveness of such restrictions, may impede the flow of gaming patrons from the PRC to Macau, the Philippines or outside of Asia, inhibit the growth of gaming in those markets and negatively impact our gaming operations.</w:t>
      </w:r>
    </w:p>
    <w:p>
      <w:pPr>
        <w:spacing w:after="0" w:line="263" w:lineRule="exact"/>
        <w:rPr>
          <w:sz w:val="20"/>
          <w:szCs w:val="20"/>
          <w:color w:val="auto"/>
        </w:rPr>
      </w:pPr>
    </w:p>
    <w:p>
      <w:pPr>
        <w:ind w:left="300" w:right="3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w:t>
      </w:r>
    </w:p>
    <w:p>
      <w:pPr>
        <w:spacing w:after="0" w:line="57" w:lineRule="exact"/>
        <w:rPr>
          <w:sz w:val="20"/>
          <w:szCs w:val="20"/>
          <w:color w:val="auto"/>
        </w:rPr>
      </w:pPr>
    </w:p>
    <w:p>
      <w:pPr>
        <w:ind w:left="300" w:right="120" w:firstLine="960"/>
        <w:spacing w:after="0" w:line="262" w:lineRule="auto"/>
        <w:rPr>
          <w:sz w:val="20"/>
          <w:szCs w:val="20"/>
          <w:color w:val="auto"/>
        </w:rPr>
      </w:pPr>
      <w:r>
        <w:rPr>
          <w:rFonts w:ascii="Times New Roman" w:cs="Times New Roman" w:eastAsia="Times New Roman" w:hAnsi="Times New Roman"/>
          <w:sz w:val="17"/>
          <w:szCs w:val="17"/>
          <w:color w:val="auto"/>
        </w:rPr>
        <w:t>We have made, and may in the future make, acquisitions, investments, divestments or strategic transactions in companies or projects to expand or complement our existing operations. From time to time, we engage in discussions and negotiations with companies regarding acquisitions, investments, divestments or other strategic transactions, which may be material or significant, in such companies or projects. For example, the discussions and negotiations between us and Melco International led to our acquisition of 75% ownership interest in ICR Cyprus from Melco International, through which we expanded our operations to Cyprus. With this acquisition, our business expanded to the European region and includes City of Dreams Mediterranean, a new integrated casino resort in Cyprus. Our expanded operations in Cyprus require significant resources and investments and we may in the future make other acquisitions, investments or strategic transactions that require significant capital commitments and resources.</w:t>
      </w:r>
    </w:p>
    <w:p>
      <w:pPr>
        <w:spacing w:after="0" w:line="175"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Should we pursue acquisitions in the PRC, we will be subject to a variety of PRC anti-monopoly laws. In recent years, additional regulations have been implemented which make merger and acquisition activities by foreign investors more time-consuming and complex. The Measures for the Security Review of Foreign Investments promulgated by National Development and Reform Commission, or the NDRC, and Ministry of Commerce, which became effective from January 2021, require that a security review by relevant governmental authorities must be conducted for foreign investments that affect or may affect national security in accordance with the provisions thereunder. In November 2021, the State Council inaugurated the National Anti-Monopoly Bureau, which aims to further implement fair competition policies and strengthen anti-monopoly supervision in the PRC, particularly to strengthen oversight and law enforcement in areas involving innovation, science and technology, information security and people’s livelihoods. Any failure or perceived failure by us to comply with the anti-monopoly laws and regulations may result in governmental investigations or enforcement actions, lawsuits or claims against us and could have an adverse effect on our business, financial condition and results of operations.</w:t>
      </w:r>
    </w:p>
    <w:p>
      <w:pPr>
        <w:spacing w:after="0" w:line="387"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Any integration process that would follow any of our acquisitions, investments or strategic transactions, including our acquisition of 75% equity interest in ICR Cyprus, may prove more difficult than anticipated. We may be subject to liabilities or claims that we are not aware of at the time of the investment or acquisition, and we may not realize the benefits anticipated at the time of the investment or acquisition. Any benefits anticipated at the time of the investment or acquisition may also not be realized, or may be impacted, due to factors beyond our control. For example, in Cyprus, our operations have been negatively affected by, among others, the military conflict between Russia and Ukraine, the Israel-Hamas conflict and other conflicts in the Middle East. These difficulties could disrupt our ongoing business, distract our management and employees,</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80"/>
          </w:cols>
          <w:pgMar w:left="320" w:top="473" w:right="6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300"/>
        <w:spacing w:after="0" w:line="269" w:lineRule="auto"/>
        <w:rPr>
          <w:sz w:val="20"/>
          <w:szCs w:val="20"/>
          <w:color w:val="auto"/>
        </w:rPr>
      </w:pPr>
      <w:r>
        <w:rPr>
          <w:rFonts w:ascii="Times New Roman" w:cs="Times New Roman" w:eastAsia="Times New Roman" w:hAnsi="Times New Roman"/>
          <w:sz w:val="17"/>
          <w:szCs w:val="17"/>
          <w:color w:val="auto"/>
        </w:rPr>
        <w:t>increase our expenses and liabilities, result in losses, including in material amounts, and may adversely affect our businesses,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169"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We may also, from time to time, receive inquiries from regulatory and legal authorities and become subject to regulatory and legal proceedings or investigations in connection with our acquisitions, investments, divestments or strategic transactions in companies or projects, which may delay or materially impact the completion of such acquisitions, investments, divestments or strategic transactions. Any such regulatory and legal proceedings or investigations may materially and adversely affect our business, operations, financial condition and prospects.</w:t>
      </w:r>
    </w:p>
    <w:p>
      <w:pPr>
        <w:spacing w:after="0" w:line="270" w:lineRule="exact"/>
        <w:rPr>
          <w:sz w:val="20"/>
          <w:szCs w:val="20"/>
          <w:color w:val="auto"/>
        </w:rPr>
      </w:pPr>
    </w:p>
    <w:p>
      <w:pPr>
        <w:ind w:left="300"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relating to any expansion of our operations and entry into new markets through mergers, acquisitions, strategic transactions or investments.</w:t>
      </w:r>
    </w:p>
    <w:p>
      <w:pPr>
        <w:spacing w:after="0" w:line="38"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have expanded our operations and entered into new markets in the past through acquisitions and strategic transactions. See also “— 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w:t>
      </w:r>
    </w:p>
    <w:p>
      <w:pPr>
        <w:spacing w:after="0" w:line="169"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We continue to evaluate and consider a wide array of potential strategic transactions as part of our overall business strategy. Any future expansion of our operations or our entry into new markets through mergers, acquisitions, strategic transactions or investments may subject us to:</w:t>
      </w:r>
    </w:p>
    <w:p>
      <w:pPr>
        <w:spacing w:after="0" w:line="55" w:lineRule="exact"/>
        <w:rPr>
          <w:sz w:val="20"/>
          <w:szCs w:val="20"/>
          <w:color w:val="auto"/>
        </w:rPr>
      </w:pPr>
    </w:p>
    <w:p>
      <w:pPr>
        <w:ind w:left="1240" w:right="120" w:hanging="530"/>
        <w:spacing w:after="0" w:line="295"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costs for complying with local laws, rules, regulations and policies as well as other local practices and customs in new markets, including establishing business and regulatory compliance programs;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or currency restructurings;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penalties on the repatriation of earnings;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changes in regulatory requirements;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as to local laws and enforcement of contract and intellectual property rights; and</w:t>
      </w:r>
    </w:p>
    <w:p>
      <w:pPr>
        <w:spacing w:after="0" w:line="131" w:lineRule="exact"/>
        <w:rPr>
          <w:rFonts w:ascii="Times New Roman" w:cs="Times New Roman" w:eastAsia="Times New Roman" w:hAnsi="Times New Roman"/>
          <w:sz w:val="17"/>
          <w:szCs w:val="17"/>
          <w:color w:val="auto"/>
        </w:rPr>
      </w:pPr>
    </w:p>
    <w:p>
      <w:pPr>
        <w:ind w:left="1240" w:right="820" w:hanging="530"/>
        <w:spacing w:after="0" w:line="295"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economic and political policies and conditions, political or civil unrest, acts of terrorism or the threat of international boycotts.</w:t>
      </w:r>
    </w:p>
    <w:p>
      <w:pPr>
        <w:spacing w:after="0" w:line="147"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These factors and the impact of these factors on our business and operations are difficult to predict and may have material adverse effect on our business and prospects, financial condition and results of operations.</w:t>
      </w:r>
    </w:p>
    <w:p>
      <w:pPr>
        <w:spacing w:after="0" w:line="247"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litigation, disputes and regulatory investigations and proceedings which may adversely affect our profitability, financial condition, reputation and prospects.</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We are, and may in the future be, subject to legal actions, disputes and regulatory investigations in the ordinary course of our business. We are also subject to risks relating to legal, administrative and regulatory proceedings and investigations which we or our affiliates are or may be a party to from time to time, or which could develop in the future, as well as fines or other penalties which may be imposed on us in connection with any requisite permit, license or other approval for our business and operations. Any adverse outcome may cause material disruptions to our normal business operations. In addition, administrative and regulatory proceedings can be costly and time-consuming and may divert management attention and resources from our operations. We could incur significant defense costs and, in the event of an adverse outcome, be required to pay damages and</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960"/>
          </w:cols>
          <w:pgMar w:left="320" w:top="473" w:right="6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interest to the prevailing party and, depending on the jurisdiction of the litigation, be held responsible for the costs of the prevailing party. Our reputation may also be adversely affected by our involvement or the involvement of our affiliates in litigation, administrative and regulatory proceedings. In addition, we and our affiliates operate or have interests in a number of jurisdictions in which regulatory and government authorities have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or other actions that may affect our assets and properties in connection with any investigation or legal, administrative or regulatory proceeding involving us, any of our affiliates, or third parties, which may materially affect our business, financial condition or results of operations.</w:t>
      </w:r>
    </w:p>
    <w:p>
      <w:pPr>
        <w:spacing w:after="0" w:line="388"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extend credit to a portion of our customers, and we may not be able to collect gaming receivables from our credit customers.</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We conduct, and expect to continue to conduct, our gaming activities at our casinos on a credit basis as well as a cash basis. Consistent with customary practice, we grant credit to certain premium direct players, and in markets where we engage gaming promoters and the grant of credit is permitted such as Macau, the Philippines and Cyprus, we grant credit to gaming promoters. Gaming promoters bear the responsibility for issuing credit and subsequently collecting the credit they granted. We extend credit, often on an unsecured basis, to certain gaming promoters and VIP patrons whose level of play and financial resources warrant such an extension in our opinion. High-end patrons typically are extended more credit than patrons who wager lower amounts. Any slowdown in the economy could adversely impact our VIP patrons, which could in turn increase the risk that these clients may default on credit extended to them. In Cyprus, a relatively new gaming market, we also grant credit to a small number of selected premium direct players.</w:t>
      </w:r>
    </w:p>
    <w:p>
      <w:pPr>
        <w:spacing w:after="0" w:line="388"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We may not be able to collect all of our gaming receivables from, or fully realize the value of collateral posted by, our credit customers. We expect that we will be able to enforce our gaming receivables only in a limited number of jurisdictions including Macau, the Philippines, Cyprus and under certain circumstances, Hong Kong. As most of our customers in Macau are visitors from other jurisdictions, we may not have access to a forum in which we will be able to collect all of our gaming receivables because, among other reasons, courts in many jurisdictions,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As a result of COVID-19, we have increased our estimated allowance for credit losses. We may also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credit customer suffers losses in connection with any gaming activities at our properties and receivables from such customer are uncollectible, Macau gaming taxes, Philippines license fees or Cyprus gaming taxes (as the case may be) will still be payable on the resulting gaming revenues, notwithstanding any receivables owed by such customer to us may be uncollectible. An estimated allowance for credit losses is maintained to reduce our receivables to their carrying amounts, which approximate fair values.</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940"/>
          </w:cols>
          <w:pgMar w:left="320" w:top="473"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plans may be negatively impacted by any contraction in the availability and significant increase in the cost of credit.</w:t>
      </w:r>
    </w:p>
    <w:p>
      <w:pPr>
        <w:spacing w:after="0" w:line="122"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Our business and financing plans may be dependent upon the completion of future financings. Any severe contraction of liquidity in the global credit markets and/or a significant increase in interest rates may make it difficult and costly to obtain new lines of credit or to refinance existing debt, and may place broad limitations on the availability of credit from credit sources as well as lengthen the recovery cycle of extended credit. Any deterioration in the credit environment may cause us to have difficulty in obtaining additional financing on acceptable terms, or at all, which could adversely affect our ability to complete current and future projects. Tightening of liquidity conditions in credit markets and material rises in the cost of funding may also constrain revenue generation and growth and could have a material adverse effect on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Rolling chip patrons and VIP gaming customers may cause significant volatility in our revenues and cash flows.</w:t>
      </w:r>
    </w:p>
    <w:p>
      <w:pPr>
        <w:spacing w:after="0" w:line="122"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A portion of our casino revenues in Macau are generated from the rolling chip segment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results of operations and cash flows from operations may be more volatile from quarter to quarter than that of our competitors and consequently may require higher levels of cage cash in reserve to manage this volatility.</w:t>
      </w:r>
    </w:p>
    <w:p>
      <w:pPr>
        <w:spacing w:after="0" w:line="274" w:lineRule="exact"/>
        <w:rPr>
          <w:sz w:val="20"/>
          <w:szCs w:val="20"/>
          <w:color w:val="auto"/>
        </w:rPr>
      </w:pPr>
    </w:p>
    <w:p>
      <w:pPr>
        <w:ind w:left="300" w:righ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depend upon gaming promoters for a portion of our gaming revenues in Macau, the Philippines and Cyprus. If we are unable to establish, maintain and increase the number of successful relationships with gaming promoters in Macau, the Philippines or Cyprus,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w:t>
      </w:r>
    </w:p>
    <w:p>
      <w:pPr>
        <w:spacing w:after="0" w:line="67"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Historically, VIP rolling chip patrons introduced to us by gaming promoters were responsible for a significant portion of our gaming revenues in Macau. However, significantly increased regulatory scrutiny of gaming promoters in Macau has resulted, and may continue to result, in restrictions on their activities and the cessation of business of many gaming promoters. In addition, changes to the legal and regulatory framework in the PRC has also affected gaming promoters in Macau. For example, amendments to the PRC’s criminal laws, which provide that anyone that organizes trips for Chinese citizens for the purpose of gambling outside of the PRC, including Macau, may be deemed to have conducted a criminal act, came into effect on March 1, 2021. Furthermore, in November 2021, the Court of Final Appeal in Macau issued a final unappealable decision holding that a gaming operator was jointly liable with a gaming promoter for the refund of funds deposited with such gaming promoter, and separately the Macau authorities have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On December 20, 2022, a new law came into effect that included provisions clarifying the extent of joint liability of concessionaires and gaming promoters pursuant to which the acceptance of funds or chips from others by a gaming promoter is only considered activity undertaken by the casino when such funds or chips were used to play or result from gaming winnings. The records kept by the concessionaire with respect to the chips or play are relevant for such determination. Under such new law, the taking of deposits of funds from others not for gaming purposes is considered a crime. We currently engage gaming promoters in Macau. In the</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940"/>
          </w:cols>
          <w:pgMar w:left="320" w:top="473"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event gaming promoters remain subject to such restrictions and regulatory scrutiny in Macau and we, or the gaming promoters we engage, are unable to successfully attract VIP rolling chip patrons or expand our mass market segment in Macau, our business, financial condition and results of operations could be affected materially and adversely. For a further discussion of restrictions on gaming promoters in Macau, see “— Adverse changes or developments in gaming laws or other regulations in Macau that affect our operations could be difficult to comply with or may significantly increase our costs, which could cause our projects to be unsuccessful.”</w:t>
      </w:r>
    </w:p>
    <w:p>
      <w:pPr>
        <w:spacing w:after="0" w:line="171"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As of the end of 2023, we had arrangements with six gaming promoters in the Philippines. In the event we are unable or choose not to partner with additional gaming promoters in the Philippines or are unable to successfully operate our VIP rolling chip operations with reduced reliance on customers introduced by gaming promoters or expand our mass market segment in the Philippines, our business, financial condition and results of operations could be affected materially and adversely.</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our operations in Cyprus, there are currently three licensed gaming promoters.</w:t>
      </w:r>
    </w:p>
    <w:p>
      <w:pPr>
        <w:spacing w:after="0" w:line="223"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If we are unable to utilize, maintain, resume and/or develop relationships with gaming promoters and, in the case of Cyprus, if the number of licensed gaming promoters do not significantly increase in the future,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which may increase our overall credit exposure or to find alternate ways of attracting such patrons which may not be as effective as gaming promoters or may increase our marketing expenses.</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In addition, in markets where we use gaming promoters, such gaming promoters may encounter difficulties in attracting patrons to come to our casinos. For example, gaming promoters may experience decreased liquidity, limiting their ability to grant credit to their patrons, resulting in decreased gaming volume in the affected casinos. Credit already extended by our gaming promoters may become increasingly difficult to collect.</w:t>
      </w:r>
    </w:p>
    <w:p>
      <w:pPr>
        <w:spacing w:after="0" w:line="263" w:lineRule="exact"/>
        <w:rPr>
          <w:sz w:val="20"/>
          <w:szCs w:val="20"/>
          <w:color w:val="auto"/>
        </w:rPr>
      </w:pPr>
    </w:p>
    <w:p>
      <w:pPr>
        <w:ind w:left="300" w:right="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are impacted by the reputation and integrity of the parties with whom we engage in business activities, including gaming promoters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w:t>
      </w:r>
    </w:p>
    <w:p>
      <w:pPr>
        <w:spacing w:after="0" w:line="6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Operations Law and Gaming Activities Law, if we enter into new arrangements with gaming promoters in the future, Melco Resorts Macau has an obligation to supervise gaming promoters who operate at our Macau properties to ensure their compliance with applicable laws and regulations. In June 2022, PAGCOR published The Casino Guide for Fitness and Propriety Assessment for Junket Operators, under which all land-based casinos must assess the fitness and propriety nature of its junket or chip-washing operators, its associates/agents/promoters, and applicants for junket operations. To conduct any business activity in licensed casinos, all persons responsible for the operations of junkets and/or applicants for junket operations must demonstrate that they are a “fit and proper” person.</w:t>
      </w:r>
    </w:p>
    <w:p>
      <w:pPr>
        <w:spacing w:after="0" w:line="178"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For parties we deal with in gaming-related activities, where relevant, the gaming regulators also undertake their own probity checks and will reach their own suitability findings in respect of the activities and</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940"/>
          </w:cols>
          <w:pgMar w:left="320" w:top="472"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00"/>
        <w:spacing w:after="0" w:line="262" w:lineRule="auto"/>
        <w:rPr>
          <w:sz w:val="20"/>
          <w:szCs w:val="20"/>
          <w:color w:val="auto"/>
        </w:rPr>
      </w:pPr>
      <w:r>
        <w:rPr>
          <w:rFonts w:ascii="Times New Roman" w:cs="Times New Roman" w:eastAsia="Times New Roman" w:hAnsi="Times New Roman"/>
          <w:sz w:val="17"/>
          <w:szCs w:val="17"/>
          <w:color w:val="auto"/>
        </w:rPr>
        <w:t>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In addition, if any of our gaming promoters violate applicable laws, the government may, at its discretion, take enforcement action against the gaming promoters and could also seek to impose liability on us for the conduct of the gaming promoters.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275" w:lineRule="exact"/>
        <w:rPr>
          <w:sz w:val="20"/>
          <w:szCs w:val="20"/>
          <w:color w:val="auto"/>
        </w:rPr>
      </w:pPr>
    </w:p>
    <w:p>
      <w:pPr>
        <w:ind w:left="300"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38"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We and our businesses in different jurisdictions are subject to a number of anti-corruption laws, including the U.S. Foreign Corrupt Practices Act, or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Breach of these anti-corruption laws carries severe criminal and civil sanctions as well as other penalties and reputational harm. There has been a general increase in FCPA enforcement activities in recent years by the SEC and the U.S. Department of Justice. Both the number of FCPA cases and sanctions imposed have risen significantly.</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While we have adopted and implemented an anti-corruption compliance program covering both commercial bribery and public corruption which includes internal policies, procedures and training aimed to prevent and detect anti-corruption compliance issues and risks, and procedures to take remedial action when compliance issues are identified, there is no assurance that our employees, consultants, contractors and agents, and those of our affiliates, will adhere to the anti-corruption compliance programs, or that any action taken to comply with, or address compliance issues, will be considered adequate by the regulatory bodies with jurisdiction over us and our affiliates. Any violation of our compliance programs or applicable laws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gaming licenses, or lead to other adverse consequences on our business, prospects, financial condition and results of operations. As we are a U.S. listed company, certain U.S. laws and regulations apply to our operations and compliance with those laws and regulations increases our cost of doing business. We also deal in significant amounts of cash in our operations and are subject to various reporting and anti-money laundering regulations. Any violation of anti-money laundering laws or regulations by us could have a negative effect on our results of operations.</w:t>
      </w:r>
    </w:p>
    <w:p>
      <w:pPr>
        <w:spacing w:after="0" w:line="280" w:lineRule="exact"/>
        <w:rPr>
          <w:sz w:val="20"/>
          <w:szCs w:val="20"/>
          <w:color w:val="auto"/>
        </w:rPr>
      </w:pPr>
    </w:p>
    <w:p>
      <w:pPr>
        <w:ind w:left="300"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 failure to establish and protect our intellectual property rights could have an adverse effect on our business, financial condition and results of operations.</w:t>
      </w:r>
    </w:p>
    <w:p>
      <w:pPr>
        <w:spacing w:after="0" w:line="38"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We have registered or have the right to use the trademarks, including “Melco,” “Altira,” “Mocha Club,” “City of Dreams,” “Nüwa,” “The Countdown,” “Morpheus,” “The House of Dancing Water,” “City of Dreams Manila,” “Studio City,” “Melco Resorts Philippines,” “C2” and “Melco Resorts &amp; Entertainment” in Macau, the Philippines, Cyprus and/or other jurisdictions. We have also registered in Macau, the Philippines, Cyprus and other jurisdictions certain other trademarks and service marks used in connection with the operations of our hotel casino projects in Macau, City of Dreams Manila and Cyprus. We endeavor to establish and protect our intellectual property rights through trademarks, service marks, domain names, licenses and other contractual provisions. The brands we use in connection with our properties have gained recognition. Failure to possess,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920"/>
          </w:cols>
          <w:pgMar w:left="320" w:top="473"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3" w:lineRule="auto"/>
        <w:rPr>
          <w:sz w:val="20"/>
          <w:szCs w:val="20"/>
          <w:color w:val="auto"/>
        </w:rPr>
      </w:pPr>
      <w:r>
        <w:rPr>
          <w:rFonts w:ascii="Times New Roman" w:cs="Times New Roman" w:eastAsia="Times New Roman" w:hAnsi="Times New Roman"/>
          <w:sz w:val="17"/>
          <w:szCs w:val="17"/>
          <w:color w:val="auto"/>
        </w:rPr>
        <w:t>obtain or maintain adequate protection of our intellectual property rights could negatively impact our brands and could have a material adverse effect on our business, financial condition and results of operations. For example, third parties may misappropriate or infringe our intellectual property, which may include but not be limited to the use of our intellectual property by offshore gaming websites, including those that may attempt to defraud members of the public. While we may take legal or other appropriate actions against these unauthorized offshore websites, such as by reporting the sites to the appropriate governmental or regulatory authorities, such actions may not be effective or significant expenses could be incurred and such unauthorized activities may draw businesses away from our operations and/or tarnish our reputation, all of which may adversely affect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infringement or alleged infringement of intellectual property rights belonging to third parties could adversely affect our business.</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face the potential risk of claims that we have infringed upon the intellectual property rights of third parties, which could be expensive and time-consuming to defend. In addition, we may be required to cease using certain intellectual property rights or selling or providing certain products or services, pay significant damages or enter into costly royalty or licensing agreements in order to obtain the right to use a third party’s intellectual property rights (if available at all), any of which could have a negative impact on our business, financial condition and future prospects. Furthermore, if litigation were to result from such claims, our business could be interrupted.</w:t>
      </w:r>
    </w:p>
    <w:p>
      <w:pPr>
        <w:spacing w:after="0" w:line="272"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38"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color w:val="auto"/>
        </w:rPr>
        <w:t>The free ports, offshore financial services and free movement of capital have created an environment whereby casinos in Macau, the Philippines or Cyprus could be exploited for money laundering purposes. We also deal with significant amounts of cash in our regular casino operations in Macau, the Philippines and Cyprus. As our Macau, Philippine and Cyprus operations are subject to various reporting and anti-money laundering regulations and increased audits and inspections from regulators, we have implemented anti-money laundering policies to address those requirements. Philippine laws on anti-money laundering have been amended to include casinos as covered institutions and the Anti-Money Laundering Council and PAGCOR have also recently released corresponding regulations and guidelines on compliance. In Cyprus, The Prevention and Suppression of Money Laundering Activities Laws of 2007 to 2022 (188(I)/2007) N. 98 (I)/2023 (“Cyprus AML Law”) as amended in March 2021 transposed the European Union’s Sixth AML Directive (“AMLD 6”) into national law of Cyprus. Amendments to the Cyprus AML Law were also made in March 2022 to provide further clarifications on the provisions of the AMLD 6, including those relating to enforcement procedure and measures to be undertaken to better enforce, supervise and coordinate the EU’s rules in this area. The CGC’s anti-money laundering Direction requires us to implement compliance measures to meet obligations relating to our monitoring and control obligations and CGC reporting requirements. While we have adjusted our anti-money laundering policies for our Philippine and Cyprus operations to these new rules and regulations, their implementation or application, as well as any further changes to anti-money laundering laws and regulations in Macau, the Philippines and Cyprus may require us to adopt changes to our own anti-money laundering policies.</w:t>
      </w:r>
    </w:p>
    <w:p>
      <w:pPr>
        <w:spacing w:after="0" w:line="183"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We cannot assure you that our contractors, agents or employees will continually adhere to any such current or future policies or these policies will be effective in preventing our casino operations from being exploited for money laundering purposes, including from jurisdictions outside of Macau, the Philippines or Cyprus.</w:t>
      </w:r>
    </w:p>
    <w:p>
      <w:pPr>
        <w:spacing w:after="0" w:line="162"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There can be no assurance that, despite the anti-money laundering measures we have adopted and undertaken, we would not be subject to any accusation or investigation related to any possible money laundering activities. In addition, we expect to be required by relevant regulatory authorities from Macau, the Philippines,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920"/>
          </w:cols>
          <w:pgMar w:left="320" w:top="473"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60" w:lineRule="auto"/>
        <w:rPr>
          <w:sz w:val="20"/>
          <w:szCs w:val="20"/>
          <w:color w:val="auto"/>
        </w:rPr>
      </w:pPr>
      <w:r>
        <w:rPr>
          <w:rFonts w:ascii="Times New Roman" w:cs="Times New Roman" w:eastAsia="Times New Roman" w:hAnsi="Times New Roman"/>
          <w:sz w:val="17"/>
          <w:szCs w:val="17"/>
          <w:color w:val="auto"/>
        </w:rPr>
        <w:t>Cyprus and other jurisdictions that regulate our business activities to attend meetings and interviews from time to time to discuss our operations as they relate to anti-money laundering laws and regulations during which regulatory authorities may make inquiries and take other actions such as compliance audits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of the Philippine License or the Cyprus License. For more information regarding anti-money laundering regulations in Macau, the Philippines and Cyprus, see “Item 4. Information on the Company — B. Business Overview — Regulations — Macau Regulations — Anti-Money Laundering and Terrorism Financing Regulations,” “Item 4. Information on the Company — B. Business Overview — Regulations — Philippines Regulations — Anti-Money Laundering Regulations in the Philippines” and “Item 4. Information on the Company — B. Business Overview — Regulations — Cyprus Regulations — Anti-Money Laundering Law and Regulations.”</w:t>
      </w:r>
    </w:p>
    <w:p>
      <w:pPr>
        <w:spacing w:after="0" w:line="280" w:lineRule="exact"/>
        <w:rPr>
          <w:sz w:val="20"/>
          <w:szCs w:val="20"/>
          <w:color w:val="auto"/>
        </w:rPr>
      </w:pPr>
    </w:p>
    <w:p>
      <w:pPr>
        <w:ind w:left="300" w:right="6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and other systems are subject to cybersecurity risks, including misappropriation of customer information, other breaches of information security or other cybercrimes, as well as regulatory and other risks.</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employees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180"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steps we take to deter and mitigate these risks may not be successful or effective and our insurance coverage for protecting against cybersecurity risks may not be sufficient. Our third-party information system service providers face risks relating to cybersecurity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services and results of operations may be adversely affected and we may have to make significant investments to repair or replace them. Furthermore, any extended downtime from power supply disruptions or information technology system outages which may be caused by cybersecurity attacks or other reasons at our properties may lead to an adverse impact on our operating results if we are unable to deliver services to customers for an extended period of time.</w:t>
      </w:r>
    </w:p>
    <w:p>
      <w:pPr>
        <w:spacing w:after="0" w:line="174"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Despite the security measures we currently have in place, our facilities and systems and those of our third-party service providers may be vulnerable to security breaches, acts of vandalism, phishing attacks,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920"/>
          </w:cols>
          <w:pgMar w:left="320" w:top="473"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spacing w:after="0" w:line="264" w:lineRule="auto"/>
        <w:rPr>
          <w:sz w:val="20"/>
          <w:szCs w:val="20"/>
          <w:color w:val="auto"/>
        </w:rPr>
      </w:pPr>
      <w:r>
        <w:rPr>
          <w:rFonts w:ascii="Times New Roman" w:cs="Times New Roman" w:eastAsia="Times New Roman" w:hAnsi="Times New Roman"/>
          <w:sz w:val="17"/>
          <w:szCs w:val="17"/>
          <w:color w:val="auto"/>
        </w:rPr>
        <w:t>computer viruses, misplaced or lost data, programming or human errors, other cybercrimes and other events. Cybersecurity risks continue to intensify globally, with cybercriminals employing increasingly sophisticated methods of cyber-attack. There were a number of well-publicized attacks on large corporations, including several in our industry. Cyber-attacks are becoming increasingly more difficult to anticipate and prevent due to their rapidly evolving nature and, as a result,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employees, expose us to risks of litigation, significant fines and penalties and liability, result in the deterioration of our customers’, suppliers’ and employees’ confidence in us, and adversely affect our business, results of operations and financial condition. Any perceived or actual unauthorized disclosure of personally identifiable information of our employees, customers, suppliers or website visitors could harm our reputation and credibility and reduce our ability to attract and retain employees, suppliers and customers.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Regulations — Macau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177" w:lineRule="exact"/>
        <w:rPr>
          <w:sz w:val="20"/>
          <w:szCs w:val="20"/>
          <w:color w:val="auto"/>
        </w:rPr>
      </w:pPr>
    </w:p>
    <w:p>
      <w:pPr>
        <w:ind w:left="300" w:right="580" w:firstLine="960"/>
        <w:spacing w:after="0" w:line="276" w:lineRule="auto"/>
        <w:rPr>
          <w:sz w:val="20"/>
          <w:szCs w:val="20"/>
          <w:color w:val="auto"/>
        </w:rPr>
      </w:pPr>
      <w:r>
        <w:rPr>
          <w:rFonts w:ascii="Times New Roman" w:cs="Times New Roman" w:eastAsia="Times New Roman" w:hAnsi="Times New Roman"/>
          <w:sz w:val="17"/>
          <w:szCs w:val="17"/>
          <w:color w:val="auto"/>
        </w:rPr>
        <w:t>Finally, while we have developed and implemented a cybersecurity risk management program, there can be no assurance that our cybersecurity risk management program and processes, including our policies, controls or procedures, will be fully complied with or effective in protecting our systems and information. See also “Item 16K – Cybersecurity.”</w:t>
      </w:r>
    </w:p>
    <w:p>
      <w:pPr>
        <w:spacing w:after="0" w:line="263" w:lineRule="exact"/>
        <w:rPr>
          <w:sz w:val="20"/>
          <w:szCs w:val="20"/>
          <w:color w:val="auto"/>
        </w:rPr>
      </w:pPr>
    </w:p>
    <w:p>
      <w:pPr>
        <w:ind w:left="300" w:right="1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62"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Our businesses collect, use and transmit large volumes of data, including credit card numbers and personal information in various information systems relating to our customers, suppliers and staff, and such personal information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w:t>
      </w:r>
    </w:p>
    <w:p>
      <w:pPr>
        <w:spacing w:after="0" w:line="175" w:lineRule="exact"/>
        <w:rPr>
          <w:sz w:val="20"/>
          <w:szCs w:val="20"/>
          <w:color w:val="auto"/>
        </w:rPr>
      </w:pPr>
    </w:p>
    <w:p>
      <w:pPr>
        <w:ind w:left="300" w:right="320" w:firstLine="960"/>
        <w:spacing w:after="0" w:line="269" w:lineRule="auto"/>
        <w:rPr>
          <w:sz w:val="20"/>
          <w:szCs w:val="20"/>
          <w:color w:val="auto"/>
        </w:rPr>
      </w:pPr>
      <w:r>
        <w:rPr>
          <w:rFonts w:ascii="Times New Roman" w:cs="Times New Roman" w:eastAsia="Times New Roman" w:hAnsi="Times New Roman"/>
          <w:sz w:val="17"/>
          <w:szCs w:val="17"/>
          <w:color w:val="auto"/>
        </w:rPr>
        <w:t>Our customers, suppliers and employees have a high expectation that we will adequately protect their personal information. Such collection, use and/or transmission of personal information is governed by privacy laws and regulations and such laws and regulations change often, vary significantly by jurisdiction and often are newly enacted. For example, the European Union (“EU”)’s General Data Protection Regulation (“GDPR”),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940"/>
          </w:cols>
          <w:pgMar w:left="320" w:top="473"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2" w:lineRule="auto"/>
        <w:rPr>
          <w:sz w:val="20"/>
          <w:szCs w:val="20"/>
          <w:color w:val="auto"/>
        </w:rPr>
      </w:pPr>
      <w:r>
        <w:rPr>
          <w:rFonts w:ascii="Times New Roman" w:cs="Times New Roman" w:eastAsia="Times New Roman" w:hAnsi="Times New Roman"/>
          <w:sz w:val="17"/>
          <w:szCs w:val="17"/>
          <w:color w:val="auto"/>
        </w:rPr>
        <w:t>which became effective in May 2018, requires companies to meet new and more stringent requirements regarding the handling of personal information. The GDPR may also capture data processing by non-EU firms with no EU establishment if, for example, they conduct direct marketing that specifically targets individuals in the EU. In addition, on November 1, 2023, the PRC National Information Security Standardization Technical Committee issued the Network Security Standard Practice Guide –Guangdong-Hong Kong-Macau Greater Bay Area Cross-Border Personal Information Protection Requirements (Draft for Comment), setting out the basic principles and protection requirements in the personal information cross-border flow in the Guangdong-Hong Kong-Macao Greater Bay Area, which requires personal information processors to comply with the local laws and regulations in the jurisdictions concerned. It is likely that this Standard Practice Guide, if effective, will be applicable to companies operating in Macau and Hong Kong, like us.</w:t>
      </w:r>
    </w:p>
    <w:p>
      <w:pPr>
        <w:spacing w:after="0" w:line="175"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In some jurisdictions, including the PRC where we have a wholly-owned subsidiary that hosts domain names of our PRC websites and other online platforms which promote our non-gaming amenities in the PRC, the cybersecurity, data privacy, data protection, or other data-related laws and regulations are relatively new and evolving, and their interpretation and application may be uncertain. For example, the Cybersecurity Administration of China, or CAC, introduced the Management Measures for Reporting Cybersecurity Incidents (Draft for Comment) in December 2023, which require mandatory reporting within one hour for significant, major, or exceptionally major incidents. On January 4, 2022, the CAC issued the New Measures for Cybersecurity Review, or the New Measures,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Macau like us, we face uncertainties as to whether such clearance can be timely obtained, or at all. We have not received any formal notice from any PRC cybersecurity regulator that we should apply for or otherwise be subject to a cybersecurity review, but we cannot be certain that such notifications will not occur in the future.</w:t>
      </w:r>
    </w:p>
    <w:p>
      <w:pPr>
        <w:spacing w:after="0" w:line="176" w:lineRule="exact"/>
        <w:rPr>
          <w:sz w:val="20"/>
          <w:szCs w:val="20"/>
          <w:color w:val="auto"/>
        </w:rPr>
      </w:pPr>
    </w:p>
    <w:p>
      <w:pPr>
        <w:ind w:left="300" w:right="200" w:firstLine="960"/>
        <w:spacing w:after="0" w:line="260" w:lineRule="auto"/>
        <w:rPr>
          <w:sz w:val="20"/>
          <w:szCs w:val="20"/>
          <w:color w:val="auto"/>
        </w:rPr>
      </w:pPr>
      <w:r>
        <w:rPr>
          <w:rFonts w:ascii="Times New Roman" w:cs="Times New Roman" w:eastAsia="Times New Roman" w:hAnsi="Times New Roman"/>
          <w:sz w:val="17"/>
          <w:szCs w:val="17"/>
          <w:color w:val="auto"/>
        </w:rPr>
        <w:t>On November 14, 2021, the draft Regulations for the Administration of Cyber Data Security was published by the CAC for public comment, which provides that data processors conducting the following activities shall apply for cybersecurity review: (i) a merger, reorganization or division of online platform operators that have acquired a large number of data resources related to national security, economic development or public interests which affect or may affect national security; (ii) a listing abroad when the data processor processes over one million users’ personal information; (iii) a listing in Hong Kong which affects or may affect national security; or (iv) other data processing activities that affect or may affect national security. It also requires data processors processing important data or listed outside China to carry out a data security assessment annually by itself or through a third party data security service provider and submit an assessment report to the local agency of the CAC. As there are still uncertainties regarding the further enactment of new laws and regulations as well as the revision, interpretation and implementation of those existing laws and regulations, we cannot predict the impact of the Regulations for the Administration of Cyber Data Security on us, if any. In September 2023 the National People’s Congress announced that it intends to finalize the ongoing review of the PRC Cyber Security Law, in effect since 2017, and the draft amendments include increasing the penalties for individuals and companies.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940"/>
          </w:cols>
          <w:pgMar w:left="320" w:top="473"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addition, the PRC Data Security Law, which was promulgated by the Standing Committee of the National People’s Congress on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June 10, 2021 and took effect on September 1, 2021, requires data collection to be conducted in a legitimate and proper manner, and stipulates that, for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purpose of data protection, data processing activities must be conducted based on data classification and hierarchical protection systems for data</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security. Furthermore, the recently issued Opinions on Strictly Cracking Down Illegal Securities Activities requires (i) speeding up the revision of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provisions on strengthening the confidentiality and archives management relating to overseas issuance and listing of securities and (ii) improving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laws and regulations relating to data security, cross-border data flow, and management of confidential information. The PRC Personal Information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Protection Law, which was promulgated by the Standing Committee of the National People’s Congress on August 20, 2021 and took effect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November 1, 2021, integrates the various rules with respect to personal information rights and privacy protection and applies to the processing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personal information within the PRC as well as certain personal information processing activities outside the PRC, including those for the provision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products and services to natural persons within the PRC or for the analysis and assessment of acts of natural persons within the PRC. Although we have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collected, stored or managed any personal information in the PRC, given that there remain uncertainties regarding the further interpretation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implementation of those laws and regulations, if they are deemed to be applicable to companies operating in Macau, like us, we cannot assure you that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will be compliant with such new regulations in all respects, and we may be ordered to rectify and terminate any actions that are deemed illegal by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government authorities and become subject to fines and other government sanctions, which may materially and adversely affect our business, financial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condition, and results of operations. Furthermore, we must also comply with other industry standards such as those for the credit card industry and other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applicable data security standards.</w:t>
      </w:r>
    </w:p>
    <w:p>
      <w:pPr>
        <w:spacing w:after="0" w:line="205"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274" w:lineRule="exact"/>
        <w:rPr>
          <w:sz w:val="20"/>
          <w:szCs w:val="20"/>
          <w:color w:val="auto"/>
        </w:rPr>
      </w:pPr>
    </w:p>
    <w:p>
      <w:pPr>
        <w:ind w:left="300"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38" w:lineRule="exact"/>
        <w:rPr>
          <w:sz w:val="20"/>
          <w:szCs w:val="20"/>
          <w:color w:val="auto"/>
        </w:rPr>
      </w:pPr>
    </w:p>
    <w:p>
      <w:pPr>
        <w:ind w:left="300" w:right="140" w:firstLine="960"/>
        <w:spacing w:after="0" w:line="261" w:lineRule="auto"/>
        <w:rPr>
          <w:sz w:val="20"/>
          <w:szCs w:val="20"/>
          <w:color w:val="auto"/>
        </w:rPr>
      </w:pPr>
      <w:r>
        <w:rPr>
          <w:rFonts w:ascii="Times New Roman" w:cs="Times New Roman" w:eastAsia="Times New Roman" w:hAnsi="Times New Roman"/>
          <w:sz w:val="17"/>
          <w:szCs w:val="17"/>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prevalence of social media compounds the potential scope of the negative publicity that could be generated. Any negative press or publicity could also lead to government or other regulatory investigations, including causing regulators with jurisdiction over our gaming operations in Macau, the Philippines and Cyprus to take action against us or our related licensees, including actions that could affect the ability or terms upon which our subsidiaries hold their gaming licenses and/or concession, our suitability to continue as a shareholder of those subsidiaries and/or the suitability of key personnel to remain with us. If any of these events were to occur, it could cause a material adverse effect on our business and prospects, financial condition and results of operations.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new branded products or new business lines may not be successful.</w:t>
      </w:r>
    </w:p>
    <w:p>
      <w:pPr>
        <w:spacing w:after="0" w:line="122"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We launched the Nüwa brand in both Macau and the Philippines and the C2 brand in Cyprus and intend to rebrand The Countdown. In 2023, we launched City of Dreams Mediterranean in Cyprus and Epic Tower at</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940"/>
          </w:cols>
          <w:pgMar w:left="320" w:top="473"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Studio City. We may continue introducing new brand names and brand identities in the future, which may be time-consuming and expensive, or may not have the intended effect, any of which could have a material adverse effect on our business, results of operations and financial condition. We may also launch new products or enter into new business or service lines that are subject to different business or regulatory risks than our existing gaming business. These new initiatives may subject us to additional costs for complying with a new set of laws, rules, regulations and policies and/or requirements imposed by new governmental and regulatory bodies. Given our relative lack of experience in these new business ventures, there is also no assurance that they will be successful. Accordingly, the revenue streams from our new properties and casinos opening in the near future may not be stable or significant.</w:t>
      </w:r>
    </w:p>
    <w:p>
      <w:pPr>
        <w:spacing w:after="0" w:line="200" w:lineRule="exact"/>
        <w:rPr>
          <w:sz w:val="20"/>
          <w:szCs w:val="20"/>
          <w:color w:val="auto"/>
        </w:rPr>
      </w:pPr>
    </w:p>
    <w:p>
      <w:pPr>
        <w:spacing w:after="0" w:line="288" w:lineRule="exact"/>
        <w:rPr>
          <w:sz w:val="20"/>
          <w:szCs w:val="20"/>
          <w:color w:val="auto"/>
        </w:rPr>
      </w:pPr>
    </w:p>
    <w:p>
      <w:pPr>
        <w:ind w:left="300" w:righ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w:t>
      </w:r>
    </w:p>
    <w:p>
      <w:pPr>
        <w:spacing w:after="0" w:line="57"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The United Nations and a number of countries and jurisdictions, including the PRC, the United States and the EU, have adopted various economic or trade sanction regimes. In particular, economic and trade sanctions have been threatened and/or imposed by the U.S. government on a number of PRC-based technology companies, including ZTE Corporation, Huawei Technologies Co., Ltd., or Huawei, Tencent Holdings Limited, certain of their respective affiliates, and other PRC-based technology companies. These Chinese technology conglomerates manufacture and/or develop telecommunications and other equipment, software, mobile Apps and devices that are popular and widely used globally, including by us and by our customers, especially those in the PRC. The United States has also in certain circumstances imposed and threatened to impose further sanctions, trade embargoes, and other heightened regulatory requirements on the PRC and PRC-based companies. The U.S. government has brought enforcement actions against ZTE Corporation and Huawei and related persons, as well as companies who engaged in unauthorized transactions with Huawei.</w:t>
      </w:r>
    </w:p>
    <w:p>
      <w:pPr>
        <w:spacing w:after="0" w:line="175"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175"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In addition, the continuing military conflict between Russia and Ukraine has led to sanctions and export controls being imposed by the United States, the European Union, the United Kingdom and other countries targeting Russia, its financial systems and major financial institutions and certain Russian entities and persons. As these new and growing lists of sanctions and measures are extensive and changing, they could be difficult to comply with and could also significantly increase our business and compliance costs. Such sanctions and measures have had and may continue to have a negative impact on our business and our ability to accept certain customers, including for our business in Cyprus where historically a significant number of tourists have come from Russia.</w:t>
      </w:r>
    </w:p>
    <w:p>
      <w:pPr>
        <w:spacing w:after="0" w:line="274"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Climate change, environmental, social and governance and sustainability related concerns could have a significant negative impact on our business and results of operations.</w:t>
      </w:r>
    </w:p>
    <w:p>
      <w:pPr>
        <w:spacing w:after="0" w:line="38"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Governments, regulatory authorities, investors, customers, employees and other stakeholders are increasingly focusing on environmental, social and governance (“ESG”) and sustainability practices and disclosures, and expectations in this area are rapidly evolving and growing.</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940"/>
          </w:cols>
          <w:pgMar w:left="320" w:top="473"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or ability to obtain sufficient coverage. See “Item 3. Key Information — D. Risk Factors — Risks Relating to Our Business and Operations — Our business in Macau, the Philippines and Cyprus is subject to certain regional and global political, social and economic risks, as well as natural disasters, that may significantly affect visitations to our properties and have a material adverse effect on our results of operations” for a discussion of risks relating to natural disasters that could be exacerbated by climate change.</w:t>
      </w:r>
    </w:p>
    <w:p>
      <w:pPr>
        <w:spacing w:after="0" w:line="173" w:lineRule="exact"/>
        <w:rPr>
          <w:sz w:val="20"/>
          <w:szCs w:val="20"/>
          <w:color w:val="auto"/>
        </w:rPr>
      </w:pPr>
    </w:p>
    <w:p>
      <w:pPr>
        <w:ind w:left="300" w:right="60" w:firstLine="960"/>
        <w:spacing w:after="0" w:line="259" w:lineRule="auto"/>
        <w:rPr>
          <w:sz w:val="20"/>
          <w:szCs w:val="20"/>
          <w:color w:val="auto"/>
        </w:rPr>
      </w:pPr>
      <w:r>
        <w:rPr>
          <w:rFonts w:ascii="Times New Roman" w:cs="Times New Roman" w:eastAsia="Times New Roman" w:hAnsi="Times New Roman"/>
          <w:sz w:val="17"/>
          <w:szCs w:val="17"/>
          <w:color w:val="auto"/>
        </w:rPr>
        <w:t>We are also subject to the changes in related laws and regulations and their compliance could be difficult and costly. 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substantial amount of waste in our operations and any failure in our efforts to use materials efficiently or reduce waste may not meet the expectations of our stakeholders and our own ESG objectives. Compliance with future climate-related legislation and regulation, and our efforts to achieve emissions reduction targets, could also be difficult and costly. Consumer travel and consumption preferences may also shift due to sustainability related concerns or costs. As a result of the foregoing, we may experience significant increased operating and compliance costs, operating disruptions or limitations, reduced demand, and constraints on our growth, all of which could adversely affect our profits.</w:t>
      </w:r>
    </w:p>
    <w:p>
      <w:pPr>
        <w:spacing w:after="0" w:line="285"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Claims or regulatory actions against us under China’s competition laws may result in fines, constraints on our business and damage to our reputation.</w:t>
      </w:r>
    </w:p>
    <w:p>
      <w:pPr>
        <w:spacing w:after="0" w:line="38"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In recent years, the PRC government has stepped up enforcement against concentration of undertakings, cartel activities, monopoly agreements, unfair pricing, abusive behaviors by companies with market dominance and other anti-competitive activities. In December 2020, the PRC central government announced that strengthening anti-monopoly measures and preventing the disorderly expansion of capital has become one of its focuses, and that it intended to improve digital regulations and legal standards for the identification of platform enterprise monopolies for the gathering, usage and management of data, and for the protection of consumer rights.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example, the PRC government has enhanced its anti-monopoly and anti-unfair competition laws and regulations, such as the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enactment of the Online Trading Measures, which took effect on May 1, 2021, and the amended Anti-monopoly Law, which came into effect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August 1, 2022 and significantly increased the consequences of liability for violations, including for failing to notify the State Administration for Market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Regulation prior to implementing transactions if certain thresholds are met.</w:t>
      </w:r>
    </w:p>
    <w:p>
      <w:pPr>
        <w:spacing w:after="0" w:line="205"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As of the date of this annual report, the PRC’s statements and regulatory actions related to anti-monopoly concerns have not impacted our business, our ability to accept foreign investments or our ability to issue our securities to foreign investors. However, in the future, we may become subject to these or similar laws and regulations and compliance with such laws and regulations, as well as administrative guidance and requirements by regulators from time to time, may require significant resources and efforts, including changing our operations and pricing practices, restructuring our operations and adjusting our investment activities, which may materially and adversely affect our operations, growth prospects, reputation and the trading prices of our ordinary shares and/or ADSs.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940"/>
          </w:cols>
          <w:pgMar w:left="320" w:top="473"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All of our current and future construction projects are and will be subject to significant development and construction risks, which could have a material adverse impact on related project timetables, costs and our ability to complete the projects.</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our current and future construction projects are and will be subject to a number of risks, including:</w:t>
      </w:r>
    </w:p>
    <w:p>
      <w:pPr>
        <w:spacing w:after="0" w:line="131" w:lineRule="exact"/>
        <w:rPr>
          <w:sz w:val="20"/>
          <w:szCs w:val="20"/>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plans and specifications;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problems, including defective plans and specifications;</w:t>
      </w:r>
    </w:p>
    <w:p>
      <w:pPr>
        <w:spacing w:after="0" w:line="131" w:lineRule="exact"/>
        <w:rPr>
          <w:rFonts w:ascii="Times New Roman" w:cs="Times New Roman" w:eastAsia="Times New Roman" w:hAnsi="Times New Roman"/>
          <w:sz w:val="17"/>
          <w:szCs w:val="17"/>
          <w:color w:val="auto"/>
        </w:rPr>
      </w:pPr>
    </w:p>
    <w:p>
      <w:pPr>
        <w:ind w:left="1240" w:right="62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key supply markets, including shortages of, and price increases in, energy, materials and skilled and unskilled labor, geopolitical issues and inflation, including any disruptions resulting from COVID-19 outbreaks;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or inability to obtain necessary permits, licenses and approvals;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sufficient, or delays in availability of, financing;</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or in the interpretation and enforcement of laws and regulations, applicable to gaming, leisure, residential, real estate development or construction projects;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or work stoppages;</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 of qualified contractors and suppliers or inability to enter into definitive contracts with contractors with sufficient skills, financial resources and experience on commercially reasonable terms, or at all;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and defaults by, contractors and subcontractors and other counter-parties;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injuries to workers and other persons;</w:t>
      </w:r>
    </w:p>
    <w:p>
      <w:pPr>
        <w:spacing w:after="0" w:line="131" w:lineRule="exact"/>
        <w:rPr>
          <w:rFonts w:ascii="Times New Roman" w:cs="Times New Roman" w:eastAsia="Times New Roman" w:hAnsi="Times New Roman"/>
          <w:sz w:val="17"/>
          <w:szCs w:val="17"/>
          <w:color w:val="auto"/>
        </w:rPr>
      </w:pPr>
    </w:p>
    <w:p>
      <w:pPr>
        <w:ind w:left="1240" w:right="38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health and safety issues, including site accidents and the spread or outbreak of infectious diseases, such as COVID-19 outbreaks;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interferences or delays;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fires, typhoons and other natural disasters;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geological, construction, excavation, regulatory and equipment problems;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unanticipated circumstances or cost increases.</w:t>
      </w:r>
    </w:p>
    <w:p>
      <w:pPr>
        <w:spacing w:after="0" w:line="223"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The occurrence of any of these events could increase the total costs, delay or prevent the construction or opening or otherwise affect the design and features of any existing or future construction projects which we might undertake. For example, in Cyprus, the City of Dreams Mediterranean project experienced delays due to some difficulties that we encountered with our contractors in relation to them not meeting labor resourcing plans and maintaining progress. We cannot guarantee that our construction costs or total project costs for existing or future projects will not increase beyond amounts initially budgeted.</w:t>
      </w:r>
    </w:p>
    <w:p>
      <w:pPr>
        <w:spacing w:after="0" w:line="272" w:lineRule="exact"/>
        <w:rPr>
          <w:sz w:val="20"/>
          <w:szCs w:val="20"/>
          <w:color w:val="auto"/>
        </w:rPr>
      </w:pPr>
    </w:p>
    <w:p>
      <w:pPr>
        <w:ind w:left="300" w:right="5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could encounter substantial cost increases or delays in the development of our projects, which could prevent or delay the opening of such projects.</w:t>
      </w:r>
    </w:p>
    <w:p>
      <w:pPr>
        <w:spacing w:after="0" w:line="38"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We may have development projects in the future. The completion of these projects is subject to a number of contingencies, including adverse developments in applicable legislation, delays or failures in obtaining necessary government licenses, permits or approvals, disruptions to key supply markets, including shortages of, and price increases in energy, materials and skilled and unskilled labor, and inflation. The occurrence of any of these developments could increase the total costs or delay or prevent the construction or opening of new projects, which could materially and adversely affect our business, financial condition and results of operations. We may also require additional financing to develop our projects. Our ability to obtain such</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920"/>
          </w:cols>
          <w:pgMar w:left="320" w:top="473" w:right="6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95" w:lineRule="auto"/>
        <w:rPr>
          <w:sz w:val="20"/>
          <w:szCs w:val="20"/>
          <w:color w:val="auto"/>
        </w:rPr>
      </w:pPr>
      <w:r>
        <w:rPr>
          <w:rFonts w:ascii="Times New Roman" w:cs="Times New Roman" w:eastAsia="Times New Roman" w:hAnsi="Times New Roman"/>
          <w:sz w:val="17"/>
          <w:szCs w:val="17"/>
          <w:color w:val="auto"/>
        </w:rPr>
        <w:t>financing depends on a number of factors beyond our control, including market conditions, investors’ and lenders’ perceptions of, and demand for, debt and equity securities of gaming companies and interest rates.</w:t>
      </w:r>
    </w:p>
    <w:p>
      <w:pPr>
        <w:spacing w:after="0" w:line="147"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There is no assurance that the actual construction costs related to our projects will not exceed the costs we have projected and budgeted, which could materially and adversely affect our business, cash flow, financial condition, results of operations and prospects.</w:t>
      </w:r>
    </w:p>
    <w:p>
      <w:pPr>
        <w:spacing w:after="0" w:line="247"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Construction is subject to hazards that may cause personal injury or loss of life, thereby subjecting us to liabilities and possible losses, which may not be covered by insurance.</w:t>
      </w:r>
    </w:p>
    <w:p>
      <w:pPr>
        <w:spacing w:after="0" w:line="3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construction of large-scale properties, including the types of projects we are or may be involved in,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Studio City Phase 2 construction site and certain façade-related works were suspended for approximately two weeks. We believe, and require, our contractors take safety precautions that are consistent with industry practice, but these safety precautions may not be adequate to prevent serious personal injuries or loss of life, damage to property or delays. If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16"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in Macau are dependent upon our concession and, if we fail to comply with the complex legal and regulatory regime in Macau, our concession may be subject to revocation.</w:t>
      </w:r>
    </w:p>
    <w:p>
      <w:pPr>
        <w:spacing w:after="0" w:line="38"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Under the terms of the Concession Contract, we are obligated to comply with all laws, regulations, rulings and orders promulgated by the Macau government from time to time. In addition, we must comply with all terms of the 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 on our ability to maintain continuing communications and good faith negotiations with the Macau government to ensure that we are performing our obligations and covenants under the concession and applicable laws and regulations in a manner that would avoid any violations. We cannot assure you that we will perform such obligations and covenants in a way that satisfies the requirements of the Macau government.</w:t>
      </w:r>
    </w:p>
    <w:p>
      <w:pPr>
        <w:spacing w:after="0" w:line="173"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Melco Resorts Macau’s concession further provides that the Macau government is allowed to request various changes in our investment plan and impose business and corporate requirements that may be binding on us. Melco Resorts Macau must also first obtain the Macau government’s approval before raising certain financing and must notify the Macau government before taking certain financial decisions. As a result, we cannot assure you that we will be able to comply with these requirements or any other requirements of the Macau government or with the other requirements and obligations imposed by our concession, the gaming law or other related regulations.</w:t>
      </w:r>
    </w:p>
    <w:p>
      <w:pPr>
        <w:spacing w:after="0" w:line="171"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harshest penalty that may be imposed on us for failure to comply with the complex legal and regulatory regime in Macau and the terms of the Concession Contract is revocation of the concession. Under the concession, the Macau government has the right to unilaterally terminate the concession in the event of non-compliance by Melco Resorts Macau with its basic obligations under the concession and applicable Macau laws. If such a termination were to occur, any casino premises and gaming equipment at that time will revert or be transferred to the Macau government without compensation to us and we would be unable to operate casino gaming in Macau, which would have a material adverse effect on our financial condition, results of</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940"/>
          </w:cols>
          <w:pgMar w:left="320" w:top="473"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0" w:lineRule="auto"/>
        <w:rPr>
          <w:sz w:val="20"/>
          <w:szCs w:val="20"/>
          <w:color w:val="auto"/>
        </w:rPr>
      </w:pPr>
      <w:r>
        <w:rPr>
          <w:rFonts w:ascii="Times New Roman" w:cs="Times New Roman" w:eastAsia="Times New Roman" w:hAnsi="Times New Roman"/>
          <w:sz w:val="17"/>
          <w:szCs w:val="17"/>
          <w:color w:val="auto"/>
        </w:rPr>
        <w:t>operations and cash flows and could result in defaults under our indebtedness agreements and a partial or complete loss of our investments in our projects. Termination events include, among others, endangerment to the national security of the PRC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Melco Resorts Macau’s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Melco Resorts Macau’s concession without compensation to Melco Resorts Macau. In many of these instances, the Concession Contract does not provide for a specific cure period within which any such events may be cured and the granting of any cure period, if at all, would be at the discretion of the Macau government. See “Item 4. Information on the Company — B. Business Overview — Regulations — Gaming Licenses — The Concession Contract in Macau.”</w:t>
      </w:r>
    </w:p>
    <w:p>
      <w:pPr>
        <w:spacing w:after="0" w:line="17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Currently, there is no precedent on how the Macau government will treat the termination of a concession and the laws and regulations relating to termination of a concession have not yet been applied by the Macau government. Accordingly, the scope and enforcement of the provisions of Macau’s gaming regulatory system cannot be fully assessed.</w:t>
      </w:r>
    </w:p>
    <w:p>
      <w:pPr>
        <w:spacing w:after="0" w:line="263" w:lineRule="exact"/>
        <w:rPr>
          <w:sz w:val="20"/>
          <w:szCs w:val="20"/>
          <w:color w:val="auto"/>
        </w:rPr>
      </w:pPr>
    </w:p>
    <w:p>
      <w:pPr>
        <w:ind w:left="300"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Studio City faces significant risks and uncertainties which may materially and adversely affect our business, financial condition and results of operations.</w:t>
      </w:r>
    </w:p>
    <w:p>
      <w:pPr>
        <w:spacing w:after="0" w:line="38"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Studio City commenced operations in October 2015 and operates in a challenging competitive environment. For example, some of our competitors in Macau have expanded operations or have announced intentions for further expansion and developments in Cotai, where Studio City is located. See “— We face intense competition in Macau, the Philippines and elsewhere in Asia and Europe and may not be able to compete successfully.” Moreover, we face risks and uncertainties related to changes to the Chinese and Macau governments’ policies and regulations relating to gaming markets, including those affecting gaming table allocation and caps, smoking restrictions, exchange controls and repatriation of capital, measures to control inflation and monetary transfers and travel restrictions.</w:t>
      </w:r>
    </w:p>
    <w:p>
      <w:pPr>
        <w:spacing w:after="0" w:line="173" w:lineRule="exact"/>
        <w:rPr>
          <w:sz w:val="20"/>
          <w:szCs w:val="20"/>
          <w:color w:val="auto"/>
        </w:rPr>
      </w:pPr>
    </w:p>
    <w:p>
      <w:pPr>
        <w:ind w:left="300" w:right="80" w:firstLine="960"/>
        <w:spacing w:after="0" w:line="261" w:lineRule="auto"/>
        <w:rPr>
          <w:sz w:val="20"/>
          <w:szCs w:val="20"/>
          <w:color w:val="auto"/>
        </w:rPr>
      </w:pPr>
      <w:r>
        <w:rPr>
          <w:rFonts w:ascii="Times New Roman" w:cs="Times New Roman" w:eastAsia="Times New Roman" w:hAnsi="Times New Roman"/>
          <w:sz w:val="17"/>
          <w:szCs w:val="17"/>
          <w:color w:val="auto"/>
        </w:rPr>
        <w:t>In addition, Studio City may find it challenging to comply with the terms imposed under its financing arrangements, especially during periods of challenging market conditions (including changes in the PRC’s economy). The 2028 Studio City Senior Secured Credit Facility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and “— The renewal of a land concession is subject to compliance with certain legal requirements. In the event of any failure to meet such legal requirements, we could be forced to forfeit all or part of our investment in City of Dreams and Studio City, along with our interest in the land on which City of Dreams and Studio City properties are located and the building and structures on such land.”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the foregoing trends, risks and uncertainties may have a material adverse impact on our business, financial condition and results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960"/>
          </w:cols>
          <w:pgMar w:left="320" w:top="473" w:right="6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gaming operations in Macau could be adversely affected by restrictions on the export of the Renminbi and any unfavorable fluctuations in the currency exchange rates of the Renminbi.</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Gaming operators in Macau are currently prohibited from accepting wagers in Renminbi, the currency of China. There are currently restrictions on the export of the Renminbi outside of the PRC, including to Macau. For example, a Chinese citizen traveling abroad is only allowed to take a total of RMB20,000 (equivalent to approximately US$2,809) plus the equivalent of up to US$5,000 out of China. The annual limit of RMB100,000 (equivalent to approximately US$14,046) is the aggregate amount that can be withdrawn overseas by any person from Chinese bank accounts and it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the PRC to Macau. Furthermore, a law also exists to control cross-border transportation of cash and other negotiable instruments to the bearer. In accordance with such law, all individuals entering Macau with an amount in cash or negotiable instrument to the bearer equal to or higher than the amount of MOP120,000 (equivalent to approximately US$14,914) as determined by the Chief Executive of Macau are required to declare such amount to the customs authorities. The adoption of digital currency by the Chinese government may also cause more restrictions on the export of the Renminbi out of the PRC, which may impede the flow of customers from the PRC to Macau, inhibit the growth of gaming in Macau and negatively impact our operations.</w:t>
      </w:r>
    </w:p>
    <w:p>
      <w:pPr>
        <w:spacing w:after="0" w:line="394"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In addition, the value of RMB against the U.S. dollar and other currencies may fluctuate and may be affected by, among other things, changes in political and economic conditions and the foreign exchange policies adopted by the PRC government. In 2023, the value of RMB depreciated approximately 3% against the U.S. dollar. It remains difficult to predict how market forces or PRC or U.S. government policy, including the ongoing trade disputes between the PRC and the U.S. governments may further exacerbate the devaluation of the RMB against the U.S. dollar and other currencies in the future. Given that we derive a significant majority of our revenues from our Macau gaming business and a significant number of our gaming customers come from, and are expected to continue to come from, the PRC, any further devaluation of the RMB against the U.S. dollar and other currencies may affect the visitation and level of spending of these gaming customers and could in turn have a material adverse effect on our revenues and financial condition.</w:t>
      </w:r>
    </w:p>
    <w:p>
      <w:pPr>
        <w:spacing w:after="0" w:line="275" w:lineRule="exact"/>
        <w:rPr>
          <w:sz w:val="20"/>
          <w:szCs w:val="20"/>
          <w:color w:val="auto"/>
        </w:rPr>
      </w:pPr>
    </w:p>
    <w:p>
      <w:pPr>
        <w:ind w:left="30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Adverse changes or developments in gaming laws or other regulations in Macau that affect our operations could be difficult to comply with or may significantly increase our costs, which could cause our projects to be unsuccessful.</w:t>
      </w:r>
    </w:p>
    <w:p>
      <w:pPr>
        <w:spacing w:after="0" w:line="38"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operations in Macau are also exposed to the risks of changes in laws and policies. Current laws in Macau, such as licensing requirements, tax rates, immigration and other regulatory obligations, including those for anti-money laundering, could change or become more stringent resulting in additional regulations being imposed upon gaming operations in Macau. See “— The gaming industries in Macau, the Philippines and Cyprus are highly regulated.”</w:t>
      </w:r>
    </w:p>
    <w:p>
      <w:pPr>
        <w:spacing w:after="0" w:line="169"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our operations. See “Item 4. Information on the Company — B. Business Overview — Regulations — Macau Regulations.” In addition, the Macau government imposed regulations and restrictions that affect the minimum age required for entrance into casinos in Macau, entry into casinos by off-duty gaming related employees, location requirements for sites with gaming machine lounges, data privacy and other matters. Any such legislation, regulation or restriction which is being or may in the future be imposed by the Macau government may have a material adverse impact on our operations, business and</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940"/>
          </w:cols>
          <w:pgMar w:left="320" w:top="473"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520"/>
        <w:spacing w:after="0" w:line="276" w:lineRule="auto"/>
        <w:rPr>
          <w:sz w:val="20"/>
          <w:szCs w:val="20"/>
          <w:color w:val="auto"/>
        </w:rPr>
      </w:pPr>
      <w:r>
        <w:rPr>
          <w:rFonts w:ascii="Times New Roman" w:cs="Times New Roman" w:eastAsia="Times New Roman" w:hAnsi="Times New Roman"/>
          <w:sz w:val="17"/>
          <w:szCs w:val="17"/>
          <w:color w:val="auto"/>
        </w:rPr>
        <w:t>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Macau Regulations.”</w:t>
      </w:r>
    </w:p>
    <w:p>
      <w:pPr>
        <w:spacing w:after="0" w:line="16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Also, smoking on the premises of casinos is only permitted in authorized segregated smoking lounges with no gaming activities, and such segregated smoking lounges are required to meet certain standards determined by the Macau government. Our properties currently have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Macau Regulations — Smoking Regulations.”</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Current Macau laws and regulations concerning gaming and gaming concessions and matters such as prevention of money laundering are fairly recent or there is little precedent on the interpretation of these laws and regulations. These laws and regulations are complex and a court or an administrative or regulatory body may in the future render an interpretation of these laws and regulations or issue new or modified regulations that differ from our interpretation, which could have a material adverse effect on the operation of our properties and on our financial condition, results of operations, cash flows and prospects.</w:t>
      </w:r>
    </w:p>
    <w:p>
      <w:pPr>
        <w:spacing w:after="0" w:line="171"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Our activities in Macau are subject to administrative review and approval by various departments of the Macau government. For example, our business activities are subject to the administrative review and approval by the DICJ, Macau health department, Macau labor bureau, Macau construction works bureau, Macau fire department, Macau finance department and Macau Government Tourism Office. We cannot assure you that we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74" w:lineRule="exact"/>
        <w:rPr>
          <w:sz w:val="20"/>
          <w:szCs w:val="20"/>
          <w:color w:val="auto"/>
        </w:rPr>
      </w:pPr>
    </w:p>
    <w:p>
      <w:pPr>
        <w:ind w:left="30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Macau government has established a maximum number of gaming tables and gaming machines that may be operated in Macau and has set a minimum average annual gross gaming revenue on gaming tables and gaming machines.</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for gaming tables and MOP300,000 for gaming machines are not met for two consecutive years or the tables or gaming machines are not fully utilized without reason within a certain period. Current and future restrictions on gaming tables and gaming machines may have a material impact on our gaming revenues and overall business and operations.</w:t>
      </w:r>
    </w:p>
    <w:p>
      <w:pPr>
        <w:spacing w:after="0" w:line="272" w:lineRule="exact"/>
        <w:rPr>
          <w:sz w:val="20"/>
          <w:szCs w:val="20"/>
          <w:color w:val="auto"/>
        </w:rPr>
      </w:pPr>
    </w:p>
    <w:p>
      <w:pPr>
        <w:ind w:left="300" w:right="8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Melco Resorts Macau benefits from an exemption of Complementary tax on income from gaming operations under the Concession until December 31, 2027 and we may not be able to extend it.</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Companies in Macau are subject to Complementary tax of up to 12% of taxable income, as defined in relevant tax laws. We are</w:t>
      </w:r>
    </w:p>
    <w:p>
      <w:pPr>
        <w:spacing w:after="0" w:line="32" w:lineRule="exact"/>
        <w:rPr>
          <w:sz w:val="20"/>
          <w:szCs w:val="20"/>
          <w:color w:val="auto"/>
        </w:rPr>
      </w:pPr>
    </w:p>
    <w:p>
      <w:pPr>
        <w:ind w:left="300" w:right="140"/>
        <w:spacing w:after="0" w:line="260" w:lineRule="auto"/>
        <w:rPr>
          <w:sz w:val="20"/>
          <w:szCs w:val="20"/>
          <w:color w:val="auto"/>
        </w:rPr>
      </w:pPr>
      <w:r>
        <w:rPr>
          <w:rFonts w:ascii="Times New Roman" w:cs="Times New Roman" w:eastAsia="Times New Roman" w:hAnsi="Times New Roman"/>
          <w:sz w:val="17"/>
          <w:szCs w:val="17"/>
          <w:color w:val="auto"/>
        </w:rPr>
        <w:t>also subject to a 35% special gaming tax on our gaming revenues as well as contributions of 2% and 3% of gross gaming revenue to a public fund, and to urban development, touristic promotion and social security, respectively. Such contributions may be waived or reduced with respect to gross gaming revenue generated by foreign patrons under certain circumstances. The Macau government granted to Melco Resorts Macau the benefit of a corporate tax holiday on gaming profits in Macau until 2021, which was extended until December 31, 2022 by dispatch of the Chief Executive. Melco Resorts Macau continues to benefit from the Macau Complementary Tax exemption on gaming profits for the period from January 1, 2023 to</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940"/>
          </w:cols>
          <w:pgMar w:left="320" w:top="473"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3" w:lineRule="auto"/>
        <w:rPr>
          <w:sz w:val="20"/>
          <w:szCs w:val="20"/>
          <w:color w:val="auto"/>
        </w:rPr>
      </w:pPr>
      <w:r>
        <w:rPr>
          <w:rFonts w:ascii="Times New Roman" w:cs="Times New Roman" w:eastAsia="Times New Roman" w:hAnsi="Times New Roman"/>
          <w:sz w:val="17"/>
          <w:szCs w:val="17"/>
          <w:color w:val="auto"/>
        </w:rPr>
        <w:t>December 31, 2027 pursuant to a Dispatch of the Macau Chief Executive dated January 29, 2024. The non-gaming profits of Melco Resorts Macau remain subject to the Macau Complementary Tax. In addition, the Macau government has granted to one of our subsidiaries in Macau the Macau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applied for an extension of such Complementary tax exemption for the period from January 1, 2022 to December 31, 2022 and further for the period from January 1, 2023 to December 31, 2027. These applications are subject to the discretionary approval of the Macau government. We cannot assure you that the corporate tax holiday benefits will be extended beyond their expiration dates.</w:t>
      </w:r>
    </w:p>
    <w:p>
      <w:pPr>
        <w:spacing w:after="0" w:line="173"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During the five-year period from 2017 through 2021, an annual payment of MOP18.9 million (equivalent to approximately US$2.3 million) was payable by Melco Resorts Macau with respect to tax due for dividend distributions to the shareholders of Melco Resorts Macau from gaming profits, whether such dividends are actually distributed by Melco Resorts Macau or not, or whether Melco Resorts Macau has distributable profits in the relevant year. For the period from January 1, 2022 to June 26, 2022, a payment of MOP4 million (equivalent to approximately US$0.5 million) was paid by Melco Resorts Macau. In March 2023, Melco Resorts Macau received an extension of the agreement with the Macau government for an amount of MOP4.2 million (equivalent to approximately US$0.5 million) as payment for the period from June 27, 2022 to December 31, 2022. In February 2024, Melco Resorts Macau entered into an agreement with the Macau government for an annual payment for the period from 2023 through 2025. Upon the payment of such amount, the shareholders of Melco Resorts Macau will not be liable to pay any other tax in Macau for dividend distributions received from gaming profits. We cannot assure you that the same arrangement will be applied beyond such period or, in the event a similar arrangement is adopted, whether we will be required to pay a higher annual sum.</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the Philippines</w:t>
      </w:r>
    </w:p>
    <w:p>
      <w:pPr>
        <w:spacing w:after="0" w:line="116" w:lineRule="exact"/>
        <w:rPr>
          <w:sz w:val="20"/>
          <w:szCs w:val="20"/>
          <w:color w:val="auto"/>
        </w:rPr>
      </w:pPr>
    </w:p>
    <w:p>
      <w:pPr>
        <w:ind w:left="300" w:right="7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land and buildings comprising the site occupied by City of Dreams Manila is leased by Melco Resorts Leisure and thus subject to risks associated with tenancy relationships.</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Melco Resorts Leisure entered into a lease agreement on October 25, 2012, which became effective on March 13, 2013 (as amended or supplemented, the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 disputes may arise from a tenancy relationship, such as with respect to the provision of utilities on the premises, rental lease payments, or any adjustments thereto, and the maintenance and normal repair of the buildings, any of which could result in an arbitrable dispute between Belle Corporation and Melco Resorts Leisure. There can be no assurance that any such dispute would be resolved or settled amicably or expediently or that Melco Resorts Leisure will not encounter any material issues with respect to its tenancy relationship with Belle Corporation. In August 2022 and October 2022, we entered into amendment agreements to the Lease Agreement with Belle Corporation, under which the parties revised the rent payable</w:t>
      </w:r>
    </w:p>
    <w:p>
      <w:pPr>
        <w:spacing w:after="0" w:line="3" w:lineRule="exact"/>
        <w:rPr>
          <w:sz w:val="20"/>
          <w:szCs w:val="20"/>
          <w:color w:val="auto"/>
        </w:rPr>
      </w:pPr>
    </w:p>
    <w:p>
      <w:pPr>
        <w:ind w:left="500" w:hanging="208"/>
        <w:spacing w:after="0"/>
        <w:tabs>
          <w:tab w:leader="none" w:pos="5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2022; and (ii) for the year ended December 31, 2022 through the year ending December 31, 2033, respectively,</w:t>
      </w:r>
    </w:p>
    <w:p>
      <w:pPr>
        <w:spacing w:after="0" w:line="13" w:lineRule="exact"/>
        <w:rPr>
          <w:rFonts w:ascii="Times New Roman" w:cs="Times New Roman" w:eastAsia="Times New Roman" w:hAnsi="Times New Roman"/>
          <w:sz w:val="17"/>
          <w:szCs w:val="17"/>
          <w:color w:val="auto"/>
        </w:rPr>
      </w:pPr>
    </w:p>
    <w:p>
      <w:pPr>
        <w:ind w:left="300" w:right="1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adjustments based on the annual headline inflation and bonus rent pursuant to the terms thereof. There can be no assurance that any material issue arising out of the tenancy relationship can always be resolved swiftly and on terms acceptable to us. Furthermore, if any dispute arises, Belle Corporation, as lessor, could discontinue essential services necessary for the operation of City of Dreams Manila, or seek relief to oust Melco Resorts Leisure from possession of the leased premises. Any prolonged or substantial dispute between Belle Corporation and Melco Resorts Leisure, or any dispute arising under the lease agreement between Belle Corporation and the Social Security System, could have a material adverse effect on the operations of City of Dreams Manila, which could in turn adversely affect our business, financial condition and results of operations. In addition, any negative publicity arising from disputes with, or non-compliance by, Belle Corporation with the Lease Agreement could have a material adverse effect on our business and prospects, financial condition and results of operations.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940"/>
          </w:cols>
          <w:pgMar w:left="320" w:top="472"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Furthermore, the Lease Agreement may be terminated under certain circumstances, including Melco Resorts</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Leisure’s non-payment of rent, or if either party fails to substantially perform any material covenants under the Lease Agreement and fails to</w:t>
      </w:r>
    </w:p>
    <w:p>
      <w:pPr>
        <w:spacing w:after="0" w:line="14" w:lineRule="exact"/>
        <w:rPr>
          <w:sz w:val="20"/>
          <w:szCs w:val="20"/>
          <w:color w:val="auto"/>
        </w:rPr>
      </w:pPr>
    </w:p>
    <w:p>
      <w:pPr>
        <w:ind w:left="300"/>
        <w:spacing w:after="0" w:line="273" w:lineRule="auto"/>
        <w:rPr>
          <w:sz w:val="20"/>
          <w:szCs w:val="20"/>
          <w:color w:val="auto"/>
        </w:rPr>
      </w:pPr>
      <w:r>
        <w:rPr>
          <w:rFonts w:ascii="Times New Roman" w:cs="Times New Roman" w:eastAsia="Times New Roman" w:hAnsi="Times New Roman"/>
          <w:sz w:val="17"/>
          <w:szCs w:val="17"/>
          <w:color w:val="auto"/>
        </w:rPr>
        <w:t>remedy such non-performance in a timely manner, which could cause a material adverse effect on our business and prospects, financial condition, results of operations and cash flows.</w:t>
      </w:r>
    </w:p>
    <w:p>
      <w:pPr>
        <w:spacing w:after="0" w:line="265" w:lineRule="exact"/>
        <w:rPr>
          <w:sz w:val="20"/>
          <w:szCs w:val="20"/>
          <w:color w:val="auto"/>
        </w:rPr>
      </w:pPr>
    </w:p>
    <w:p>
      <w:pPr>
        <w:ind w:left="30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MRP as a co-licensee of Belle Corporation, which could adversely impact City of Dreams Manila and MRP.</w:t>
      </w:r>
    </w:p>
    <w:p>
      <w:pPr>
        <w:spacing w:after="0" w:line="57" w:lineRule="exact"/>
        <w:rPr>
          <w:sz w:val="20"/>
          <w:szCs w:val="20"/>
          <w:color w:val="auto"/>
        </w:rPr>
      </w:pPr>
    </w:p>
    <w:p>
      <w:pPr>
        <w:ind w:left="300" w:right="120" w:firstLine="960"/>
        <w:spacing w:after="0" w:line="261" w:lineRule="auto"/>
        <w:rPr>
          <w:sz w:val="20"/>
          <w:szCs w:val="20"/>
          <w:color w:val="auto"/>
        </w:rPr>
      </w:pPr>
      <w:r>
        <w:rPr>
          <w:rFonts w:ascii="Times New Roman" w:cs="Times New Roman" w:eastAsia="Times New Roman" w:hAnsi="Times New Roman"/>
          <w:sz w:val="17"/>
          <w:szCs w:val="17"/>
          <w:color w:val="auto"/>
        </w:rPr>
        <w:t>Melco Resorts Leisure is designated as the sole operator under the provisional gaming license issued by PAGCOR on December 12, 2008 for the development of an integrated tourism resort and to establish and operate a casino within Entertainment City in Manila, the Philippines, under which the Melco Philippine Parties and the Philippine Parties are co-licensees pursuant to the Amended Certificate of Affiliation and Provisional License dated January 28, 2013 (the “Provisional License”). Prior to this, Belle Corporation and the other Philippine Parties elected to terminate such contracts and the operator with whom Belle Corporation previously contracted, on behalf of itself and such third-party contractors, signed a waiver releasing the Philippine Parties from all obligations thereunder. Although Belle Corporation agreed to indemnify the Melco Philippine Parties from any loss suffered in connection with the termination of such contracts, there can be no assurance that Belle Corporation will honor such agreement. Any issues which may arise from such contracts and their counterparties, or any attempt by another operator or any other third party contractor to enforce provisions under such contracts, could interfere with MRP’s operations or cause reputational damage, which could materially and adversely affect our business, financial condition and results of operations.</w:t>
      </w:r>
    </w:p>
    <w:p>
      <w:pPr>
        <w:spacing w:after="0" w:line="275"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terms of the Philippine License, MRP’s ability to operate City of Dreams Manila and the success of City of Dreams Manila as a whole are dependent on the actions of the other Philippine Licensees over which MRP has no control.</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Although Melco Resorts Leisure is the sole operator of City of Dreams Manila, the ability of the Melco Philippine Parties to operate City</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Dreams Manila, as well as the fulfillment of the terms of the Philippine License granted by PAGCOR in relation to City of Dreams Manila, depends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a certain degree on the actions of the Philippine Parties. For example, the Philippine Parties, as well as the Melco Philippine Parties, are responsible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meeting a certain debt to equity ratio as specified in the Philippine License. The failure of any of the Philippine Parties to comply with these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conditions would constitute a breach of the Philippine License. As the Philippine Parties are separate corporate entities over which MRP has no control,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can be no assurance that the Philippine Parties will remain in compliance with the terms of the Philippine License of their obligations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responsibilities under the cooperation agreement (as amended) entered into between the Philippine Parties and the Melco Philippine Parties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October 25, 2012, which became effective on March 13, 2013. In the event of any non-compliance, there can be no assurance that the Philippine License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will not be suspended or revoked. In addition, if any of the Philippine Parties fails to comply with any of the conditions to the Philippine License, MRP</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may be forced to take action against the Philippine Parties under the cooperation agreement between the Philippine Parties and the Melco Philippine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Parties or to enter into negotiations with PAGCOR for amendments to the Philippine License. There can be no assurance that any attempt to amend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Philippine License would be successful. Any of the foregoing could materially and adversely affect our business, financial condition and results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205"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Furthermore, under the cooperation agreement between the Philippine Parties and the Melco Philippine Parties,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MRP’s control, may curtail the ability of MRP to operate City of Dreams Manila in an efficient manner or at all and could have a material adverse effect on our business, financial condition and results of operations.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960"/>
          </w:cols>
          <w:pgMar w:left="320" w:top="473" w:right="6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Melco Resorts Leisure’s right to operate City of Dreams Manila is subject to certain limitations.</w:t>
      </w:r>
    </w:p>
    <w:p>
      <w:pPr>
        <w:spacing w:after="0" w:line="12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Melco Resorts Leisure’s right to operate City of Dreams Manila is subject to certain limitations under the operating agreement for the management and operation of City of Dreams Manila, entered into among Melco Resorts Leisure and the Philippine Parties. For example, Melco Resorts Leisure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 the threshold at approximately US$4.9 million for the year ended December 31, 2023) without the consent of the other Philippine Licensees. In addition, Melco Resorts Leisure is required to remit specified percentages of the mass market and</w:t>
      </w:r>
    </w:p>
    <w:p>
      <w:pPr>
        <w:spacing w:after="0" w:line="2" w:lineRule="exact"/>
        <w:rPr>
          <w:sz w:val="20"/>
          <w:szCs w:val="20"/>
          <w:color w:val="auto"/>
        </w:rPr>
      </w:pPr>
    </w:p>
    <w:p>
      <w:pPr>
        <w:ind w:left="300" w:right="320"/>
        <w:spacing w:after="0" w:line="273" w:lineRule="auto"/>
        <w:rPr>
          <w:sz w:val="20"/>
          <w:szCs w:val="20"/>
          <w:color w:val="auto"/>
        </w:rPr>
      </w:pPr>
      <w:r>
        <w:rPr>
          <w:rFonts w:ascii="Times New Roman" w:cs="Times New Roman" w:eastAsia="Times New Roman" w:hAnsi="Times New Roman"/>
          <w:sz w:val="17"/>
          <w:szCs w:val="17"/>
          <w:color w:val="auto"/>
        </w:rPr>
        <w:t>VIP gaming earnings before interest, tax, depreciation and amortization and other defined adjustments or net revenues derived from City of Dreams Manila to PremiumLeisure and Amusement Inc.</w:t>
      </w:r>
    </w:p>
    <w:p>
      <w:pPr>
        <w:spacing w:after="0" w:line="164" w:lineRule="exact"/>
        <w:rPr>
          <w:sz w:val="20"/>
          <w:szCs w:val="20"/>
          <w:color w:val="auto"/>
        </w:rPr>
      </w:pPr>
    </w:p>
    <w:p>
      <w:pPr>
        <w:ind w:left="300" w:right="300" w:firstLine="960"/>
        <w:spacing w:after="0" w:line="262" w:lineRule="auto"/>
        <w:rPr>
          <w:sz w:val="20"/>
          <w:szCs w:val="20"/>
          <w:color w:val="auto"/>
        </w:rPr>
      </w:pPr>
      <w:r>
        <w:rPr>
          <w:rFonts w:ascii="Times New Roman" w:cs="Times New Roman" w:eastAsia="Times New Roman" w:hAnsi="Times New Roman"/>
          <w:sz w:val="17"/>
          <w:szCs w:val="17"/>
          <w:color w:val="auto"/>
        </w:rPr>
        <w:t>If Melco Resorts Leisure is unable to comply with any of the provisions of the operating agreement, the other parties to the operating agreement may bring lawsuits and seek to suspend or replace Melco Resorts Leisure as the sole operator of City of Dreams Manila, or terminate the operating agreement. Moreover, the Philippine Parties may terminate the operating agreement if Melco Resorts Leisure materially breaches the operating agreement. Termination of the operating agreement, whether resulting from Melco Resorts Leisure’s or the</w:t>
      </w:r>
    </w:p>
    <w:p>
      <w:pPr>
        <w:spacing w:after="0" w:line="1" w:lineRule="exact"/>
        <w:rPr>
          <w:sz w:val="20"/>
          <w:szCs w:val="20"/>
          <w:color w:val="auto"/>
        </w:rPr>
      </w:pPr>
    </w:p>
    <w:p>
      <w:pPr>
        <w:ind w:left="300" w:right="620"/>
        <w:spacing w:after="0" w:line="273" w:lineRule="auto"/>
        <w:rPr>
          <w:sz w:val="20"/>
          <w:szCs w:val="20"/>
          <w:color w:val="auto"/>
        </w:rPr>
      </w:pPr>
      <w:r>
        <w:rPr>
          <w:rFonts w:ascii="Times New Roman" w:cs="Times New Roman" w:eastAsia="Times New Roman" w:hAnsi="Times New Roman"/>
          <w:sz w:val="17"/>
          <w:szCs w:val="17"/>
          <w:color w:val="auto"/>
        </w:rPr>
        <w:t>Philippine Parties’ non-compliance with the operating agreement, could cause a material adverse effect on our business and prospects, financial condition, results of operations and cash flows.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Melco Resorts Leisure may be forced to suspend VIP gaming operations at City of Dreams Manila under certain circumstances.</w:t>
      </w:r>
    </w:p>
    <w:p>
      <w:pPr>
        <w:spacing w:after="0" w:line="12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Under the operating agreement for City of Dreams Manila, Melco Resorts Leisure must periodically calculate, on a 24-month basis, the respective amounts of VIP gaming earnings before interest, tax, depreciation and amortization and other defined adjustments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Melco Resorts Leisure must suspend VIP gaming operations at City of Dreams Manila.</w:t>
      </w:r>
    </w:p>
    <w:p>
      <w:pPr>
        <w:spacing w:after="0" w:line="173" w:lineRule="exact"/>
        <w:rPr>
          <w:sz w:val="20"/>
          <w:szCs w:val="20"/>
          <w:color w:val="auto"/>
        </w:rPr>
      </w:pPr>
    </w:p>
    <w:p>
      <w:pPr>
        <w:ind w:left="300" w:right="20" w:firstLine="960"/>
        <w:spacing w:after="0" w:line="267" w:lineRule="auto"/>
        <w:rPr>
          <w:sz w:val="20"/>
          <w:szCs w:val="20"/>
          <w:color w:val="auto"/>
        </w:rPr>
      </w:pPr>
      <w:r>
        <w:rPr>
          <w:rFonts w:ascii="Times New Roman" w:cs="Times New Roman" w:eastAsia="Times New Roman" w:hAnsi="Times New Roman"/>
          <w:sz w:val="17"/>
          <w:szCs w:val="17"/>
          <w:color w:val="auto"/>
        </w:rPr>
        <w:t>Any suspension of VIP gaming operations at City of Dreams Manila could materially and adversely impact gaming revenues from City of Dreams Manila. Moreover, suspension of VIP gaming operations could effectively lead Melco Resorts Leisure to limit or</w:t>
      </w:r>
    </w:p>
    <w:p>
      <w:pPr>
        <w:spacing w:after="0" w:line="1" w:lineRule="exact"/>
        <w:rPr>
          <w:sz w:val="20"/>
          <w:szCs w:val="20"/>
          <w:color w:val="auto"/>
        </w:rPr>
      </w:pPr>
    </w:p>
    <w:p>
      <w:pPr>
        <w:ind w:left="300" w:right="40"/>
        <w:spacing w:after="0" w:line="262" w:lineRule="auto"/>
        <w:rPr>
          <w:sz w:val="20"/>
          <w:szCs w:val="20"/>
          <w:color w:val="auto"/>
        </w:rPr>
      </w:pPr>
      <w:r>
        <w:rPr>
          <w:rFonts w:ascii="Times New Roman" w:cs="Times New Roman" w:eastAsia="Times New Roman" w:hAnsi="Times New Roman"/>
          <w:sz w:val="17"/>
          <w:szCs w:val="17"/>
          <w:color w:val="auto"/>
        </w:rPr>
        <w:t>suspend 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MRP’s strategy to attract Premium Market customers to City of Dreams Manila may not be effective.</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A part of MRP’s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the Philippines or elsewhere in the region, as these players may be unfamiliar with the Philippines or refuse to change their normal gaming destination. If MRP is unable to expand in the premium market as it intends, this would adversely affect its and/or our business and results of operations.</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900"/>
          </w:cols>
          <w:pgMar w:left="320" w:top="473"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Changes in public acceptance of gaming in the Philippines may adversely affect City of Dreams Manila.</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may materially and adversely affect our business, financial condition and results of operations.</w:t>
      </w:r>
    </w:p>
    <w:p>
      <w:pPr>
        <w:spacing w:after="0" w:line="274"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MRP may be unable to successfully register City of Dreams Manila as a tourism enterprise zone with the Philippine Tourism Infrastructure and Enterprise Zone Authority, an agency of the Philippine Department of Tourism (“TIEZA”).</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While Melco Resorts Leisure intends to apply for a designation as a tourism enterprise with TIEZA, there can be no assurance that TIEZA will approve the designation of Melco Resorts Leisure as a tourism enterprise. If Melco Resorts Leisure is unable to register as a tourism enterprise with TIEZA, it will not be entitled to certain fiscal incentives provided to some of Melco Resorts Leisure’s competitors that are registered as tourism enterprises under TIEZA. For example, MRP’s liability for value added tax (“VAT”) on its sales largely depends on whether it may avail itself of tax incentives under TIEZA. If tax incentives under TIEZA are not available to MRP, it will be liable for VAT, which may result in a material adverse effect on our business and prospects, financial condition, results of operations and cash flows.</w:t>
      </w:r>
    </w:p>
    <w:p>
      <w:pPr>
        <w:spacing w:after="0" w:line="173" w:lineRule="exact"/>
        <w:rPr>
          <w:sz w:val="20"/>
          <w:szCs w:val="20"/>
          <w:color w:val="auto"/>
        </w:rPr>
      </w:pPr>
    </w:p>
    <w:p>
      <w:pPr>
        <w:jc w:val="both"/>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In addition, if Melco Resorts Leisure is able to register as a tourism enterprise with TIEZA, it will then be required to withdraw its current registration as a tourism economic zone enterprise with the Philippine 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71"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However, several legislative bills were previously passed and are currently pending in the Philippine legislature with a view towards rationalizing fiscal incentives currently granted to certain enterprises and activities, including tourism enterprises. It is uncertain whether these bills will be passed into law, or what the effect, if any, will be on the incentives currently granted to qualified tourism enterprises under the Republic Act No. 9593, of the Philippines, or the Tourism Act of 2009.</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MRP’s gaming operations are dependent on the Philippine License issued by PAGCOR.</w:t>
      </w:r>
    </w:p>
    <w:p>
      <w:pPr>
        <w:spacing w:after="0" w:line="122"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PAGCOR regulates all gaming activities in the Philippines except for lottery, sweepstakes, jueteng, horse racing and gaming inside the Cagayan Export Zone. City of Dreams Manila’s gaming areas may only legally operate under the Philippine License granted by PAGCOR, which imposes certain requirements on the Melco Philippine Parties and their service providers.</w:t>
      </w:r>
    </w:p>
    <w:p>
      <w:pPr>
        <w:spacing w:after="0" w:line="16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The Philippine License is also subject to suspension or termination upon the occurrence of certain events. The requirements imposed by the Philippine License include, among others:</w:t>
      </w:r>
    </w:p>
    <w:p>
      <w:pPr>
        <w:spacing w:after="0" w:line="55" w:lineRule="exact"/>
        <w:rPr>
          <w:sz w:val="20"/>
          <w:szCs w:val="20"/>
          <w:color w:val="auto"/>
        </w:rPr>
      </w:pPr>
    </w:p>
    <w:p>
      <w:pPr>
        <w:ind w:left="1240" w:hanging="530"/>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monthly license fees to PAGCOR;</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debt-to-equity ratio (based on calculation as agreed with PAGCOR) for each of the Philippine Licensees of no greater than 70:30;</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940"/>
          </w:cols>
          <w:pgMar w:left="320" w:top="472"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95.0% of the total employees of City of Dreams Manila must be Philippine citizens;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Philippine Licensees shall demonstrate the fitness and propriety of gaming promoters;</w:t>
      </w:r>
    </w:p>
    <w:p>
      <w:pPr>
        <w:spacing w:after="0" w:line="131" w:lineRule="exact"/>
        <w:rPr>
          <w:rFonts w:ascii="Times New Roman" w:cs="Times New Roman" w:eastAsia="Times New Roman" w:hAnsi="Times New Roman"/>
          <w:sz w:val="17"/>
          <w:szCs w:val="17"/>
          <w:color w:val="auto"/>
        </w:rPr>
      </w:pPr>
    </w:p>
    <w:p>
      <w:pPr>
        <w:ind w:left="1240" w:right="1280" w:hanging="530"/>
        <w:spacing w:after="0" w:line="295"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certain casino revenues must be remitted to a foundation devoted to the restoration of cultural heritage and 5.0% of certain non-gaming revenues to PAGCOR;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 of only the authorized casino games approved by PAGCOR.</w:t>
      </w:r>
    </w:p>
    <w:p>
      <w:pPr>
        <w:spacing w:after="0" w:line="223"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Moreover, certain provisions and requirements of the Philippine License are open to different interpretations and have not been interpreted by Philippine courts or made subject to more detailed interpretative rules. There is no guarantee that the Melco Philippine Parties’ proposed mode of compliance with these or other requirements of the Philippine License will be free from administrative or judicial scrutiny in the future. Any difference in interpretation between PAGCOR and MRP with respect to the Philippine License could result in sanctions against the Melco Philippine Parties, including fines or other penalties, such as suspension or termination of the Philippine License. There can be no assurance that the Philippine Licensees will be able to continuously comply with all of the Philippine License’s requirements, or that the Philippine License will not be modified to contain more onerous terms or amended in such a manner that would cause the Philippine Licensees to lose interest in the operation of City of Dreams Manila. If the Philippine License is materially altered or revoked for any reason, including the failure by any of the Philippine Licensees to comply with its terms, MRP may be required to cease City of Dreams Manila’s gaming operations, which could have a material adverse effect on our business, financial condition and results of operations. In addition, a failure in the internal control systems of MRP may cause PAGCOR to adversely modify or revoke the Philippine License. Finally, the Philippine License will terminate in 2033, coinciding with the PAGCOR Charter’s termination, and there is no guarantee that the PAGCOR Charter or the Philippine License will be renewed.</w:t>
      </w:r>
    </w:p>
    <w:p>
      <w:pPr>
        <w:spacing w:after="0" w:line="177"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addition, City of Dreams Manila’s gaming operation is highly regulated in the Philippines. As PAGCOR is also a gaming operator, there can be no assurance that PAGCOR will not withhold certain approvals from the Melco Philippine Parties in order to favor its own gaming operations. PAGCOR may also modify or impose additional conditions on its licensees or impose restrictions or limitations on Melco Resorts Leisure’s casino operations that would interfere with Melco Resorts Leisure’s ability to provide VIP services, which could adversely affect MRP’s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 may be required to obtain an additional legislative franchise, in addition to its Philippine License.</w:t>
      </w:r>
    </w:p>
    <w:p>
      <w:pPr>
        <w:spacing w:after="0" w:line="122"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On August 2, 2017, House Bill No. 6111 was filed which proposed the creation of the Philippine Amusements and Gaming Authority, or PAGA, which, if adopted, would replace PAGCOR as the regulatory agency of gaming activities in the Philippines. Also under House Bill No. 6111, the holders of gaming licenses in the Philippines, including the Philippine Licensees, would be required to obtain from the Philippine Congress a legislative franchise to operate gambling casinos, gaming clubs and other similar gambling enterprises within one year from the date of the proposed law’s effectiveness. Non-compliance would result in the operations of holders of gaming licenses in the Philippines, including the Philippine Licensees, to be considered as illegal. On October 2, 2017, House Bill No. 6514 was filed whose provisions are essentially similar to House Bill No. 6111, particularly on the need for holders of gaming licenses in the Philippines, including the Philippine Licensees, to obtain from the Philippine Congress a legislative franchise within one year from the date of the proposed law’s effectiveness.</w:t>
      </w:r>
    </w:p>
    <w:p>
      <w:pPr>
        <w:spacing w:after="0" w:line="175"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the event that House Bills 6111 and 6514 are signed into law, City of Dreams Manila may be required to obtain an additional legislative franchise in addition to its Philippine License and there can be no assurance that such a franchise, which requires legislative approval, will be granted. In addition, the Philippine License may be subject to amendment or repeal by the Philippine Congress. In the event City of Dreams Manila is not granted any required franchise, or the Philippine License is materially amended or repealed, the operation of City of Dreams Manila may cease, which could, in turn, have a material adverse effect on our business, financial condition and results of operations.</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940"/>
          </w:cols>
          <w:pgMar w:left="320" w:top="473"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to fiscal incentives and other forms of taxes that may be implemented by the Philippines government from time to time may have a material adverse effect on our Philippine subsidiaries.</w:t>
      </w:r>
    </w:p>
    <w:p>
      <w:pPr>
        <w:spacing w:after="0" w:line="143"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For the gaming-related transactions in our Philippines operations, Melco Resorts Leisure currently enjoys exemptions from national, local, direct and indirect taxes, including VAT, in the Philippines pursuant to the PAGCOR charter and is subject to license fees which are inclusive of the 5% franchise tax payable to PAGCOR based on gross gaming revenue in the Philippines, in lieu of all other taxes. In 2022, the Philippine Bureau of Internal Revenue (“BIR”) issued Revenue Memorandum Circular No. 32-2022, which sought to impose 12% VAT on gaming revenue. While Melco Resorts Leisure and the other integrated resorts submitted a joint letter to BIR challenging the imposition of VAT on gaming transactions, there is no assurance that we will prevail on any challenge and any assessment of VAT on our gaming revenue could have a material adverse effect on our business, financial condition and results of operations.</w:t>
      </w:r>
    </w:p>
    <w:p>
      <w:pPr>
        <w:spacing w:after="0" w:line="173" w:lineRule="exact"/>
        <w:rPr>
          <w:sz w:val="20"/>
          <w:szCs w:val="20"/>
          <w:color w:val="auto"/>
        </w:rPr>
      </w:pPr>
    </w:p>
    <w:p>
      <w:pPr>
        <w:ind w:left="300" w:right="220" w:firstLine="960"/>
        <w:spacing w:after="0" w:line="264" w:lineRule="auto"/>
        <w:rPr>
          <w:sz w:val="20"/>
          <w:szCs w:val="20"/>
          <w:color w:val="auto"/>
        </w:rPr>
      </w:pPr>
      <w:r>
        <w:rPr>
          <w:rFonts w:ascii="Times New Roman" w:cs="Times New Roman" w:eastAsia="Times New Roman" w:hAnsi="Times New Roman"/>
          <w:sz w:val="17"/>
          <w:szCs w:val="17"/>
          <w:color w:val="auto"/>
        </w:rPr>
        <w:t>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 Our Philippines subsidiaries are also liable for VAT on certain transactions. On March 26, 2021, the Corporate Recovery and Tax Incentives for Enterprises (“CREATE”) was signed and took effect on April 11, 2021 and is applicable to income derived from our non-gaming operations in the Philippines. CREATE reduced the minimum corporate income tax from 2% to 1% for the period from July 1, 2020 to June 30, 2023 and the corporate income tax rate from 30% to 25% starting July 1, 2020.</w:t>
      </w:r>
    </w:p>
    <w:p>
      <w:pPr>
        <w:spacing w:after="0" w:line="17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Any future amendments of CREATE, such as changes on the application of value-added and corporate income taxes and tax rates or changes to the fiscal incentives provided to Melco Resorts Leisure pursuant to its registration with the Philippine Economic Zone Authority as a Tourism Economic Zone Enterprise, may have significant negative impact on our Philippines business. Our Philippine subsidiaries may also be subject to other forms of taxes that may be implemented by the Philippine government from time to time, which could have a material adverse effect on our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 is exposed to risks in relation to MRP’s previous business activities and industry.</w:t>
      </w:r>
    </w:p>
    <w:p>
      <w:pPr>
        <w:spacing w:after="0" w:line="122" w:lineRule="exact"/>
        <w:rPr>
          <w:sz w:val="20"/>
          <w:szCs w:val="20"/>
          <w:color w:val="auto"/>
        </w:rPr>
      </w:pPr>
    </w:p>
    <w:p>
      <w:pPr>
        <w:ind w:left="300" w:right="20" w:firstLine="960"/>
        <w:spacing w:after="0" w:line="265" w:lineRule="auto"/>
        <w:rPr>
          <w:sz w:val="20"/>
          <w:szCs w:val="20"/>
          <w:color w:val="auto"/>
        </w:rPr>
      </w:pPr>
      <w:r>
        <w:rPr>
          <w:rFonts w:ascii="Times New Roman" w:cs="Times New Roman" w:eastAsia="Times New Roman" w:hAnsi="Times New Roman"/>
          <w:sz w:val="17"/>
          <w:szCs w:val="17"/>
          <w:color w:val="auto"/>
        </w:rPr>
        <w:t>Prior to our acquisition of MRP, MRP’s primary business was the manufacture and processing of pharmaceutical products. The pharmaceuticals industry is highly regulated in the Philippines and abroad. There can be no assurance that MRP will not be involved in or subject to claims, allegations or suits with respect to its previous activities in the pharmaceutical industry for which MRP may not be insured fully or at all. Although MRP has indemnities as to certain liabilities or claims or other protections put in place, any adverse claim or liability imputed to MRP with respect to its previous business activities could have a material adverse effect on its business and prospects, financial condition, results of operations and cash flow.</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Philippine operations may be adversely affected by policy changes in the Philippines.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Our Philippine operations may be adversely affected by changes in policies due to changes in government personnel in the Philippines, including but not limited to any changes following elections in the Philippines. There can be no assurance that newly elected or appointed officials will not modify previous policies in relation to the development and operation of integrated tourism resorts in the Philippines, tax incentives extended to their developers or operators or policies on gaming and tourism in the Philippines in general. Newly elected or appointed officials may also impose more stringent or additional conditions on gaming licenses or seek to discourage Philippine citizens from gambling by imposing restrictions. We are unable to predict whether new officials will seek to further alter or impose stricter conditions relating to gaming in the Philippines. Adverse changes in policies and regulations by the current administration or any officials elected or appointed in the future in the Philippines could disrupt the operations of our Philippine subsidiaries and materially and adversely affect our financial condition and results of operations.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940"/>
          </w:cols>
          <w:pgMar w:left="320" w:top="473"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Cyprus</w:t>
      </w:r>
    </w:p>
    <w:p>
      <w:pPr>
        <w:spacing w:after="0" w:line="116"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in Cyprus, particularly at City of Dreams Mediterranean, face significant risks and uncertainties which may materially and adversely affect our business, financial condition and results of operations.</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operations in Cyprus include City of Dreams Mediterranean and the license to operate four satellite casinos. In July 2019, we acquired</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75% equity interest in ICR Cyprus from Melco International, our controlling shareholder, while the remaining 25% equity interest in ICR Cyprus is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held by The Cyprus Phassouri (Zakaki) Limited. We have entered into a shareholders’ agreement with The Cyprus Phassouri (Zakaki) Limited regarding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certain commercial and financial arrangements pursuant to which we, as more fully set out in additional management and service contracts, (i) provide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certain corporate-level management services to ICR Cyprus and its subsidiaries for a fixed amount of EUR2 million (equivalent to approximately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US$2.2 million) per annum and (ii) have the right to receive an allotment of preference shares in the gaming license-holding subsidiary of ICR Cyprus,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which will provide the right to a preferential dividend, among other terms.</w:t>
      </w:r>
    </w:p>
    <w:p>
      <w:pPr>
        <w:spacing w:after="0" w:line="205"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We will require the continued partnership and cooperation of The Cyprus Phassouri (Zakaki) Limited for the operation of City of Dreams Mediterranean and the Cyprus Casinos. Two satellite casinos in Nicosia and Larnaca opened in 2018 (the Larnaca satellite casino ceased operations in June 2020), one satellite casino opened in 2019 in Ayia Napa and one satellite casino in Paphos opened in February 2020. In addition, our City of Dreams Mediterranean project, which required significant investment of capital and other resources, opened to the public in July 2023. Prior to the opening of City of Dreams Mediterranean, we operated a temporary casino in Limassol from 2018 to 2023. Our operations in Cyprus are also subject to ongoing compliance with various laws, regulations, licenses, permits and renewals of those licenses and permits. Given our relatively short operating history and limited experience in Cyprus, which also represents our first significant business venture outside of Asia, it may be difficult for us to comply with the applicable laws and regulations or to secure all necessary licenses and permits in Cyprus, which could be time-consuming and significantly increase our costs. In addition, Cyprus is a relatively new gaming market and we may not achieve the intended results or return through our operations in Cyprus.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While we have already made significant capital investments for the development and operation of our operations in Cyprus, the ongoing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 of City of Dreams Mediterranean requires further significant additional capital investments, which may be funded through various sources,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including equity, cash on hand, operating free cash flow as well as other financing, including by way of shareholder loans and external debt financing.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will be required to obtain approval from, or the consent of, or notify relevant government authorities, including the CGC, in order to enter into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any debt financing. Given that this is the first significant integrated casino resort developed in Cyprus, we may face difficulty in obtaining the necessary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approvals or consents for debt financing in a timely manner or at all. Our ability to obtain such debt financing also depends on a number of factors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beyond our control, including the military conflict between Russia and Ukraine, the Israel-Hamas conflict, and other conflicts in the Middle East, rising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interest rates, market volatility, and a contraction of liquidity in the global credit markets and lenders’ perceptions of, and demand for, the debt financing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City of Dreams Mediterranean. Under the shareholders’ agreement entered into between us and The Cyprus Phassouri (Zakaki) Limited regarding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ICR Cyprus, the shareholders are obligated to use all commercially reasonable endeavors, subject to certain terms and conditions, to source debt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financing of up to EUR437 million (equivalent to approximately US$484 million) for the development of City of Dreams Mediterranean. To the extent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is a shortfall in the amount of third-party debt available (or available on commercially-acceptable terms), we are obligated to fund the shortfall up</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full amount of EUR437 million (equivalent to approximately US$484 million) on terms which are, subject to certain terms and conditions, no less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favorable to the project than any commercially-acceptable terms available in the commercial lending market. In connection therewith, a shareholder loan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agreement for up to EUR275 million (equivalent to approximately US$304 million) was entered into by a subsidiary of the Company as lender,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Integrated Casino Resorts as borrower in March 2020. In addition, a further shareholder loan agreement for up to EUR250 million (equivalent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approximately US$277 million) was entered into by a subsidiary of the Company as lender, and Integrated Casino Resorts as borrower in</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940"/>
          </w:cols>
          <w:pgMar w:left="320" w:top="473"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7"/>
          <w:szCs w:val="17"/>
          <w:color w:val="auto"/>
        </w:rPr>
        <w:t>May 2022, along with a subordination agreement pursuant to which the March 2020 shareholder loan was subordinated to the May 2022 shareholder loan. There is no guarantee that we can secure the necessary additional capital investments, including any debt financing, required for the ongoing operation of City of Dreams Mediterranean in a timely manner or at all. In addition, our operation of City of Dreams Mediterranean may be subject to additional risks, particularly, the military conflict between Russia and Ukraine, the Israel-Hamas conflict, and other conflicts in the Middle East, and the resulting disruptions.</w:t>
      </w:r>
    </w:p>
    <w:p>
      <w:pPr>
        <w:spacing w:after="0" w:line="171"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See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 for discussions of events relating to Cyprus.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the foregoing trends, risks and uncertainties may have a material adverse impact on our business, financial condition and results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305"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Cyprus’ gaming operations are dependent on the Cyprus License issued by CGC and any failure to comply with the terms of the Cyprus License could have a material adverse effect on our business, financial condition and results of operations.</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Our current operations in Cyprus, including City of Dreams Mediterranean in Limassol and three satellite casinos in Nicosia, Ayia Napa and Paphos, are dependent on the Cyprus License granted by the government of Cyprus to Integrated Casino Resorts on June 26, 2017. Under the Cyprus License, Integrated Casino Resorts has been granted the right to develop, operate and maintain an integrated casino resort in Limassol, Cyprus and up to four satellite casino premises in Cyprus, for a term of 30 years from the date of grant with the right for exclusivity in Cyprus for the first 15 years of the term. The Cyprus License imposes certain requirements and conditions on Integrated Casino Resorts and its service providers, including the threat of suspension or termination of the Cyprus License upon the occurrence of certain events. Such requirements include, among others:</w:t>
      </w:r>
    </w:p>
    <w:p>
      <w:pPr>
        <w:spacing w:after="0" w:line="82" w:lineRule="exact"/>
        <w:rPr>
          <w:sz w:val="20"/>
          <w:szCs w:val="20"/>
          <w:color w:val="auto"/>
        </w:rPr>
      </w:pPr>
    </w:p>
    <w:p>
      <w:pPr>
        <w:ind w:left="1240" w:hanging="530"/>
        <w:spacing w:after="0" w:line="263"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City of Dreams Mediterranean and, until the operation of such integrated casino resort, a temporary casino, payment to the government of Cyprus of an annual license fee of EUR2.5 million (equivalent to approximately US$2.8 million) per year for the first four-year period commencing from June 26, 2017, the grant date of the Cyprus License, and an annual license fee of EUR 5.0 million (equivalent to approximately US$5.5 million) per year for the second four-year period. Upon completion of the above eight-year period and for each four-year period thereafter, the government of Cyprus may review the annual license fee payable for each four-year term, provided that the annual license fee payable per year shall be no less than EUR 5.0 million (equivalent to approximately US$5.5 million) and subject to a maximum percentage increase;</w:t>
      </w:r>
    </w:p>
    <w:p>
      <w:pPr>
        <w:spacing w:after="0" w:line="81"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the satellite casino in Nicosia, payment to the government of Cyprus of an annual license fee of EUR1.0 million (equivalent to approximately US$1.1 million) per year since its commencement of operations;</w:t>
      </w:r>
    </w:p>
    <w:p>
      <w:pPr>
        <w:spacing w:after="0" w:line="55"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each of the satellite casinos in Larnaca (which ceased operation in June 2020), Ayia Napa and Paphos, payment to the government of Cyprus of an annual license fee of EUR0.5 million (equivalent to approximately US$0.6 million) per year since their operations commenced; and</w:t>
      </w:r>
    </w:p>
    <w:p>
      <w:pPr>
        <w:spacing w:after="0" w:line="70"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to the government of Cyprus of a monthly casino tax of an amount equal to 15% of the gross gaming revenue, such casino tax not to be increased during the initial 15-year exclusivity period under the Cyprus License.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940"/>
          </w:cols>
          <w:pgMar w:left="320" w:top="473"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Moreover, given that the Cyprus License is the first casino license granted in Cyprus, certain provisions and requirements of the Cyprus License have not yet been interpreted by Cyprus courts and may thereby be subject to different interpretations. There is no guarantee that Integrated Casino Resorts’ proposed mode of compliance with these or other requirements of the Cyprus License will be free from administrative or judicial scrutiny in the future. Any difference in interpretation of such Cyprus License requirements between the CGC and/or the government of Cyprus on the one hand and Integrated Casino Resorts on the other could result in sanctions against Integrated Casino Resorts, including fines or other penalties such as suspension or even termination of the Cyprus License.</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There can be no assurance that we will be able to continuously comply with all the requirements under the Cyprus License, or that the Cyprus License will not be modified to contain more onerous terms or in such other manner that would cause us to lose our interest in our Cyprus operations, particularly when the initial 15-year exclusivity period expires in 2032. If the Cyprus License is materially altered or revoked for any reason, including due to any failure by us to comply with its terms, we may be required to cease our gaming operations in Cyprus, which could have a material adverse effect on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Corporate Structure and Ownership</w:t>
      </w:r>
    </w:p>
    <w:p>
      <w:pPr>
        <w:spacing w:after="0" w:line="116" w:lineRule="exact"/>
        <w:rPr>
          <w:sz w:val="20"/>
          <w:szCs w:val="20"/>
          <w:color w:val="auto"/>
        </w:rPr>
      </w:pPr>
    </w:p>
    <w:p>
      <w:pPr>
        <w:ind w:lef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controlling shareholder has a substantial influence over us, and its interests in our business may be different than yours. We have had, and may continue to have, transactions with our controlling shareholder and its affiliates and such transactions may create conflicts of interest between us and our controlling shareholder.</w:t>
      </w:r>
    </w:p>
    <w:p>
      <w:pPr>
        <w:spacing w:after="0" w:line="57"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As of March 15, 2024, Melco International’s beneficial ownership in our Company was approximately 51.69%. There are risks associated with the possibility that Melco International may: (i) have economic or business interests or goals that are inconsistent with ours; (ii) have operations and projects elsewhere in Asia or elsewhere in the world that compete with our businesses in Macau, the Philippines, Cyprus and in other countries and for available resources and 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w:t>
      </w:r>
    </w:p>
    <w:p>
      <w:pPr>
        <w:spacing w:after="0" w:line="173"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In addition, Melco International has the power, among other things, to elect or appoint all of the directors to our board, including our independent directors,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other shareholders and the interests of Melco International may conflict with your interests as minority shareholders.</w:t>
      </w:r>
    </w:p>
    <w:p>
      <w:pPr>
        <w:spacing w:after="0" w:line="171"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We have entered into various related party transactions with Melco International and its affiliates and subsidiaries. For example, we acquired a 75% equity interest in ICR Cyprus from Melco International on July 31, 2019. Prior to this acquisition, we had entered into arrangements with Melco International to provide planning, design, construction and other services to Melco International and its subsidiaries in connection with the City of Dreams Mediterranean project. In August 2022, we repurchased 9,995,799 ordinary shares and 25,000,000 ADSs, collectively representing approximately 5.5% of our Company’s outstanding shares at that time, from Melco Leisure. In March 2023, we repurchased 40,373,076 ordinary shares, representing approximately 3% of our Company’s outstanding shares at that time, from Melco Leisure. We may, from time to time, enter into additional agreements and arrangements with Melco International or its affiliates or subsidiaries in connection with other projects. We may, from time to time, purchase, acquire or invest in other assets, companies or projects held or sponsored by Melco International or its affiliates or subsidiaries or Melco International may make such purchases, acquisitions or investments in assets, companies or projects that our Company holds. The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940"/>
          </w:cols>
          <w:pgMar w:left="320" w:top="473"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consideration or amount of such purchase, acquisition or investment may be material or significant. While we believe the terms of agreements and arrangements we have with Melco International or its affiliates or subsidiaries are commercially reasonable, the determination of such commercial terms are subject to judgment and estimates and we may have obtained different terms had we entered into such agreements or arrangements with independent third parties.</w:t>
      </w:r>
    </w:p>
    <w:p>
      <w:pPr>
        <w:spacing w:after="0" w:line="270" w:lineRule="exact"/>
        <w:rPr>
          <w:sz w:val="20"/>
          <w:szCs w:val="20"/>
          <w:color w:val="auto"/>
        </w:rPr>
      </w:pPr>
    </w:p>
    <w:p>
      <w:pPr>
        <w:ind w:lef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Melco International may pursue additional casino projects in Asia, Europe or elsewhere, which, along with its current operations, may compete with our projects in Macau, the Philippines and Cyprus, which could have material adverse consequences to us and the interests of our minority shareholders.</w:t>
      </w:r>
    </w:p>
    <w:p>
      <w:pPr>
        <w:spacing w:after="0" w:line="57"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Melco International may take action to construct and operate new gaming projects located in other countries in the Asian region, Europe or elsewhere, which, along with its current operations, may compete with our projects in Macau, the Philippines and Cyprus and could have adverse consequences to us and the interests of our minority shareholders. We could face competition from these other gaming projects as well as competition from regional competitors.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the Philippines and/or Cyprus, Melco International may make strategic decisions to focus on their other projects rather than us, which could adversely affect our growth.</w:t>
      </w:r>
    </w:p>
    <w:p>
      <w:pPr>
        <w:spacing w:after="0" w:line="175"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Casinos and integrated gaming resorts are becoming increasingly popular in Asia, giving rise to more opportunities for industry participants and increasing regional competition. We cannot guarantee you that Melco International will make strategic and other decisions which do not adversely affect our business.</w:t>
      </w:r>
    </w:p>
    <w:p>
      <w:pPr>
        <w:spacing w:after="0" w:line="263" w:lineRule="exact"/>
        <w:rPr>
          <w:sz w:val="20"/>
          <w:szCs w:val="20"/>
          <w:color w:val="auto"/>
        </w:rPr>
      </w:pPr>
    </w:p>
    <w:p>
      <w:pPr>
        <w:ind w:left="300"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Changes in our share ownership, including a change of control of our shares or our subsidiaries’ shares, could result in our subsidiaries’ inability to draw loans or cause events of default under our subsidiaries’ indebtedness, or could require our subsidiaries to prepay or make offers to repurchase certain indebtedness, as well as potentially negatively affect our ability to retain our concession in Macau.</w:t>
      </w:r>
    </w:p>
    <w:p>
      <w:pPr>
        <w:spacing w:after="0" w:line="57"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Credit facility agreements relating to certain of our indebtedness contain change of control provisions, including in respect of ownership over our shares as well as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us held by Melco International and the aggregate direct or indirect shareholdings of certain of our subsidiaries held by us or certain of our subsidiaries (as the case may be) may result in an event of default and/or a cancelation of committed amounts as well as a requirement to prepay the credit facilities in relation to such indebtedness in full. Other applicable change of control events under the credit facility agreements include steps being taken in connection with the liquidation or dissolution of certain of our subsidiaries.</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terms of the Studio City Notes and the Melco Resorts Finance Notes also contain change of control provisions whereby the occurrence of a relevant change of control event will require us to offer to repurchase the Studio City Notes or the Melco Resorts Finance Notes (as the case may be) (and, in the case of a change of control event under the Melco Resorts Finance Notes, which is accompanied by a ratings decline) at a price equal to 101% of their principal amount, plus accrued and unpaid interest and, if any, additional amounts and other amounts specified under such indebtedness to the date of repurchase.</w:t>
      </w:r>
    </w:p>
    <w:p>
      <w:pPr>
        <w:spacing w:after="0" w:line="171" w:lineRule="exact"/>
        <w:rPr>
          <w:sz w:val="20"/>
          <w:szCs w:val="20"/>
          <w:color w:val="auto"/>
        </w:rPr>
      </w:pPr>
    </w:p>
    <w:p>
      <w:pPr>
        <w:jc w:val="both"/>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Any occurrence of these events could be outside our control and could result in events of default and cross-defaults which may cause the termination and acceleration of our credit facilities, the Studio City Notes and Melco Resorts Finance Notes and potential enforcement of remedies by our lenders or note holders (as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940"/>
          </w:cols>
          <w:pgMar w:left="320" w:top="473"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80"/>
        <w:spacing w:after="0" w:line="269" w:lineRule="auto"/>
        <w:rPr>
          <w:sz w:val="20"/>
          <w:szCs w:val="20"/>
          <w:color w:val="auto"/>
        </w:rPr>
      </w:pPr>
      <w:r>
        <w:rPr>
          <w:rFonts w:ascii="Times New Roman" w:cs="Times New Roman" w:eastAsia="Times New Roman" w:hAnsi="Times New Roman"/>
          <w:sz w:val="17"/>
          <w:szCs w:val="17"/>
          <w:color w:val="auto"/>
        </w:rPr>
        <w:t>case may be), which would have a material adverse effect on our financial condition and results of operations. For example, Melco Leisure has pledged 667,360,904 ordinary shares of our Company held by it in connection with a credit facility entered into by it and Melco International. If they are unable to comply with certain covenants under such credit facility, it could result in the relevant lenders enforcing the pledge, which could result in a change of control in our Company that would trigger the above provisions under our credit facilities, the Studio City Notes and Melco Resorts Finance Notes.</w:t>
      </w:r>
    </w:p>
    <w:p>
      <w:pPr>
        <w:spacing w:after="0" w:line="169"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Such a change of control would also potentially adversely affect our ability to retain our concession in Macau. In the event we are unable to retain our concession in Macau, our business, financial condition, cash flows and prospects would be materially and adversely affected, including as a result of the fact that, in such case, an event of default or a mandatory prepayment obligation would arise under our credit facilities and result in the cancelation of committed amounts as well as a requirement to prepay the credit facilities in relation to such indebtedness in full. Furthermore, under the terms of the Studio City Notes and the Melco Resorts Finance Notes, we would also be required to offer to repurchase the Studio City Notes and the Melco Resorts Finance Notes at a price equal to 100% of their principal amount, plus accrued and unpaid interest and, if any, additional amounts and other amounts specified under such indebtedness to the date of repurchase. We may not have sufficient funds to make such payments or be able to refinance such indebtedness or obtain additional debt to satisfy these obligations on acceptable terms, or at all. See also “— We may not be able to generate sufficient cash flow to meet our debt service obligations.”</w:t>
      </w:r>
    </w:p>
    <w:p>
      <w:pPr>
        <w:spacing w:after="0" w:line="278" w:lineRule="exact"/>
        <w:rPr>
          <w:sz w:val="20"/>
          <w:szCs w:val="20"/>
          <w:color w:val="auto"/>
        </w:rPr>
      </w:pPr>
    </w:p>
    <w:p>
      <w:pPr>
        <w:ind w:left="30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Studio City International may be unable to remain in compliance with the New York Stock Exchange (“NYSE”) requirements for its continued listing and as a result the SC ADSs may be delisted from trading on the New York Stock Exchange, which could have a material effect on us and the liquidity of the SC ADSs and its Class A ordinary shares.</w:t>
      </w:r>
    </w:p>
    <w:p>
      <w:pPr>
        <w:spacing w:after="0" w:line="57"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Our subsidiary, Studio City International, completed the Studio City IPO in 2018 and its SC ADSs have been listed on the New York Stock Exchange since then. In February 2020, Studio City International received a notice from the New York Stock Exchange notifying it that it was not in compliance with Section 802.01A of the New York Stock Exchange Listed Company Manual or the NYSE Manual, which requires the number of total shareholders of Studio City International’s capital stock be no less than 400 shareholders, or the NYSE Notice. Pursuant to the NYSE Notice, Studio City International became subject to the procedures set forth in Sections 801 and 802 of the NYSE Manual and was requested to submit a business plan within 90 days of receipt of the NYSE Notice that demonstrated how it expected to return to compliance with the minimum total shareholder requirement within a maximum period of 18 months of receipt of the notice.</w:t>
      </w:r>
    </w:p>
    <w:p>
      <w:pPr>
        <w:spacing w:after="0" w:line="173"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accordance with the timing requirement under the NYSE Notice, Studio City International submitted a business plan in May 2020, or the NYSE Business Plan. On July 2, 2020, Studio City International was notified the NYSE Business Plan was accepted by the New York Stock Exchange. In such notification, the New York Stock Exchange also notified it that it was not in compliance with the requirement under Section 802.01A of the NYSE Manual which requires the number of total shareholders of Studio City International’s capital stock to be no less than 1,200 shareholders if the average monthly volume of its ADSs is less than 100,000 for the most recent 12 months, or the Additional NYSE Non-Compliance Event, and subject to the procedures set forth in Sections 801 and 802 of the NYSE Manual for the Additional NYSE Non-Compliance Event.</w:t>
      </w:r>
    </w:p>
    <w:p>
      <w:pPr>
        <w:spacing w:after="0" w:line="173" w:lineRule="exact"/>
        <w:rPr>
          <w:sz w:val="20"/>
          <w:szCs w:val="20"/>
          <w:color w:val="auto"/>
        </w:rPr>
      </w:pPr>
    </w:p>
    <w:p>
      <w:pPr>
        <w:ind w:left="300" w:right="480" w:firstLine="960"/>
        <w:spacing w:after="0" w:line="276" w:lineRule="auto"/>
        <w:rPr>
          <w:sz w:val="20"/>
          <w:szCs w:val="20"/>
          <w:color w:val="auto"/>
        </w:rPr>
      </w:pPr>
      <w:r>
        <w:rPr>
          <w:rFonts w:ascii="Times New Roman" w:cs="Times New Roman" w:eastAsia="Times New Roman" w:hAnsi="Times New Roman"/>
          <w:sz w:val="17"/>
          <w:szCs w:val="17"/>
          <w:color w:val="auto"/>
        </w:rPr>
        <w:t>On May 7, 2021, the NYSE notified Studio City International that it had regained compliance with the continued listing requirement contained in the initial NYSE Notice. Subsequently on July 30, 2021, the NYSE further notified Studio City International that it had regained compliance with the Additional NYSE Non-Compliance Event.</w:t>
      </w:r>
    </w:p>
    <w:p>
      <w:pPr>
        <w:spacing w:after="0" w:line="162" w:lineRule="exact"/>
        <w:rPr>
          <w:sz w:val="20"/>
          <w:szCs w:val="20"/>
          <w:color w:val="auto"/>
        </w:rPr>
      </w:pPr>
    </w:p>
    <w:p>
      <w:pPr>
        <w:jc w:val="both"/>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We cannot assure you that Studio City International can or will continually adhere to all of the continued listing requirements of the New York Stock Exchange, including those required to maintain our listing on the New York Stock Exchange, or that the New York Stock Exchange will not take any other action in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960"/>
          </w:cols>
          <w:pgMar w:left="320" w:top="473"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7"/>
          <w:szCs w:val="17"/>
          <w:color w:val="auto"/>
        </w:rPr>
        <w:t>course of monitoring its compliance with the continued listing requirements of the New York Stock Exchange. If Studio City International is delisted from the New York Stock Exchange, the SC ADSs or its ordinary shares may be eligible for trading on an over-the-counter market in the United States. In the event that Studio City International is not able to obtain a listing on another U.S. stock exchange or quotation service for its ADSs, it may be extremely difficult for holders of the SC ADSs and its shareholders to sell their SC ADSs or ordinary shares in Studio City International. Moreover, if the SC ADSs are delisted from the New York Stock Exchange but listed elsewhere, it will likely be on a market with less liquidity and more price volatility than experienced on the New York Stock Exchange. Holders of the SC ADSs and its shareholders may not be able to sell their SC ADSs or ordinary shares in Studio City International on any such substitute market in the quantities, at the times or at the prices that could potentially be available on a more liquid trading market. In addition, following a delisting from the New York Stock Exchange, as direct or indirect holders of 5% or more of Studio City International’s shares are subject to suitability and financial capacity reviews by the DICJ, any direct or indirect sales of SC ADSs or ordinary shares in Studio City International representing 5% or more of its outstanding share capital may require prior approval by the Macau government.</w:t>
      </w: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Financing and Indebtedness</w:t>
      </w:r>
    </w:p>
    <w:p>
      <w:pPr>
        <w:spacing w:after="0" w:line="116" w:lineRule="exact"/>
        <w:rPr>
          <w:sz w:val="20"/>
          <w:szCs w:val="20"/>
          <w:color w:val="auto"/>
        </w:rPr>
      </w:pPr>
    </w:p>
    <w:p>
      <w:pPr>
        <w:ind w:left="30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current, projected and potential future indebtedness could impair our financial condition, which could further exacerbate the risks associated with our significant leverage.</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incurred and expect to incur, based on current budgets and estimates, secured and unsecured long-term indebtedness.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outstanding indebtedness as of December 31, 2023 includes:</w:t>
      </w:r>
    </w:p>
    <w:p>
      <w:pPr>
        <w:spacing w:after="0" w:line="131" w:lineRule="exact"/>
        <w:rPr>
          <w:sz w:val="20"/>
          <w:szCs w:val="20"/>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HK$8.22 billion (equivalent to US$1.05 billion) under the 2020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HK$1.0 million (equivalent to US$0.1 million) under the 2015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HK$1.0 million (equivalent to US$0.1 million) under the 2028 Studio City Senior Secured Credit Facility;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US$1.00 billion from Melco Resorts Finance’s issuance of the 2025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US$500.0 million from Melco Resorts Finance’s issuance of the 2026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US$600.0 million from Melco Resorts Finance’s issuance of the 2027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US$850.0 million from Melco Resorts Finance’s issuance of the 2028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US$1.15 billion from Melco Resorts Finance’s issuance of the 2029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US$397.0 million from Studio City Finance’s issuance of the 2025 Studio City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US$500.0 million from Studio City Finance’s issuance of the 2028 Studio City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US$1.10 billion from Studio City Finance’s issuance of the 2029 Studio City Notes;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US$350.0 million from Studio City Company’s issuance of the 2027 Studio City Notes.</w:t>
      </w:r>
    </w:p>
    <w:p>
      <w:pPr>
        <w:spacing w:after="0" w:line="222" w:lineRule="exact"/>
        <w:rPr>
          <w:rFonts w:ascii="Times New Roman" w:cs="Times New Roman" w:eastAsia="Times New Roman" w:hAnsi="Times New Roman"/>
          <w:sz w:val="17"/>
          <w:szCs w:val="17"/>
          <w:color w:val="auto"/>
        </w:rPr>
      </w:pPr>
    </w:p>
    <w:p>
      <w:pPr>
        <w:ind w:left="1260" w:right="1260"/>
        <w:spacing w:after="0" w:line="4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further indebtedness to finance any future projects or phases of projects, or for general corporate purposes. Our significant indebtedness could have material consequences. For example, it could:</w:t>
      </w: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difficult for us to satisfy our debt obligations;</w:t>
      </w:r>
    </w:p>
    <w:p>
      <w:pPr>
        <w:spacing w:after="0" w:line="131" w:lineRule="exact"/>
        <w:rPr>
          <w:rFonts w:ascii="Times New Roman" w:cs="Times New Roman" w:eastAsia="Times New Roman" w:hAnsi="Times New Roman"/>
          <w:sz w:val="17"/>
          <w:szCs w:val="17"/>
          <w:color w:val="auto"/>
        </w:rPr>
      </w:pPr>
    </w:p>
    <w:p>
      <w:pPr>
        <w:jc w:val="center"/>
        <w:ind w:left="5540" w:right="480" w:hanging="4830"/>
        <w:spacing w:after="0" w:line="356" w:lineRule="auto"/>
        <w:tabs>
          <w:tab w:leader="none" w:pos="12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 including disruptions to global economic conditions; 66</w:t>
      </w:r>
    </w:p>
    <w:p>
      <w:pPr>
        <w:sectPr>
          <w:pgSz w:w="11900" w:h="16838" w:orient="portrait"/>
          <w:cols w:equalWidth="0" w:num="1">
            <w:col w:w="10960"/>
          </w:cols>
          <w:pgMar w:left="320" w:top="473" w:right="6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460" w:hanging="530"/>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our ability to obtain additional financing in the future for working capital needs, capital expenditures, acquisitions or general corporate purposes;</w:t>
      </w:r>
    </w:p>
    <w:p>
      <w:pPr>
        <w:spacing w:after="0" w:line="55"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as compared to our competitors, to the extent that they are not as leveraged;</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higher interest expenses in the event of increases in interest rates to the extent a portion of our indebtedness bears interest at variable rates;</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additional expenses by hedging interest rate exposures of our indebtedness and exposure to hedging counterparty failures to pay under such hedging arrangements, which would reduce the funds available to us to fund our operations; and</w:t>
      </w:r>
    </w:p>
    <w:p>
      <w:pPr>
        <w:spacing w:after="0" w:line="55"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we or one of our subsidiaries were to default, result in the loss of all or a substantial portion of our and/or our subsidiaries’ assets over which our creditors have taken or will take security.</w:t>
      </w:r>
    </w:p>
    <w:p>
      <w:pPr>
        <w:spacing w:after="0" w:line="14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above or other consequences or events could have a material adverse effects on our ability to satisfy our other obligations.</w:t>
      </w:r>
    </w:p>
    <w:p>
      <w:pPr>
        <w:spacing w:after="0" w:line="323"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financing to complete our investment projects or in our business operations, which may not be available on satisfactory terms or at all.</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have funded our capital investment projects through, among others, cash generated from our operations, credit facilities, issuance of debt securities and equity financings. For example, we used such capital resources to fund the development of the remaining land for our Studio City development project, and we may require additional financing in the future for our capital investment projects, which we may raise through debt or equity financing. In connection with the Concession Contract, Melco Resorts Macau committed to an overall investment of MOP11,823.7 million (equivalent to approximately US$1.47 billion) and incremental additional non-gaming investment in the amount of approximately 20% of its initial non-gaming investment, or MOP2,003.0 million (equivalent to approximately US$248.9 million), in the event Macau’s annual gross gaming revenue reaches MOP180.0 billion (equivalent to approximately US$22.37 billion) (“Incremental Investment Trigger”). As Macau’s annual gross gaming revenue exceeded MOP180.0 billion (equivalent to approximately US$22.37 billion) in 2023, the Incremental Investment Trigger was triggered in 2023, thereby increasing Melco Resorts Macau’s non-gaming investment by MOP2,003.0 million (equivalent to approximately US$248.9 million), with the overall investment amount increased to MOP13,826.7 million (equivalent to approximately US$1.72 billion) to be carried out by December 2032. As of December 31, 2023, the total investment in gaming and non-gaming related projects carried out was in the aggregate amount of MOP1,331.0 million (equivalent to approximately US$165.4 million). We may also require additional financing in the future to fund our business operations. We may be required to obtain approval from, or consent of, or notify relevant government authorities or third parties in order to enter into such financings. There are no assurances that we would be able to obtain any required approval or consent from the relevant government authorities or third parties with respect to such financing in a timely manner or at all.</w:t>
      </w:r>
    </w:p>
    <w:p>
      <w:pPr>
        <w:spacing w:after="0" w:line="181"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Any financing related to the above may also be subject to, among others, the terms of credit facilities, the Melco Resorts Finance Notes and the Studio City Notes and any future financings. In addition, our ability to obtain debt or equity financing on acceptable terms depends on a variety of factors that are beyond our control, including market conditions, investors’ and lenders’ perceptions of, and demand for, debt and equity securities of gaming companies and interest rates. For example, changes in rating outlooks may subject us to rating agency</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80"/>
          </w:cols>
          <w:pgMar w:left="320" w:top="473" w:right="6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59" w:lineRule="auto"/>
        <w:rPr>
          <w:sz w:val="20"/>
          <w:szCs w:val="20"/>
          <w:color w:val="auto"/>
        </w:rPr>
      </w:pPr>
      <w:r>
        <w:rPr>
          <w:rFonts w:ascii="Times New Roman" w:cs="Times New Roman" w:eastAsia="Times New Roman" w:hAnsi="Times New Roman"/>
          <w:sz w:val="17"/>
          <w:szCs w:val="17"/>
          <w:color w:val="auto"/>
        </w:rPr>
        <w:t>downgrades, which could make it more difficult for us to obtain financing on acceptable terms. Central banks across the world have increased interest rates since 2022 and if such increase persists, our borrowing costs will be increased. The continued pressure on the Chinese property market since 2022, as well as the deterioration in the Chinese economy post-COVID-19 also negatively impacted the market for high yield bonds of issuers in other sectors connected with the PRC, including those issued by Macau gaming operators and associated entities.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 We may, from time to time, seek to obtain new financings or refinance our outstanding debt through international markets. Any such financing or refinancing, and our evaluation thereof, will depend on the prevailing market conditions, our liquidity requirements, contractual restrictions and other factors. The amounts involved may be material.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“Item 3. Key Information — D. Risk Factors — Risks Relating to Our Financing and Indebtedness — 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 and “Item 4. Information on the Company — B. Business Overview — Regulations — Gaming Licenses — The Concession Contract in Macau.”</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flow to meet our debt service obligations.</w:t>
      </w:r>
    </w:p>
    <w:p>
      <w:pPr>
        <w:spacing w:after="0" w:line="122"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Our ability to make scheduled payments due on our existing and anticipated indebtedness obligations, including our credit facilities, the Melco Resorts Finance Notes and Studio City Notes, to refinance and to fund working capital needs, planned capital expenditures and development efforts will depend on our ability to generate cash. We will require generation of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80" w:lineRule="exact"/>
        <w:rPr>
          <w:sz w:val="20"/>
          <w:szCs w:val="20"/>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performance;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services that we provide;</w:t>
      </w:r>
    </w:p>
    <w:p>
      <w:pPr>
        <w:spacing w:after="0" w:line="131"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economic conditions affecting the PRC, Macau, the Philippines, Cyprus or the gaming industry in particular, including market conditions such as increases in inflation and other global economic, political and social conditions;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employees and management at a reasonable cost;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factors affecting our operations and business.</w:t>
      </w:r>
    </w:p>
    <w:p>
      <w:pPr>
        <w:spacing w:after="0" w:line="22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w:t>
      </w:r>
    </w:p>
    <w:p>
      <w:pPr>
        <w:spacing w:after="0" w:line="169"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Our ability to incur additional borrowings or refinance our indebtedness, including our credit facilities, the Melco Resorts Finance Notes and Studio City Notes, will depend on the condition of the financing and capital markets, our financial condition at such time and potentially governmental approval. We cannot assure you that</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940"/>
          </w:cols>
          <w:pgMar w:left="320" w:top="473"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17"/>
          <w:szCs w:val="17"/>
          <w:color w:val="auto"/>
        </w:rPr>
        <w:t>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 various debt instruments then in effect, including the indentures governing the Melco Resorts Finance Notes and Studio City Notes.</w:t>
      </w:r>
    </w:p>
    <w:p>
      <w:pPr>
        <w:spacing w:after="0" w:line="169" w:lineRule="exact"/>
        <w:rPr>
          <w:sz w:val="20"/>
          <w:szCs w:val="20"/>
          <w:color w:val="auto"/>
        </w:rPr>
      </w:pPr>
    </w:p>
    <w:p>
      <w:pPr>
        <w:ind w:left="300" w:right="280" w:firstLine="960"/>
        <w:spacing w:after="0" w:line="266" w:lineRule="auto"/>
        <w:rPr>
          <w:sz w:val="20"/>
          <w:szCs w:val="20"/>
          <w:color w:val="auto"/>
        </w:rPr>
      </w:pPr>
      <w:r>
        <w:rPr>
          <w:rFonts w:ascii="Times New Roman" w:cs="Times New Roman" w:eastAsia="Times New Roman" w:hAnsi="Times New Roman"/>
          <w:sz w:val="17"/>
          <w:szCs w:val="17"/>
          <w:color w:val="auto"/>
        </w:rPr>
        <w:t>In addition, any failure to make scheduled payments of interest or principal on our outstanding indebtedness would likely result in a reduction of our credit rating and constitute an event of default,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acceptable terms or at all, could have a material adverse effect on our business, financial condition and results of operations.</w:t>
      </w:r>
    </w:p>
    <w:p>
      <w:pPr>
        <w:spacing w:after="0" w:line="272" w:lineRule="exact"/>
        <w:rPr>
          <w:sz w:val="20"/>
          <w:szCs w:val="20"/>
          <w:color w:val="auto"/>
        </w:rPr>
      </w:pPr>
    </w:p>
    <w:p>
      <w:pPr>
        <w:ind w:left="300"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57"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The agreements governing our credit facilities and debt instruments contain restrictions on our ability to engage in certain transactions and may limit our ability to respond to changing business and economic conditions, including regulatory changes, or otherwise take actions that may be in our best interests. Certain of these agreements have restrictions that include, among other things, limitations on our ability and the ability of our restricted subsidiaries or other members of our obligor group to do some or all of the following:</w:t>
      </w:r>
    </w:p>
    <w:p>
      <w:pPr>
        <w:spacing w:after="0" w:line="78" w:lineRule="exact"/>
        <w:rPr>
          <w:sz w:val="20"/>
          <w:szCs w:val="20"/>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distributions or repurchase equity;</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debt, including guarantees;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assets to secure debt;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of subsidiaries;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sale-leaseback transactions;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other businesses;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with another company;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a change of control;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sell or otherwise dispose of assets;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disqualified stock;</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dividend and other payment restrictions affecting subsidiaries;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restricted and unrestricted subsidiaries; and</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 Melco Resorts Macau’s Concession Contract or Melco Resorts Macau’s and certain of its subsidiaries’ land concessions and certain other contracts.</w:t>
      </w:r>
    </w:p>
    <w:p>
      <w:pPr>
        <w:spacing w:after="0" w:line="147"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Certain of our credit facilities and debt instruments also require us to satisfy various financial covenants, which include requirements for minimum interest coverage ratio and leverage ratios. For more</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920"/>
          </w:cols>
          <w:pgMar w:left="320" w:top="473" w:right="6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7"/>
          <w:szCs w:val="17"/>
          <w:color w:val="auto"/>
        </w:rPr>
        <w:t>information on financial covenants we are subject to under our credit facilities and debt instruments, see note 11 to the consolidated financial statements included elsewhere in this annual report. Future indebtedness or other agreements may contain covenants more restrictive than those contained in our existing credit facilities and debt instruments. In addition, we may also rely on waivers given by lenders in respect of certain terms and covenants under the facilities from time to time. For example, on August 16, 2022, MCO Nominee One received confirmation that the majority of lenders of the 2020 Credit Facilities have consented and agreed to a waiver extension of certain financial condition covenants contained in the facility agreement under the 2020 Credit Facilities such as (i) to meet or exceed the interest cover ratio, (ii) not to exceed the senior leverage ratio, and (iii) not to exceed the total leverage ratio. MCO Nominee One paid a customary fee to all consenting lenders in relation to such consent. There is no assurance that we will be successful in any future attempts to obtain consents or waivers of terms and conditions under any of the facilities from any lender on terms that are acceptable to us or at all.</w:t>
      </w:r>
    </w:p>
    <w:p>
      <w:pPr>
        <w:spacing w:after="0" w:line="390" w:lineRule="exact"/>
        <w:rPr>
          <w:sz w:val="20"/>
          <w:szCs w:val="20"/>
          <w:color w:val="auto"/>
        </w:rPr>
      </w:pPr>
    </w:p>
    <w:p>
      <w:pPr>
        <w:jc w:val="both"/>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In addition, certain of our indebtedness is secured by mortgages, assignment of land use rights, leases or equivalents, security over shares, charges over bank accounts, security over assets and other customary security over the assets of our Macau subsidiaries. In the event of a default under such agreements governing our existing indebtedness, the holders of such secured indebtedness would first be entitled to payment from their collateral security, and only then would holders of our Macau subsidiaries’ unsecured debt be entitled to payment from their remaining assets.</w:t>
      </w:r>
    </w:p>
    <w:p>
      <w:pPr>
        <w:spacing w:after="0" w:line="169"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breach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w:t>
      </w:r>
    </w:p>
    <w:p>
      <w:pPr>
        <w:spacing w:after="0" w:line="278" w:lineRule="exact"/>
        <w:rPr>
          <w:sz w:val="20"/>
          <w:szCs w:val="20"/>
          <w:color w:val="auto"/>
        </w:rPr>
      </w:pPr>
    </w:p>
    <w:p>
      <w:pPr>
        <w:ind w:left="300"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w:t>
      </w:r>
    </w:p>
    <w:p>
      <w:pPr>
        <w:spacing w:after="0" w:line="57"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Our current and future credit facilities, including the 2015 Credit Facilities, the 2020 Credit Facilities and the 2028 Studio City Senior Secured Credit Facility, require and will require satisfaction of extensive conditions precedent prior to the advance or rollover of loans under such facilities. If there is a breach of any terms or conditions of our credit facilities or other obligations and the breach is not cured or capable of being cured, or if we are unable to make certain representations, then such conditions precedent will not be satisfied. Our ability to satisfy such conditions precedent may also be affected by the actions of third parties and/or matters outside of our control, such as government consents and approvals and market conditions, and thus also result in our inability to satisfy any conditions precedent. We may also rely on waivers given by lenders to waive satisfaction of certain conditions precedent under the facilities from time to time. There is no assurance that we will be successful in any future attempts to obtain consents or waivers of terms and conditions under any of the facilities from any lender on terms that are acceptable to us or at all. The inability to draw down or roll over loan advances under any credit facility may result in a funding shortfall in our operations and we may not be able to fulfill our obligations as planned. Such events may also result in an event of default under the respective credit facility and may also trigger cross-defaults under our other indebtedness obligations. There can be no</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940"/>
          </w:cols>
          <w:pgMar w:left="320" w:top="472"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4" w:lineRule="auto"/>
        <w:rPr>
          <w:sz w:val="20"/>
          <w:szCs w:val="20"/>
          <w:color w:val="auto"/>
        </w:rPr>
      </w:pPr>
      <w:r>
        <w:rPr>
          <w:rFonts w:ascii="Times New Roman" w:cs="Times New Roman" w:eastAsia="Times New Roman" w:hAnsi="Times New Roman"/>
          <w:sz w:val="17"/>
          <w:szCs w:val="17"/>
          <w:color w:val="auto"/>
        </w:rPr>
        <w:t>assurance 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74"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If we are unable to maintain our current financing arrangements or obtain suitable financing for our operations and our current or future projects (including any acquisitions we may make), such failure could adversely impact our compliance with our Concession Contract, our existing operations, or cause delays in, or prevent completion of, the development of any current or future projects. In connection with the Concession Contract, Melco Resorts Macau committed to an overall investment of MOP11,823.7 million (equivalent to approximately US$1.47 billion) and incremental additional non-gaming investment in the amount of approximately 20% of its initial non-gaming investment, or MOP2,003.0 million (equivalent to approximately US$248.9 million), in the event Macau’s annual gross gaming revenue reaches MOP180.0 billion (equivalent to approximately US$22.37 billion). As Macau’s annual gross gaming revenue exceeded MOP180.0 billion (equivalent to approximately US$22.37 billion) in 2023, the Incremental Investment Trigger was triggered in 2023, thereby increasing Melco Resorts Macau’s non-gaming investment by MOP2,003.0 million (equivalent to approximately US$248.9 million), with the overall investment amount increased to MOP13,826.7 million (equivalent to approximately US$1.72 billion) to be carried out by December 2032. As of December 31, 2023, the total investment in gaming and non-gaming related projects carried out was in the aggregate amount of MOP1,331.0 million (equivalent to approximately US$165.4 million). Any inability to obtain suitable financing, or at all, may cause us to fail to comply with the terms of our Concession Contract, the harshest penalty of which for any non-compliance that may be imposed on us is revocation of the Concession Contract.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and “Item 4. Information on the Company — B. Business Overview — Regulations — Gaming Licenses — The Concession Contract in Macau.”</w:t>
      </w:r>
    </w:p>
    <w:p>
      <w:pPr>
        <w:spacing w:after="0" w:line="179"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Shares and ADSs</w:t>
      </w:r>
    </w:p>
    <w:p>
      <w:pPr>
        <w:spacing w:after="0" w:line="116"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ADSs has been volatile since our ADSs began trading on Nasdaq and may be subject to fluctuations in the future, which could result in substantial losses to investors.</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trading price of our ADSs has been and may continue to be subject to wide fluctuations. Our ADSs were first quoted on the Nasdaq Global Market beginning on December 19, 2006, and were upgraded to trade on the Nasdaq Global Select Market, or the Nasdaq, since January 2, 2009. During the period from December 19, 2006 to March 15, 2024, the trading prices of our ADSs ranged from US$2.27 to US$45.70 per ADS and the closing sale price on March 15, 2024 was US$7.20 per ADS. The market price for our shares and ADSs may continue to be volatile and subject to wide fluctuations in response to factors, including the following:</w:t>
      </w:r>
    </w:p>
    <w:p>
      <w:pPr>
        <w:spacing w:after="0" w:line="80" w:lineRule="exact"/>
        <w:rPr>
          <w:sz w:val="20"/>
          <w:szCs w:val="20"/>
          <w:color w:val="auto"/>
        </w:rPr>
      </w:pPr>
    </w:p>
    <w:p>
      <w:pPr>
        <w:ind w:left="1240" w:right="500" w:hanging="530"/>
        <w:spacing w:after="0" w:line="295"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political tensions, including between China and the U.S., and policies and/or legislation which may be proposed and/or enacted in relation to such tensions;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940"/>
          </w:cols>
          <w:pgMar w:left="320" w:top="473"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60" w:hanging="530"/>
        <w:spacing w:after="0" w:line="276"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the Macau market, the Philippine market, the Cyprus market or other Asian or European gaming markets, including disruptions caused by widespread health epidemics or pandemics, such as COVID-19 outbreaks, and the announcement or completion of major new projects by our competitors;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or delays relating to the financing, completion and successful operation of our projects;</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or other factors that affect the region where our properties are located and/or the macroeconomic environment, including any global pandemic or crisis;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us or our competitors;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operating results;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joint ventures or divestments by us or our competitors;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performance and value of our investments;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research analysts;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other gaming and leisure industry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market share of the Macau, Philippine and/or Cyprus gaming markets;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adverse publicity about us, our properties or our industries;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 or departure of our executive officers and key personnel;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exchange rates between the U.S. dollar, H.K. dollar, Pataca, Renminbi, Euro and the Philippine peso;</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or expiration of lock-up or other transfer restrictions on our outstanding shares or ADSs;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sales of additional shares or ADSs or securities convertible or exchangeable or exercisable for shares or ADSs;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or regulatory investigations;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related to any of the above, irrespective of their veracity.</w:t>
      </w:r>
    </w:p>
    <w:p>
      <w:pPr>
        <w:spacing w:after="0" w:line="223" w:lineRule="exact"/>
        <w:rPr>
          <w:sz w:val="20"/>
          <w:szCs w:val="20"/>
          <w:color w:val="auto"/>
        </w:rPr>
      </w:pPr>
    </w:p>
    <w:p>
      <w:pPr>
        <w:ind w:left="300" w:right="220" w:firstLine="960"/>
        <w:spacing w:after="0" w:line="263" w:lineRule="auto"/>
        <w:rPr>
          <w:sz w:val="20"/>
          <w:szCs w:val="20"/>
          <w:color w:val="auto"/>
        </w:rPr>
      </w:pPr>
      <w:r>
        <w:rPr>
          <w:rFonts w:ascii="Times New Roman" w:cs="Times New Roman" w:eastAsia="Times New Roman" w:hAnsi="Times New Roman"/>
          <w:sz w:val="17"/>
          <w:szCs w:val="17"/>
          <w:color w:val="auto"/>
        </w:rPr>
        <w:t>In addition, the securities market has from time to time experienced significant price and volume fluctuations that are not related to the operating performance of particular companies. For example, in connection with COVID-19 outbreaks, securities markets across the globe have experienced significant volatility. These market fluctuations may also have a material adverse effect on the market price of our ADSs. In addition, we are a Cayman Islands holding company and not a Chinese operating company and investors may never directly hold equity interests in our operating subsidiaries. This organizational structure involves unique risks to investors, including the possibility of Chinese or Macau regulatory authorities disallowing our organizational structure, which would likely result in a material change in our operations and/or value of our ADSs making them significantly decline or worthless.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940"/>
          </w:cols>
          <w:pgMar w:left="320" w:top="473"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7"/>
          <w:szCs w:val="17"/>
          <w:color w:val="auto"/>
        </w:rPr>
        <w:t>results of operations. In addition, as a company listed on Nasdaq, we are subject to certain rules and requirements implemented by Nasdaq. The rules of Nasdaq impose various continued listing requirements. We cannot assure you that we can or will continually adhere to all of such requirements, including those required to maintain our listing on Nasdaq. Any failure to adhere to the applicable requirements could result in costs, penalties, administrative remedies or other consequences, any of which may result in a material adverse effect on our business, prospects, results of operations and financial condition.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cannot assure you that we will make dividend payments in the future.</w:t>
      </w:r>
    </w:p>
    <w:p>
      <w:pPr>
        <w:spacing w:after="0" w:line="12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On May 14, 2020, we announced the suspension of the Company’s quarterly dividend program to preserve liquidity in light of the COVID-19 outbreaks and to continue investing in our business. We cannot assure you that we will resume the Company’s quarterly dividend program or make any dividend payments on our shares in the future. Dividend payments will depend upon a number of factors, including the operating environment, our results of operations, earnings, capital requirements and surplus, general financial conditions, contractual restrictions and other factors considered relevant by our board. Except as permitted under the Companies Act (as amended) of the Cayman Islands,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the 2020 Credit Facilities, the Studio City Notes, the 2028 Studio City Senior Secured Credit Facility and other agreements governing indebtedness we and our subsidiaries may incur. Such restrictive covenants contained in the 2015 Credit Facilities and the 2020 Credit Facilities include satisfaction of certain financial tests and conditions such as continued compliance with specified interest cover, cash cover and leverage ratios. The Studio City Notes and 2028 Studio City Senior Secured Credit Facility also contain certain covenants restricting payment of dividends by Studio City Finance and its subsidiaries, respectively. For more details, see “Item 5. Operating and Financial Review and Prospects — B. Liquidity and Capital Resources — Indebtedness.”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Substantial sales or perceived sales of our shares or ADSs in the public market could cause the price of our ADSs and shares to decline.</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Sales of our ADSs or shares in the public market, or the perception that these sales could occur, could cause the market price of our shares and ADSs to decline. There is no assurance that Melco International will not sell all or a part of its ownership interest in us. Any sale of their interest may be subject to volume and other restrictions, as applicable, under Rule 144 under the Securities Act of 1933, or the Securities Act.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 In addition, Melco International has the right to cause us to register the sale of their shares under the Securities Act, subject to the terms of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w:t>
      </w:r>
    </w:p>
    <w:p>
      <w:pPr>
        <w:spacing w:after="0" w:line="387"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Any decision by us to issue or raise further equity, which would result in dilution to existing shareholders, could cause the price of our ADSs and shares to decline.</w:t>
      </w:r>
    </w:p>
    <w:p>
      <w:pPr>
        <w:spacing w:after="0" w:line="247"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38"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The trading market for our ADSs depends in part on the research and reports that securities or industry analysts publish about us or our business. If research analysts do not establish and maintain adequate research</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940"/>
          </w:cols>
          <w:pgMar w:left="320" w:top="472"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76" w:lineRule="auto"/>
        <w:rPr>
          <w:sz w:val="20"/>
          <w:szCs w:val="20"/>
          <w:color w:val="auto"/>
        </w:rPr>
      </w:pPr>
      <w:r>
        <w:rPr>
          <w:rFonts w:ascii="Times New Roman" w:cs="Times New Roman" w:eastAsia="Times New Roman" w:hAnsi="Times New Roman"/>
          <w:sz w:val="17"/>
          <w:szCs w:val="17"/>
          <w:color w:val="auto"/>
        </w:rPr>
        <w:t>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ADSs.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3"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71"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Holders of ADSs have fewer rights than shareholders and must act through the depositary to exercise those rights.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960"/>
          </w:cols>
          <w:pgMar w:left="320" w:top="472"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limitations on transfers of your ADSs.</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72"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38"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274"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0" w:lineRule="exact"/>
        <w:rPr>
          <w:sz w:val="20"/>
          <w:szCs w:val="20"/>
          <w:color w:val="auto"/>
        </w:rPr>
      </w:pPr>
    </w:p>
    <w:p>
      <w:pPr>
        <w:ind w:left="300" w:right="320" w:firstLine="960"/>
        <w:spacing w:after="0" w:line="276"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rights under Cayman Islands law to inspect corporate records (other than the memorandum and articles of association, a list of the current directors and the register of mortgages and charges) or to obtain copies of lists of shareholders of these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940"/>
          </w:cols>
          <w:pgMar w:left="320" w:top="473"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20"/>
        <w:spacing w:after="0" w:line="269" w:lineRule="auto"/>
        <w:rPr>
          <w:sz w:val="20"/>
          <w:szCs w:val="20"/>
          <w:color w:val="auto"/>
        </w:rPr>
      </w:pPr>
      <w:r>
        <w:rPr>
          <w:rFonts w:ascii="Times New Roman" w:cs="Times New Roman" w:eastAsia="Times New Roman" w:hAnsi="Times New Roman"/>
          <w:sz w:val="17"/>
          <w:szCs w:val="17"/>
          <w:color w:val="auto"/>
        </w:rPr>
        <w:t>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9"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have difficulty enforcing judgments obtained against us.</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We are a Cayman Islands exempted company and substantially all of our assets are located outside of the United States. All of our current operations, and administrative and corporate functions are conducted in Macau, Hong Kong, Singapore, the Philippines and Cyprus. In addition, substantially all of our directors and officers are nationals and residents of countries other than the United States. A substantial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will be more difficult to enforce liabilities and enforce judgments on those individuals.</w:t>
      </w:r>
    </w:p>
    <w:p>
      <w:pPr>
        <w:spacing w:after="0" w:line="175"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It may also be difficult for you to enforce in the Cayman Islands, Macau, Hong Kong, Singapore, the Philippines, Cyprus or Japan courts judgments obtained in U.S. courts based on the civil liability provisions of the U.S. federal securities laws against us and our officers and directors, most of whom are not residents in the United States and the substantial portion of whose assets are located outside of the United States.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74"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Singapore, the Philippines, Cyprus or Japan would recognize or enforce judgments of U.S. courts against us or such persons predicated upon the civil liability provisions of the securities laws of the United States or any state. In addition, it is uncertain whether such Cayman Islands, Macau, Hong Kong, Singapore, Philippines, Cyprus or Japan courts would be competent to hear original actions brought in the Cayman Islands, Macau, Hong Kong, Singapore, the Philippines, Cyprus or Japan against us or such persons predicated upon the securities laws of the United States or any state.</w:t>
      </w:r>
    </w:p>
    <w:p>
      <w:pPr>
        <w:spacing w:after="0" w:line="272" w:lineRule="exact"/>
        <w:rPr>
          <w:sz w:val="20"/>
          <w:szCs w:val="20"/>
          <w:color w:val="auto"/>
        </w:rPr>
      </w:pPr>
    </w:p>
    <w:p>
      <w:pPr>
        <w:ind w:left="300"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38"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Based on the current market price of our ADSs and ordinary shares, and the composition of our income, assets and operations, we do not believe we were a passive foreign investment company, or PFIC, for</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920"/>
          </w:cols>
          <w:pgMar w:left="320" w:top="473" w:right="6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7"/>
          <w:szCs w:val="17"/>
          <w:color w:val="auto"/>
        </w:rPr>
        <w:t>our taxable year ended December 31, 2023.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(as defined in the relevant provisions of the Internal Revenue Code of 1986, as amended) or (ii) at least 50% of the value of its assets (generally based on a quarterly average) during such year is attributable to assets that produce passive income or are held for the production of passive income. For these purposes, cash and other assets readily convertible into cash are categorized as passive assets, and the company’s goodwill and other unbooked intangibles are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more than 25% (by value) of the stock. A separate determination must be made after the close of each taxable year as to whether we were a PFIC for that year. Because the value of our assets, including the value of our goodwill and unbooked intangibles,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and will become subject to potentially burdensome reporting requirements. U.S. Holders should consult their tax advisers regarding the application of these rules. See “Item 10. Additional Information — E. Taxation — United States Federal Income Taxation — Passive Foreign Investment Company.”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relating to multinational corporations could adversely affect our tax position.</w:t>
      </w:r>
    </w:p>
    <w:p>
      <w:pPr>
        <w:spacing w:after="0" w:line="122"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calls for law enactment by OECD and G20 members in 2022 to take effect in 2023 and 2024. On December 20, 2021, the OECD published model rules to implement the Pillar Two rules and released commentary to the Pillar Two model rules in March 2022 and published administrative guidance in February 2023, July 2023 and December 2023. The model rules and commentary allow the OECD’s Inclusive Framework members to begin implementing the Pillar Two rules in accordance with the agreement reached in October 2021. As the Two Pillar solution is subject to implementation by each member country, the timing and ultimate impact of any such changes on our tax obligations is uncertain. These changes, when enacted, by various countries in which we do business may increase our taxes in these countries. The foregoing tax changes and other possible future tax changes may have an adverse impact on us, our business, financial condition, results of operations and cash flow.</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960"/>
          </w:cols>
          <w:pgMar w:left="320" w:top="472"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120"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Our Company was incorporated in December 2004 as an exempted company with limited liability under the Companies Act (as amended) of the Cayman Islands. Our subsidiary Melco Resorts Macau is one of six companies licensed, through concession, to operate casinos in Macau. For more information on our corporate structure, see “— C. Organizational Structure.”</w:t>
      </w:r>
    </w:p>
    <w:p>
      <w:pPr>
        <w:spacing w:after="0" w:line="162"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In December 2006, we completed the initial public offering of our ADSs, each of which represents three ordinary shares, and listed our ADSs on the Nasdaq under the symbol “MPEL.”</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May 2008, we changed our name from Melco PBL Entertainment (Macau) Limited to Melco Crown Entertainment Limited.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January 2009, we were upgraded to trade on the Nasdaq Global Select Market.</w:t>
      </w:r>
    </w:p>
    <w:p>
      <w:pPr>
        <w:spacing w:after="0" w:line="223"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On July 27, 2011, we acquired a 60% equity interest in SCI, the developer of Studio City. Studio City is a large-scale cinematically-themed integrated resort developed in Macau.</w:t>
      </w:r>
    </w:p>
    <w:p>
      <w:pPr>
        <w:spacing w:after="0" w:line="147"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On December 19, 2012, we completed the acquisition of a majority interest in the issued share capital of MRP, a company then listed on The Philippine Stock Exchange, Inc. (the “Philippine Stock Exchange”). Following the completion of our acquisition of MRP, we transferred our 100% equity interest in Melco Resorts Leisure to MRP in March 2013. Melco Resorts Leisure has been granted the exclusive right to manage, operate and control our Philippines integrated casino resort project, City of Dreams Manila.</w:t>
      </w:r>
    </w:p>
    <w:p>
      <w:pPr>
        <w:spacing w:after="0" w:line="169" w:lineRule="exact"/>
        <w:rPr>
          <w:sz w:val="20"/>
          <w:szCs w:val="20"/>
          <w:color w:val="auto"/>
        </w:rPr>
      </w:pPr>
    </w:p>
    <w:p>
      <w:pPr>
        <w:jc w:val="both"/>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In May 2016, we repurchased 155 million of our ordinary shares from Crown Asia Investments Pty, Ltd. Following completion of the repurchase and cancelation of such shares and certain changes in the composition of our board of directors, Melco International became our single largest shareholder and we were thereafter treated as a subsidiary of Melco International.</w:t>
      </w:r>
    </w:p>
    <w:p>
      <w:pPr>
        <w:spacing w:after="0" w:line="162" w:lineRule="exact"/>
        <w:rPr>
          <w:sz w:val="20"/>
          <w:szCs w:val="20"/>
          <w:color w:val="auto"/>
        </w:rPr>
      </w:pPr>
    </w:p>
    <w:p>
      <w:pPr>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In February 2017, the privately-negotiated sale by Crown Asia Investments Pty, Ltd. to Melco Leisure, through which Melco Leisure purchased 198,000,000 of our ordinary shares from Crown Asia Investments Pty, Ltd., closed and Melco International became our sole majority shareholder.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March 2017, our name change from Melco Crown Entertainment Limited to Melco Resorts &amp; Entertainment Limited became effective.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April 2017, our Nasdaq ticker symbol changed from “MPEL” to “MLCO.”</w:t>
      </w:r>
    </w:p>
    <w:p>
      <w:pPr>
        <w:spacing w:after="0" w:line="223"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In May 2017, we issued and sold 27,769,248 ADSs (equivalent to 83,307,744 ordinary shares) and 81,995,799 ordinary shares and also repurchased 165,303,544 ordinary shares from Crown Asia Investments Pty, Ltd. for the aggregate purchase price of US$1.2 billion, and such repurchased shares were subsequently canceled by us.</w:t>
      </w:r>
    </w:p>
    <w:p>
      <w:pPr>
        <w:spacing w:after="0" w:line="16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In October 2018, SCI completed its initial public offering of 28,750,000 SC ADSs (equivalent to 115,000,000 Class A ordinary shares of SCI), of which 15,330,000 SC ADSs were purchased by our subsidiary, MCO Cotai Investments Limited. In November 2018, the underwriters exercised their over-allotment option in full to purchase an additional 4,312,500 SC ADSs from SCI. After giving effect to the exercise of the over-allotment option, the total number of SC ADSs sold in the Studio City IPO was 33,062,500 SC ADSs, which raised net proceeds of approximately</w:t>
      </w:r>
    </w:p>
    <w:p>
      <w:pPr>
        <w:spacing w:after="0" w:line="1" w:lineRule="exact"/>
        <w:rPr>
          <w:sz w:val="20"/>
          <w:szCs w:val="20"/>
          <w:color w:val="auto"/>
        </w:rPr>
      </w:pPr>
    </w:p>
    <w:p>
      <w:pPr>
        <w:ind w:left="300" w:right="260"/>
        <w:spacing w:after="0" w:line="273" w:lineRule="auto"/>
        <w:rPr>
          <w:sz w:val="20"/>
          <w:szCs w:val="20"/>
          <w:color w:val="auto"/>
        </w:rPr>
      </w:pPr>
      <w:r>
        <w:rPr>
          <w:rFonts w:ascii="Times New Roman" w:cs="Times New Roman" w:eastAsia="Times New Roman" w:hAnsi="Times New Roman"/>
          <w:sz w:val="17"/>
          <w:szCs w:val="17"/>
          <w:color w:val="auto"/>
        </w:rPr>
        <w:t>US$406.7 million from the SC ADSs sold in the Studio City IPO and aggregate gross proceeds of approximately US$2.5 million from the concurrent private placement to Melco</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960"/>
          </w:cols>
          <w:pgMar w:left="320" w:top="472" w:right="6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95" w:lineRule="auto"/>
        <w:rPr>
          <w:sz w:val="20"/>
          <w:szCs w:val="20"/>
          <w:color w:val="auto"/>
        </w:rPr>
      </w:pPr>
      <w:r>
        <w:rPr>
          <w:rFonts w:ascii="Times New Roman" w:cs="Times New Roman" w:eastAsia="Times New Roman" w:hAnsi="Times New Roman"/>
          <w:sz w:val="17"/>
          <w:szCs w:val="17"/>
          <w:color w:val="auto"/>
        </w:rPr>
        <w:t>International in connection with Melco International’s “assured entitlement” distribution to its shareholders, after deducting underwriting discounts and commissions and a structuring fee, but before deducting offering expenses payable by SCI.</w:t>
      </w:r>
    </w:p>
    <w:p>
      <w:pPr>
        <w:spacing w:after="0" w:line="147"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In December 2018, we completed the voluntary tender offer to acquire a total of 1,338,477,668 common shares of MRP from other minority shareholders of MRP and, together with an additional 107,475,300 shares acquired on or after December 6, 2018, increased our equity interest in MRP from approximately 72.8% immediately prior to the announcement of the tender offer to approximately 97.9% on December 13, 2018. MRP was involuntarily delisted from the Philippine Stock Exchange in June 2019 as its public ownership had fallen below the minimum requirement of the Philippine Stock Exchange for more than six months.</w:t>
      </w:r>
    </w:p>
    <w:p>
      <w:pPr>
        <w:spacing w:after="0" w:line="171"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In June 2019, we acquired an approximately 9.99% ownership interest in Crown Resorts and in April 2020, we sold the entire equity interest to a third party and ceased to be a shareholder of Crown Resorts.</w:t>
      </w:r>
    </w:p>
    <w:p>
      <w:pPr>
        <w:spacing w:after="0" w:line="147" w:lineRule="exact"/>
        <w:rPr>
          <w:sz w:val="20"/>
          <w:szCs w:val="20"/>
          <w:color w:val="auto"/>
        </w:rPr>
      </w:pPr>
    </w:p>
    <w:p>
      <w:pPr>
        <w:ind w:left="300" w:right="820" w:firstLine="960"/>
        <w:spacing w:after="0" w:line="295" w:lineRule="auto"/>
        <w:rPr>
          <w:sz w:val="20"/>
          <w:szCs w:val="20"/>
          <w:color w:val="auto"/>
        </w:rPr>
      </w:pPr>
      <w:r>
        <w:rPr>
          <w:rFonts w:ascii="Times New Roman" w:cs="Times New Roman" w:eastAsia="Times New Roman" w:hAnsi="Times New Roman"/>
          <w:sz w:val="17"/>
          <w:szCs w:val="17"/>
          <w:color w:val="auto"/>
        </w:rPr>
        <w:t>On July 31, 2019, we acquired a 75% equity interest in ICR Cyprus, whose subsidiaries are currently operating City of Dreams Mediterranean in Limassol and three satellite casinos in Nicosia, Ayia Napa and Paphos.</w:t>
      </w:r>
    </w:p>
    <w:p>
      <w:pPr>
        <w:spacing w:after="0" w:line="147" w:lineRule="exact"/>
        <w:rPr>
          <w:sz w:val="20"/>
          <w:szCs w:val="20"/>
          <w:color w:val="auto"/>
        </w:rPr>
      </w:pPr>
    </w:p>
    <w:p>
      <w:pPr>
        <w:ind w:left="300" w:right="80" w:firstLine="960"/>
        <w:spacing w:after="0" w:line="263" w:lineRule="auto"/>
        <w:rPr>
          <w:sz w:val="20"/>
          <w:szCs w:val="20"/>
          <w:color w:val="auto"/>
        </w:rPr>
      </w:pPr>
      <w:r>
        <w:rPr>
          <w:rFonts w:ascii="Times New Roman" w:cs="Times New Roman" w:eastAsia="Times New Roman" w:hAnsi="Times New Roman"/>
          <w:sz w:val="17"/>
          <w:szCs w:val="17"/>
          <w:color w:val="auto"/>
        </w:rPr>
        <w:t>On May 4, 2022, we were identified as a Commission-Identified Issuer under the Holding Foreign Companies Accountable Act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 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nor at risk of having our securities subject to a trading prohibition under the HFCAA.</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August 2022, we repurchased 9,995,799 ordinary shares and 25,000,000 ADSs from Melco Leisure.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March 2023, we repurchased 40,373,076 ordinary shares from Melco Leisure.</w:t>
      </w:r>
    </w:p>
    <w:p>
      <w:pPr>
        <w:spacing w:after="0" w:line="223" w:lineRule="exact"/>
        <w:rPr>
          <w:sz w:val="20"/>
          <w:szCs w:val="20"/>
          <w:color w:val="auto"/>
        </w:rPr>
      </w:pPr>
    </w:p>
    <w:p>
      <w:pPr>
        <w:ind w:left="300" w:firstLine="960"/>
        <w:spacing w:after="0" w:line="231" w:lineRule="auto"/>
        <w:rPr>
          <w:sz w:val="20"/>
          <w:szCs w:val="20"/>
          <w:color w:val="auto"/>
        </w:rPr>
      </w:pPr>
      <w:r>
        <w:rPr>
          <w:rFonts w:ascii="Times New Roman" w:cs="Times New Roman" w:eastAsia="Times New Roman" w:hAnsi="Times New Roman"/>
          <w:sz w:val="17"/>
          <w:szCs w:val="17"/>
          <w:color w:val="auto"/>
        </w:rPr>
        <w:t>Our principal executive offices are located at 71 Robinson Road, #04-03, Singapore 068895 and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Floor, The Centrium, 60 Wyndham Street, Central, Hong Kong. Our telephone number is 852-2598-3600 and our fax number is 852-2537-3618. Our registered office is located at Intertrust Corporate Services (Cayman) Limited, One Nexus Way, Camana Bay, Grand Cayman KY1-9005, Cayman Islands. Our website is www.melco-resorts.com. The information contained on our website is not part of this annual report on Form 20-F.</w:t>
      </w:r>
    </w:p>
    <w:p>
      <w:pPr>
        <w:spacing w:after="0" w:line="19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SEC maintains an internet site (http://www.sec.gov) that contains reports, proxy and information statements, and other information regarding issuers that file electronically with the SEC.</w:t>
      </w: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We are a developer, owner and operator of integrated resort facilities in Asia and Europe. We currently have three major casino-based operations in Macau, namely, City of Dreams, Altira Macau and Studio City, and non-casino based operations in Macau at our Mocha Clubs. We also have a casino-based operation in the Philippines, City of Dreams Manila. In 2019, we expanded our footprint outside of Asia and into Europe following our acquisition of a 75% equity interest in ICR Cyprus, which owns and operates City of Dreams Mediterranean and three satellite casinos in Cyprus.</w:t>
      </w:r>
    </w:p>
    <w:p>
      <w:pPr>
        <w:spacing w:after="0" w:line="1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920"/>
          </w:cols>
          <w:pgMar w:left="320" w:top="472" w:right="6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00" w:firstLine="960"/>
        <w:spacing w:after="0" w:line="267" w:lineRule="auto"/>
        <w:rPr>
          <w:sz w:val="20"/>
          <w:szCs w:val="20"/>
          <w:color w:val="auto"/>
        </w:rPr>
      </w:pPr>
      <w:r>
        <w:rPr>
          <w:rFonts w:ascii="Times New Roman" w:cs="Times New Roman" w:eastAsia="Times New Roman" w:hAnsi="Times New Roman"/>
          <w:sz w:val="17"/>
          <w:szCs w:val="17"/>
          <w:color w:val="auto"/>
        </w:rPr>
        <w:t>Our current and future operations are designed to cater to a broad spectrum of gaming patrons, from high-stakes rolling chip gaming patrons to gaming patrons seeking a broader entertainment experience. We currently own and operate five Forbes Travel Guide Five-Star hotels in Asia</w:t>
      </w:r>
    </w:p>
    <w:p>
      <w:pPr>
        <w:spacing w:after="0" w:line="1" w:lineRule="exact"/>
        <w:rPr>
          <w:sz w:val="20"/>
          <w:szCs w:val="20"/>
          <w:color w:val="auto"/>
        </w:rPr>
      </w:pPr>
    </w:p>
    <w:p>
      <w:pPr>
        <w:ind w:left="300" w:right="60"/>
        <w:spacing w:after="0" w:line="265" w:lineRule="auto"/>
        <w:rPr>
          <w:sz w:val="20"/>
          <w:szCs w:val="20"/>
          <w:color w:val="auto"/>
        </w:rPr>
      </w:pPr>
      <w:r>
        <w:rPr>
          <w:rFonts w:ascii="Times New Roman" w:cs="Times New Roman" w:eastAsia="Times New Roman" w:hAnsi="Times New Roman"/>
          <w:sz w:val="17"/>
          <w:szCs w:val="17"/>
          <w:color w:val="auto"/>
        </w:rPr>
        <w:t>— Altira Macau, Studio City’s Star Tower, Morpheus and Nüwa in both Macau and Manila — and received 16 Forbes Travel Guide Five-Star and three Forbes Travel Guide Four-Star recognitions across our properties in 2024. We seek to attract patrons throughout Asia, Europe and, in particular, from Greater China.</w:t>
      </w:r>
    </w:p>
    <w:p>
      <w:pPr>
        <w:spacing w:after="0" w:line="171" w:lineRule="exact"/>
        <w:rPr>
          <w:sz w:val="20"/>
          <w:szCs w:val="20"/>
          <w:color w:val="auto"/>
        </w:rPr>
      </w:pPr>
    </w:p>
    <w:p>
      <w:pPr>
        <w:ind w:left="300" w:right="360" w:firstLine="960"/>
        <w:spacing w:after="0" w:line="295" w:lineRule="auto"/>
        <w:rPr>
          <w:sz w:val="20"/>
          <w:szCs w:val="20"/>
          <w:color w:val="auto"/>
        </w:rPr>
      </w:pPr>
      <w:r>
        <w:rPr>
          <w:rFonts w:ascii="Times New Roman" w:cs="Times New Roman" w:eastAsia="Times New Roman" w:hAnsi="Times New Roman"/>
          <w:sz w:val="17"/>
          <w:szCs w:val="17"/>
          <w:color w:val="auto"/>
        </w:rPr>
        <w:t>In the Philippines, Melco Resorts Leisure, a subsidiary of MRP, currently operates and manages City of Dreams Manila, an integrated resort in the Entertainment City complex in Manila.</w:t>
      </w:r>
    </w:p>
    <w:p>
      <w:pPr>
        <w:spacing w:after="0" w:line="147" w:lineRule="exact"/>
        <w:rPr>
          <w:sz w:val="20"/>
          <w:szCs w:val="20"/>
          <w:color w:val="auto"/>
        </w:rPr>
      </w:pPr>
    </w:p>
    <w:p>
      <w:pPr>
        <w:ind w:left="300" w:right="660" w:firstLine="960"/>
        <w:spacing w:after="0" w:line="295" w:lineRule="auto"/>
        <w:rPr>
          <w:sz w:val="20"/>
          <w:szCs w:val="20"/>
          <w:color w:val="auto"/>
        </w:rPr>
      </w:pPr>
      <w:r>
        <w:rPr>
          <w:rFonts w:ascii="Times New Roman" w:cs="Times New Roman" w:eastAsia="Times New Roman" w:hAnsi="Times New Roman"/>
          <w:sz w:val="17"/>
          <w:szCs w:val="17"/>
          <w:color w:val="auto"/>
        </w:rPr>
        <w:t>In Cyprus, Integrated Casino Resorts, a wholly-owned subsidiary of ICR Cyprus, currently operates and manages City of Dreams Mediterranean in Limassol and our three satellite casinos in Cyprus.</w:t>
      </w:r>
    </w:p>
    <w:p>
      <w:pPr>
        <w:spacing w:after="0" w:line="147"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have earned multiple international accolades recognizing our excellence in operations, corporate social responsibility and contributions towards sustainability. These awards include:</w:t>
      </w:r>
    </w:p>
    <w:p>
      <w:pPr>
        <w:spacing w:after="0" w:line="55" w:lineRule="exact"/>
        <w:rPr>
          <w:sz w:val="20"/>
          <w:szCs w:val="20"/>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Overall CSR Program” at the IAG Academy IR Awards 2023,</w:t>
      </w:r>
    </w:p>
    <w:p>
      <w:pPr>
        <w:spacing w:after="0" w:line="131"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Contribution in Corporate Social Responsibility” and “Best Responsible Gaming Program” at the Asia Gaming Awards 2023,</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Social Responsibility Award of the Year” at the Global Gaming Awards Asia for the second consecutive year in 2023,</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Excellence in Practice Award” by The Association for Talent Development (ATD) in the “Career Development” category for the Company’s “Foundation Accelerated Program”,</w:t>
      </w:r>
    </w:p>
    <w:p>
      <w:pPr>
        <w:spacing w:after="0" w:line="53" w:lineRule="exact"/>
        <w:rPr>
          <w:rFonts w:ascii="Times New Roman" w:cs="Times New Roman" w:eastAsia="Times New Roman" w:hAnsi="Times New Roman"/>
          <w:sz w:val="17"/>
          <w:szCs w:val="17"/>
          <w:color w:val="auto"/>
        </w:rPr>
      </w:pPr>
    </w:p>
    <w:p>
      <w:pPr>
        <w:ind w:left="1240" w:right="240" w:hanging="530"/>
        <w:spacing w:after="0" w:line="212"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“Best Environmental Responsibility” at the Asian Excellence Awards by </w:t>
      </w:r>
      <w:r>
        <w:rPr>
          <w:rFonts w:ascii="Times New Roman" w:cs="Times New Roman" w:eastAsia="Times New Roman" w:hAnsi="Times New Roman"/>
          <w:sz w:val="17"/>
          <w:szCs w:val="17"/>
          <w:i w:val="1"/>
          <w:iCs w:val="1"/>
          <w:color w:val="auto"/>
        </w:rPr>
        <w:t>Corporate Governance Asia</w:t>
      </w:r>
      <w:r>
        <w:rPr>
          <w:rFonts w:ascii="Times New Roman" w:cs="Times New Roman" w:eastAsia="Times New Roman" w:hAnsi="Times New Roman"/>
          <w:sz w:val="17"/>
          <w:szCs w:val="17"/>
          <w:color w:val="auto"/>
        </w:rPr>
        <w:t xml:space="preserve"> magazine for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2023,</w:t>
      </w:r>
    </w:p>
    <w:p>
      <w:pPr>
        <w:spacing w:after="0" w:line="101" w:lineRule="exact"/>
        <w:rPr>
          <w:rFonts w:ascii="Times New Roman" w:cs="Times New Roman" w:eastAsia="Times New Roman" w:hAnsi="Times New Roman"/>
          <w:sz w:val="17"/>
          <w:szCs w:val="17"/>
          <w:color w:val="auto"/>
        </w:rPr>
      </w:pPr>
    </w:p>
    <w:p>
      <w:pPr>
        <w:ind w:left="1240" w:right="480" w:hanging="530"/>
        <w:spacing w:after="0" w:line="211"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named among the Top 10 most sustainable hospitality companies in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7"/>
          <w:szCs w:val="17"/>
          <w:color w:val="auto"/>
        </w:rPr>
        <w:t xml:space="preserve"> Greater China Hotel Business Sustainability Index launched by CUHK Business School’s Centre for Business Sustainability in 2023,</w:t>
      </w:r>
    </w:p>
    <w:p>
      <w:pPr>
        <w:spacing w:after="0" w:line="10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“Sustainability Award” at the International Gaming Awards in 2022,</w:t>
      </w:r>
    </w:p>
    <w:p>
      <w:pPr>
        <w:spacing w:after="0" w:line="131" w:lineRule="exact"/>
        <w:rPr>
          <w:rFonts w:ascii="Times New Roman" w:cs="Times New Roman" w:eastAsia="Times New Roman" w:hAnsi="Times New Roman"/>
          <w:sz w:val="17"/>
          <w:szCs w:val="17"/>
          <w:color w:val="auto"/>
        </w:rPr>
      </w:pPr>
    </w:p>
    <w:p>
      <w:pPr>
        <w:ind w:left="1240" w:right="220" w:hanging="530"/>
        <w:spacing w:after="0" w:line="29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training program “Morpheus Moments – Whatever It Takes, Whenever, However” was granted the “2022 Excellence in Practice Award” by The Association for Talent Development (ATD) in the “Customer Service Training” category,</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“Sustainable Resort of the Year” at the International Gaming Awards in 2021,</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Initiative” at the Pacific Asia Travel Association (PATA) Gold Awards in 2021,</w:t>
      </w:r>
    </w:p>
    <w:p>
      <w:pPr>
        <w:spacing w:after="0" w:line="129"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“Asia’s Best CSR” at the Asian Excellence Awards by </w:t>
      </w:r>
      <w:r>
        <w:rPr>
          <w:rFonts w:ascii="Times New Roman" w:cs="Times New Roman" w:eastAsia="Times New Roman" w:hAnsi="Times New Roman"/>
          <w:sz w:val="17"/>
          <w:szCs w:val="17"/>
          <w:i w:val="1"/>
          <w:iCs w:val="1"/>
          <w:color w:val="auto"/>
        </w:rPr>
        <w:t>Corporate Governance Asia</w:t>
      </w:r>
      <w:r>
        <w:rPr>
          <w:rFonts w:ascii="Times New Roman" w:cs="Times New Roman" w:eastAsia="Times New Roman" w:hAnsi="Times New Roman"/>
          <w:sz w:val="17"/>
          <w:szCs w:val="17"/>
          <w:color w:val="auto"/>
        </w:rPr>
        <w:t xml:space="preserve"> magazine for the second consecutive year in 2021,</w:t>
      </w:r>
    </w:p>
    <w:p>
      <w:pPr>
        <w:spacing w:after="0" w:line="13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HR Asia Most Caring Companies Award” in 2021,</w:t>
      </w:r>
    </w:p>
    <w:p>
      <w:pPr>
        <w:spacing w:after="0" w:line="4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“Best Companies to Work for in Asia” by </w:t>
      </w:r>
      <w:r>
        <w:rPr>
          <w:rFonts w:ascii="Times New Roman" w:cs="Times New Roman" w:eastAsia="Times New Roman" w:hAnsi="Times New Roman"/>
          <w:sz w:val="17"/>
          <w:szCs w:val="17"/>
          <w:i w:val="1"/>
          <w:iCs w:val="1"/>
          <w:color w:val="auto"/>
        </w:rPr>
        <w:t>HR Asia</w:t>
      </w:r>
      <w:r>
        <w:rPr>
          <w:rFonts w:ascii="Times New Roman" w:cs="Times New Roman" w:eastAsia="Times New Roman" w:hAnsi="Times New Roman"/>
          <w:sz w:val="17"/>
          <w:szCs w:val="17"/>
          <w:color w:val="auto"/>
        </w:rPr>
        <w:t xml:space="preserve"> magazine for the third consecutive year in 2021, and</w:t>
      </w:r>
    </w:p>
    <w:p>
      <w:pPr>
        <w:spacing w:after="0" w:line="111" w:lineRule="exact"/>
        <w:rPr>
          <w:rFonts w:ascii="Times New Roman" w:cs="Times New Roman" w:eastAsia="Times New Roman" w:hAnsi="Times New Roman"/>
          <w:sz w:val="17"/>
          <w:szCs w:val="17"/>
          <w:color w:val="auto"/>
        </w:rPr>
      </w:pPr>
    </w:p>
    <w:p>
      <w:pPr>
        <w:ind w:left="1240" w:right="180" w:hanging="530"/>
        <w:spacing w:after="0" w:line="269"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RG Check certifications for our entire global portfolio, including Altira Macau, City of Dreams, Studio City, City of Dreams Manila and the Cyprus Casinos in 2021, making us the first and only operator globally to receive RG Check certifications for its entire portfolio. Developed by the Responsible Gambling Council, RG Check is the world’s gold standard and most comprehensive responsible gaming accreditation program established and implemented by an independent panel of respected gaming specialists.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940"/>
          </w:cols>
          <w:pgMar w:left="320" w:top="472"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We generated a significant majority of our total revenues for each of the years ended December 31, 2023, 2022 and 2021 from our operations in Macau, the principal market in which we compete. For further information on the Macau gaming market, see “— Market and Competition — Macau Gaming Market.”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Major Existing Operations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w:t>
      </w:r>
    </w:p>
    <w:p>
      <w:pPr>
        <w:spacing w:after="0" w:line="12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City of Dreams is an integrated resort in Cotai, Macau, which opened in June 2009. City of Dreams is a premium-focused property, targeting high-end customers and rolling chip patrons from regional markets across Asia. City of Dreams had an average of approximately 430 gaming tables and approximately 628 gaming machines in 2023, compared to an average of approximately 447 gaming tables and approximately 677 gaming machines in 2022 and an average of approximately 511 gaming tables and approximately 572 gaming machines in 2021.</w:t>
      </w:r>
    </w:p>
    <w:p>
      <w:pPr>
        <w:spacing w:after="0" w:line="169" w:lineRule="exact"/>
        <w:rPr>
          <w:sz w:val="20"/>
          <w:szCs w:val="20"/>
          <w:color w:val="auto"/>
        </w:rPr>
      </w:pPr>
    </w:p>
    <w:p>
      <w:pPr>
        <w:ind w:left="300" w:right="140" w:firstLine="960"/>
        <w:spacing w:after="0" w:line="261" w:lineRule="auto"/>
        <w:rPr>
          <w:sz w:val="20"/>
          <w:szCs w:val="20"/>
          <w:color w:val="auto"/>
        </w:rPr>
      </w:pPr>
      <w:r>
        <w:rPr>
          <w:rFonts w:ascii="Times New Roman" w:cs="Times New Roman" w:eastAsia="Times New Roman" w:hAnsi="Times New Roman"/>
          <w:sz w:val="17"/>
          <w:szCs w:val="17"/>
          <w:color w:val="auto"/>
        </w:rPr>
        <w:t>The resort brings together a collection of brands to create an experience that appeals to a broad spectrum of visitors from around Asia. Morpheus offers approximately 783 rooms, suites and villas. Nüwa, which was under renovation since early 2020 and re-opened at the end of March 2021 offers approximately 286 guest rooms and the Grand Hyatt Macau hotel offers approximately 763 guest rooms. The Countdown is expected to undergo renovations as part of its rebranding. In addition, City of Dreams includes approximately 41 restaurants and bars, approximately 162 retail outlets, a wet stage performance theater, recreation and leisure facilities, including health and fitness clubs, swimming pools, spas and salons and banquet and meeting facilities. The Para nightclub offers approximately 2,232 square meters (equivalent to approximately 24,025 square feet) of live entertainment space. SOHO, a lifestyle entertainment and dining precinct located on the second floor of City of Dreams, offers customers a wide selection of food and beverage and other non-gaming offerings. The wet stage performance theater with approximately 2,000 seats features The House of Dancing Water (temporarily closed since June 2020) is expected to re-open in late 2024.</w:t>
      </w:r>
    </w:p>
    <w:p>
      <w:pPr>
        <w:spacing w:after="0" w:line="178"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City of Dreams has garnered numerous awards in recognition of its high level of customer service and diverse range of entertainment experiences. Below are some of these accolades:</w:t>
      </w:r>
    </w:p>
    <w:p>
      <w:pPr>
        <w:spacing w:after="0" w:line="55" w:lineRule="exact"/>
        <w:rPr>
          <w:sz w:val="20"/>
          <w:szCs w:val="20"/>
          <w:color w:val="auto"/>
        </w:rPr>
      </w:pPr>
    </w:p>
    <w:p>
      <w:pPr>
        <w:ind w:left="1240" w:right="340" w:hanging="530"/>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Morpheus and its spa were recognized by Forbes Travel Guide with Five-Star recognition for the fifth consecutive year in 2024. Other accolades garnered by Morpheus include:</w:t>
      </w:r>
    </w:p>
    <w:p>
      <w:pPr>
        <w:spacing w:after="0" w:line="55"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listed among the World’s Most Beautiful Hotels by the Prix Versailles in 2023, and</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Top 10% worldwide hotels for 2021 Travelers’ Choice Award by Tripadvisor.</w:t>
      </w:r>
    </w:p>
    <w:p>
      <w:pPr>
        <w:spacing w:after="0" w:line="131" w:lineRule="exact"/>
        <w:rPr>
          <w:rFonts w:ascii="Times New Roman" w:cs="Times New Roman" w:eastAsia="Times New Roman" w:hAnsi="Times New Roman"/>
          <w:sz w:val="17"/>
          <w:szCs w:val="17"/>
          <w:color w:val="auto"/>
        </w:rPr>
      </w:pPr>
    </w:p>
    <w:p>
      <w:pPr>
        <w:ind w:left="1240" w:right="1420" w:hanging="530"/>
        <w:spacing w:after="0" w:line="223"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was recognized as a Forbes Travel Guide Five-Star hotel for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2024, while its spa was awarded Forbes Travel Guide Five-Star recognition for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w:t>
      </w:r>
    </w:p>
    <w:p>
      <w:pPr>
        <w:jc w:val="both"/>
        <w:ind w:left="1240" w:right="100" w:hanging="530"/>
        <w:spacing w:after="0" w:line="217"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Cantonese culinary masterpiece Jade Dragon was awarded Forbes Travel Guide Five-Star recognition for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2024. It maintained its three-star MICHELIN rating for the sixth consecutive year in the MICHELIN Guide Hong Kong Macau 2024 and received Three Diamonds in the Black Pearl Restaurant Guide 2024 for the fifth consecutive year,</w:t>
      </w:r>
    </w:p>
    <w:p>
      <w:pPr>
        <w:spacing w:after="0" w:line="10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ultimate French culinary experience provided by Alain Ducasse at Morpheus enabled it to receive Forbes Travel Guide Five-Star recognition for the fifth year in 2024. It attained two MICHELIN stars in the MICHELIN Guide Hong Kong Macau 2024 for the sixth year running and was honored with One Diamond in its Black Pearl Restaurant Guide debut in 2024, and</w:t>
      </w:r>
    </w:p>
    <w:p>
      <w:pPr>
        <w:spacing w:after="0" w:line="70"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 at Morpheus was honored with Forbes Travel Guide Five-Star recognition for the fifth year in 2024. It received One Diamond in the Black Pearl Restaurant Guide 2024 for the fifth consecutive year and was recommended by MICHELIN Guide Hong Kong Macau 2024.</w:t>
      </w:r>
    </w:p>
    <w:p>
      <w:pPr>
        <w:spacing w:after="0" w:line="42"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Dancing Water Theater, a wet stage performance theater with approximately 2,000 seats, features the internationally acclaimed and award-winning water-based extravaganza, The House of Dancing Water. The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940"/>
          </w:cols>
          <w:pgMar w:left="320" w:top="472"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8" w:lineRule="auto"/>
        <w:rPr>
          <w:sz w:val="20"/>
          <w:szCs w:val="20"/>
          <w:color w:val="auto"/>
        </w:rPr>
      </w:pPr>
      <w:r>
        <w:rPr>
          <w:rFonts w:ascii="Times New Roman" w:cs="Times New Roman" w:eastAsia="Times New Roman" w:hAnsi="Times New Roman"/>
          <w:sz w:val="17"/>
          <w:szCs w:val="17"/>
          <w:color w:val="auto"/>
        </w:rPr>
        <w:t>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The House of Dancing Water incorporates costumes, sets and audio-visual special effects and showcases an international cast of performance artists. The House of Dancing Water has been temporarily closed since June 2020 and is expected to re-open in late 2024.</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Altira Macau</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Since the third quarter of 2021, Altira Macau has strategically repositioned to cater to the premium mass and mass segments and has shut down VIP rolling chip operations. Prior to that, Altira Macau was designed to provide a casino and hotel experience that catered to Asian rolling chip customers. Altira Macau had an average of approximately 44 gaming tables and 141 gaming machines operated under the brand Mocha at Altira Macau in 2023, compared to an average of approximately 93 gaming tables and 146 gaming machines operated under the brand Mocha at Altira Macau in 2022 and an average of approximately 101 gaming tables and 121 gaming machines operated under the brand Mocha at Altira Macau in 2021. Altira Macau has a multi-floor layout comprising various gaming areas. Our multi-floor layout allows us the flexibility to reconfigure Altira Macau’s gaming areas to meet the changing demands of our patrons and target specific customer segments.</w:t>
      </w:r>
    </w:p>
    <w:p>
      <w:pPr>
        <w:spacing w:after="0" w:line="173"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We consider Altira hotel, located within the 38-story Altira Macau, to be one of the leading hotels in Macau as evidenced by its long-standing Forbes Travel Guide Five-Star recognition. The top floor of the Altira hotel serves as the hotel lobby and reception area, providing guests with views of the surrounding area. The Altira hotel comprises approximately 216 guest rooms, including suites and villas, as of December 31, 2023.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w:t>
      </w:r>
    </w:p>
    <w:p>
      <w:pPr>
        <w:spacing w:after="0" w:line="384"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Altira Macau offers a luxurious hotel experience with its internationally acclaimed accommodation and guest services. Below are some of the awards Altira Macau has received:</w:t>
      </w:r>
    </w:p>
    <w:p>
      <w:pPr>
        <w:spacing w:after="0" w:line="55" w:lineRule="exact"/>
        <w:rPr>
          <w:sz w:val="20"/>
          <w:szCs w:val="20"/>
          <w:color w:val="auto"/>
        </w:rPr>
      </w:pPr>
    </w:p>
    <w:p>
      <w:pPr>
        <w:ind w:left="1240" w:hanging="530"/>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Forbes Travel Guide Five-Star recognition in lodging and spa categories by Forbes Travel Guide for 15 consecutive years in 2024,</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Japanese tempura specialist Tenmasa received Forbes Travel Guide Five-Star recognition for the tenth consecutive year in 2024,</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Cantonese restaurant Ying was honored with the Forbes Travel Guide Five-Star recognition for the fifth consecutive year in 2024 and was awarded a MICHELIN star in the MICHELIN Guide Hong Kong Macau 2024 for the eighth consecutive year,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Italian restaurant Aurora earned Forbes Travel Guide Five-Star recognition for the tenth consecutive year in 2023.</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Studio City is a large-scale cinematically-themed integrated resort which opened in October 2015. The gaming operations of Studio City are focused on the mass market and target all ranges of mass market patrons. The mass market focus of Studio City Casino is currently complemented with VIP rolling chip operations. Melco Resorts Macau currently has 250 gaming tables, including 15 tables for VIP rolling chip operations, and 552 gaming machines available for operation at the Studio City Casino pursuant to the Studio City Casino Agreement. Studio City Casino had an average of approximately 246 gaming tables and 661 gaming machines in operation in 2023, compared to an average of approximately 277 gaming tables and 700 gaming machines in operation in 2022 and an average of approximately 290 gaming tables and 645 gaming machines in operation in 2021.</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920"/>
          </w:cols>
          <w:pgMar w:left="320" w:top="473" w:right="6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Studio City also includes luxury hotel offerings and various entertainment, retail and food and beverage outlets to attract a diverse range of customers. Designed to focus on the mass market segment, Studio City offers cinematically-themed, unique and innovative interactive attractions, including the world’s first figure-8 Ferris wheel, a deluxe night club and karaoke venue, a 5,000-seat multi-purpose live performance arena and a water park with indoor and outdoor areas, as well as approximately 2,493 luxury hotel rooms, various food and beverage outlets and approximately 38,500 square meters of themed and complementary retail space.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Studio City has received numerous awards, including:</w:t>
      </w:r>
    </w:p>
    <w:p>
      <w:pPr>
        <w:spacing w:after="0" w:line="131" w:lineRule="exact"/>
        <w:rPr>
          <w:sz w:val="20"/>
          <w:szCs w:val="20"/>
          <w:color w:val="auto"/>
        </w:rPr>
      </w:pPr>
    </w:p>
    <w:p>
      <w:pPr>
        <w:ind w:left="1240" w:hanging="530"/>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City’s Star Tower received the Forbes Travel Guide Five-Star recognition for the seventh consecutive year in 2024,</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Zensa Spa was awarded the Forbes Travel Guide Five-Star recognition for the sixth time in 2024,</w:t>
      </w:r>
    </w:p>
    <w:p>
      <w:pPr>
        <w:spacing w:after="0" w:line="131" w:lineRule="exact"/>
        <w:rPr>
          <w:rFonts w:ascii="Times New Roman" w:cs="Times New Roman" w:eastAsia="Times New Roman" w:hAnsi="Times New Roman"/>
          <w:sz w:val="17"/>
          <w:szCs w:val="17"/>
          <w:color w:val="auto"/>
        </w:rPr>
      </w:pPr>
    </w:p>
    <w:p>
      <w:pPr>
        <w:ind w:left="1240" w:right="300" w:hanging="530"/>
        <w:spacing w:after="0" w:line="276"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signature Cantonese restaurant Pearl Dragon received its sixth Forbes Travel Guide Five-Star recognition in 2024, received one-MICHELIN-starred establishment rank for the eighth consecutive year in the MICHELIN Guide Hong Kong Macau 2024 and was honored with the “Best Chinese Cuisine in Asia – Excellence Award” by 2022 Haute Grandeur Global Restaurant Awards,</w:t>
      </w:r>
    </w:p>
    <w:p>
      <w:pPr>
        <w:spacing w:after="0" w:line="70" w:lineRule="exact"/>
        <w:rPr>
          <w:rFonts w:ascii="Times New Roman" w:cs="Times New Roman" w:eastAsia="Times New Roman" w:hAnsi="Times New Roman"/>
          <w:sz w:val="17"/>
          <w:szCs w:val="17"/>
          <w:color w:val="auto"/>
        </w:rPr>
      </w:pPr>
    </w:p>
    <w:p>
      <w:pPr>
        <w:ind w:left="1240" w:right="220" w:hanging="530"/>
        <w:spacing w:after="0" w:line="276"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Water Park was listed among China’s Top 100 Novel Attractions in the 2023 Global Travel Play Book released by the China Tourism Academy and Mafengwo, and also received the “World Waterpark Association (“WWA”) Leading Edge Award” for its indoor water park in 2023 and the “WWA Leading Edge Award” for its outdoor water park in 2021, and</w:t>
      </w:r>
    </w:p>
    <w:p>
      <w:pPr>
        <w:spacing w:after="0" w:line="70"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Phase 2 received the “Regional Award, Asia” at the 2021 BREEAM Awards which acknowledges the sustainability-related measures implemented during the project, as well as its contribution to the goals of carbon neutrality and zero waste.</w:t>
      </w:r>
    </w:p>
    <w:p>
      <w:pPr>
        <w:spacing w:after="0" w:line="14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its diverse range of gaming and non-gaming offerings, Studio City is strategically located in the Cotai region of Macau.</w:t>
      </w:r>
    </w:p>
    <w:p>
      <w:pPr>
        <w:spacing w:after="0" w:line="223"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Our subsidiary Melco Resorts Macau operates the gaming areas of Studio City pursuant to the Studio City Casino Agreement. Melco Resorts Macau is reimbursed for the costs incurred in connection with its operation of Studio City’s gaming areas.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Mocha Clubs</w:t>
      </w:r>
    </w:p>
    <w:p>
      <w:pPr>
        <w:spacing w:after="0" w:line="12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Mocha Clubs comprise the largest non-casino based operations of electronic gaming machines in Macau. Mocha Clubs had an average of approximately 874 gaming machines in operation (excluding approximately 141 gaming machines at Altira Macau) in 2023, compared to an average of approximately 935 gaming machines in operation (excluding approximately 146 gaming machines at Altira Macau) in 2022 and an average of approximately 813 gaming machines in operation (excluding approximately 121 gaming machines at Altira Macau) in 2021. According to the DICJ, there were a total of 12,000 slot machines in the Macau market as of December 31, 2023. Mocha Clubs focus on general mass market</w:t>
      </w:r>
    </w:p>
    <w:p>
      <w:pPr>
        <w:spacing w:after="0" w:line="1" w:lineRule="exact"/>
        <w:rPr>
          <w:sz w:val="20"/>
          <w:szCs w:val="20"/>
          <w:color w:val="auto"/>
        </w:rPr>
      </w:pPr>
    </w:p>
    <w:p>
      <w:pPr>
        <w:ind w:left="300" w:right="1160"/>
        <w:spacing w:after="0" w:line="273" w:lineRule="auto"/>
        <w:rPr>
          <w:sz w:val="20"/>
          <w:szCs w:val="20"/>
          <w:color w:val="auto"/>
        </w:rPr>
      </w:pPr>
      <w:r>
        <w:rPr>
          <w:rFonts w:ascii="Times New Roman" w:cs="Times New Roman" w:eastAsia="Times New Roman" w:hAnsi="Times New Roman"/>
          <w:sz w:val="17"/>
          <w:szCs w:val="17"/>
          <w:color w:val="auto"/>
        </w:rPr>
        <w:t>patrons, including day trip customers, outside the conventional casino setting. We operate Mocha Clubs at leased or sub-leased premises or under right-to-use agreements.</w:t>
      </w:r>
    </w:p>
    <w:p>
      <w:pPr>
        <w:spacing w:after="0" w:line="164"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Mocha Club gaming facilities offer both electronic gaming machines, including stand-alone machines, stand-alone progressive jackpot machines and linked progressive jackpot machines with a variety of games, and electronic table games which feature fully-automated multi-player machines with roulette, baccarat and sic-bo, a traditional Chinese dice game.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960"/>
          </w:cols>
          <w:pgMar w:left="320" w:top="472"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In addition to the Mocha Clubs, we also operate the Grand Dragon Casino, which focuses on mass market table games. We operate Grand Dragon Casino under a right-to-use agreement. Grand Dragon Casino had an average of approximately 17 gaming tables in 2023.</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Manila is one of the leading integrated tourism resorts in the Philippines. The property is located on</w:t>
      </w:r>
    </w:p>
    <w:p>
      <w:pPr>
        <w:spacing w:after="0" w:line="32" w:lineRule="exact"/>
        <w:rPr>
          <w:sz w:val="20"/>
          <w:szCs w:val="20"/>
          <w:color w:val="auto"/>
        </w:rPr>
      </w:pPr>
    </w:p>
    <w:p>
      <w:pPr>
        <w:ind w:left="300" w:right="220"/>
        <w:spacing w:after="0" w:line="262" w:lineRule="auto"/>
        <w:rPr>
          <w:sz w:val="20"/>
          <w:szCs w:val="20"/>
          <w:color w:val="auto"/>
        </w:rPr>
      </w:pPr>
      <w:r>
        <w:rPr>
          <w:rFonts w:ascii="Times New Roman" w:cs="Times New Roman" w:eastAsia="Times New Roman" w:hAnsi="Times New Roman"/>
          <w:sz w:val="17"/>
          <w:szCs w:val="17"/>
          <w:color w:val="auto"/>
        </w:rPr>
        <w:t>an approximately 6.2-hectare site at the gateway of Entertainment City’s Manila Bay area in the city of Paranaque and is part of the Aseana City township development. It is close to Metro Manila’s international airport terminals and central business districts. City of Dreams Manila opened in December 2014 and represented our first entry into an entertainment and gaming market outside of Macau and an incremental source of earnings and cash flow outside of Macau.</w:t>
      </w:r>
    </w:p>
    <w:p>
      <w:pPr>
        <w:spacing w:after="0" w:line="174"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The property’s total gross floor area is approximately 313,000 square meters (equivalent to approximately 3.4 million square feet). We are authorized by PAGCOR to operate up to approximately 2,300 slot machines, 1,200 electronic gaming tables and 380 gaming tables. City of Dreams Manila had an average of approximately 2,297 gaming machines and 267 gaming tables in 2023, compared to an average of approximately 2,266 gaming machines and 274 gaming tables in 2022, and an average of approximately 2,338 gaming machines and 301 gaming tables in 2021.</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City of Dreams Manila has three hotels: Nüwa Manila, Nobu Hotel and Hyatt Regency Manila, City of Dreams Manila, with 939 rooms in aggregate. Exciting entertainment venues characterize the luxurious integrated resort: DreamPlay, the world’s first DreamWorks-inspired family entertainment center, which officially opened in June 2015; and CenterPlay, a lounge at the center of the main gaming floor which features live band performances from late afternoons. City of Dreams Manila also features The Shops at the Boulevard, a spacious retail strip where luxury retail shops that provide a broad range of choices are juxtaposed with exciting food and beverage outlets. Impressive regional and international specialty restaurants and bars, spas, gyms, and a multi-level car park are also available for guests.</w:t>
      </w:r>
    </w:p>
    <w:p>
      <w:pPr>
        <w:spacing w:after="0" w:line="173"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City of Dreams Manila has been recognized for its warm hospitality for its guests, impressive dining options and luxurious spaces. Below are some of the awards City of Dreams Manila has received:</w:t>
      </w:r>
    </w:p>
    <w:p>
      <w:pPr>
        <w:spacing w:after="0" w:line="55" w:lineRule="exact"/>
        <w:rPr>
          <w:sz w:val="20"/>
          <w:szCs w:val="20"/>
          <w:color w:val="auto"/>
        </w:rPr>
      </w:pPr>
    </w:p>
    <w:p>
      <w:pPr>
        <w:ind w:left="1240" w:right="100" w:hanging="530"/>
        <w:spacing w:after="0" w:line="276"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as the “World’s Leading Casino Resort” for the fourth consecutive year and “World’s Leading Fully Integrated Resort” in 2023 in the World Travel Awards. The resort was also awarded “Asia’s Leading Fully Integrated Resort” in 2021 and 2023 and “Asia’s Leading Casino Resort” in 2021 and 2022,</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Manila attained Forbes Travel Guide Five-Star recognition in 2024 for the seventh consecutive year,</w:t>
      </w:r>
    </w:p>
    <w:p>
      <w:pPr>
        <w:spacing w:after="0" w:line="131" w:lineRule="exact"/>
        <w:rPr>
          <w:rFonts w:ascii="Times New Roman" w:cs="Times New Roman" w:eastAsia="Times New Roman" w:hAnsi="Times New Roman"/>
          <w:sz w:val="17"/>
          <w:szCs w:val="17"/>
          <w:color w:val="auto"/>
        </w:rPr>
      </w:pPr>
    </w:p>
    <w:p>
      <w:pPr>
        <w:ind w:left="1240" w:right="32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Hotel, and Hyatt Regency Manila, City of Dreams Manila were awarded with Forbes Travel Guide Four-Star recognition for the seventh and eighth consecutive years, respectively, in 2024,</w:t>
      </w:r>
    </w:p>
    <w:p>
      <w:pPr>
        <w:spacing w:after="0" w:line="55"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Spa had set a milestone as the first and only spa in the Philippines to be awarded Forbes Travel Guide Five-Star for five years in a row in 2024,</w:t>
      </w:r>
    </w:p>
    <w:p>
      <w:pPr>
        <w:spacing w:after="0" w:line="55" w:lineRule="exact"/>
        <w:rPr>
          <w:rFonts w:ascii="Times New Roman" w:cs="Times New Roman" w:eastAsia="Times New Roman" w:hAnsi="Times New Roman"/>
          <w:sz w:val="17"/>
          <w:szCs w:val="17"/>
          <w:color w:val="auto"/>
        </w:rPr>
      </w:pPr>
    </w:p>
    <w:p>
      <w:pPr>
        <w:ind w:left="1240" w:right="66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TripAdvisor’s annual Traveler’s Choice Awards 2023 listed Nüwa Manila for the sixth consecutive year, Nobu Hotel for the sixth consecutive year and Hyatt Regency Manila, City of Dreams for the eighth consecutive year,</w:t>
      </w:r>
    </w:p>
    <w:p>
      <w:pPr>
        <w:spacing w:after="0" w:line="55"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2023 rebranded Tatler Dining Guide, Crystal Dragon, Nobu Manila and Red Ginger maintained their recognition on the list since 2022 with Haliya as a new addition in 2023 among 230 must-try restaurants in the country,</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920"/>
          </w:cols>
          <w:pgMar w:left="320" w:top="472" w:right="6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520" w:hanging="530"/>
        <w:spacing w:after="0" w:line="295"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Spot.ph, the one-stop urban lifestyle guide to the best of Manila, named Haliya as one of the 10 Restaurants in Manila for Regional Filipino Eats in 2023 and in its 50 Great Restaurants List of 2021,</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luxury resort was given the 2022 Forbes Travel Guide “Work Here, Work Happy” accolade,</w:t>
      </w:r>
    </w:p>
    <w:p>
      <w:pPr>
        <w:spacing w:after="0" w:line="131" w:lineRule="exact"/>
        <w:rPr>
          <w:rFonts w:ascii="Times New Roman" w:cs="Times New Roman" w:eastAsia="Times New Roman" w:hAnsi="Times New Roman"/>
          <w:sz w:val="17"/>
          <w:szCs w:val="17"/>
          <w:color w:val="auto"/>
        </w:rPr>
      </w:pPr>
    </w:p>
    <w:p>
      <w:pPr>
        <w:ind w:left="1240" w:hanging="530"/>
        <w:spacing w:after="0" w:line="269"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Manila, Nobu Hotel and Hyatt Regency Manila, City of Dreams Manila were Safety Seal-certified by the Philippines’ Department of Tourism (DOT). They each received a World Travel &amp; Tourism Council (WTTC) SafeTravels Stamp through the DOT. The SafeTravels Stamp is the world’s first safety and hygiene stamp for travelers to recognize businesses that have adopted global health and hygiene standardized protocols,</w:t>
      </w:r>
    </w:p>
    <w:p>
      <w:pPr>
        <w:spacing w:after="0" w:line="77"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Hotel received the Agoda Customer Review Award for the fourth consecutive year in 2022, and Nüwa Manila and Hyatt Regency Manila in 2022,</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Booking.com recognized the three luxury hotels at City of Dreams Manila in its Traveler Review Awards for the second time in 2022,</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Hotels.com recognized Nobu Hotel and Hyatt Regency Manila, City of Dreams Manila with the “Loved by Guests” annual award for the fourth time in 2021, and</w:t>
      </w:r>
    </w:p>
    <w:p>
      <w:pPr>
        <w:spacing w:after="0" w:line="55"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Crystal Dragon restaurant was named among The Top 20 restaurants in the Philippine Tatler’s Best Restaurants Guide four times, among approximately 200 restaurants.</w:t>
      </w:r>
    </w:p>
    <w:p>
      <w:pPr>
        <w:spacing w:after="0" w:line="147" w:lineRule="exact"/>
        <w:rPr>
          <w:sz w:val="20"/>
          <w:szCs w:val="20"/>
          <w:color w:val="auto"/>
        </w:rPr>
      </w:pPr>
    </w:p>
    <w:p>
      <w:pPr>
        <w:ind w:left="300" w:right="660" w:firstLine="960"/>
        <w:spacing w:after="0" w:line="295" w:lineRule="auto"/>
        <w:rPr>
          <w:sz w:val="20"/>
          <w:szCs w:val="20"/>
          <w:color w:val="auto"/>
        </w:rPr>
      </w:pPr>
      <w:r>
        <w:rPr>
          <w:rFonts w:ascii="Times New Roman" w:cs="Times New Roman" w:eastAsia="Times New Roman" w:hAnsi="Times New Roman"/>
          <w:sz w:val="17"/>
          <w:szCs w:val="17"/>
          <w:color w:val="auto"/>
        </w:rPr>
        <w:t>The integrated resort is also acclaimed for its contributions towards sustainability and talent development. Below are some of the recognitions received:</w:t>
      </w:r>
    </w:p>
    <w:p>
      <w:pPr>
        <w:spacing w:after="0" w:line="55" w:lineRule="exact"/>
        <w:rPr>
          <w:sz w:val="20"/>
          <w:szCs w:val="20"/>
          <w:color w:val="auto"/>
        </w:rPr>
      </w:pPr>
    </w:p>
    <w:p>
      <w:pPr>
        <w:ind w:left="1240" w:right="20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of only three global Finalists in the inaugural 2023 Responsible Hospitality Award in the annual Best of the Year Awards of Forbes Travel Guide,</w:t>
      </w:r>
    </w:p>
    <w:p>
      <w:pPr>
        <w:spacing w:after="0" w:line="55"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Manila, Nobu Hotel, and Hyatt Regency Manila, City of Dreams were recognized with the 2022-2024 ASEAN Green Hotel Award in the ASEAN Tourism Forum by the various tourism organizations in the region,</w:t>
      </w:r>
    </w:p>
    <w:p>
      <w:pPr>
        <w:spacing w:after="0" w:line="55"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Manila was recognized by Manila Bulletin among 15 awardees in the country for notable green practices, at the national publication’s First Sustainability Forum in November 2022, and</w:t>
      </w:r>
    </w:p>
    <w:p>
      <w:pPr>
        <w:spacing w:after="0" w:line="55" w:lineRule="exact"/>
        <w:rPr>
          <w:rFonts w:ascii="Times New Roman" w:cs="Times New Roman" w:eastAsia="Times New Roman" w:hAnsi="Times New Roman"/>
          <w:sz w:val="17"/>
          <w:szCs w:val="17"/>
          <w:color w:val="auto"/>
        </w:rPr>
      </w:pPr>
    </w:p>
    <w:p>
      <w:pPr>
        <w:jc w:val="both"/>
        <w:ind w:left="1240" w:right="140" w:hanging="530"/>
        <w:spacing w:after="0" w:line="276"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Manila was conferred with various distinctions for exemplary performance by the Parañaque City government and in the civic, media and business circles for its contributions to business, creation of jobs, promotion of Philippine tourism and its sustainability efforts.</w:t>
      </w:r>
    </w:p>
    <w:p>
      <w:pPr>
        <w:spacing w:after="0" w:line="162"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Melco Resorts Leisure operates the casino business of City of Dreams Manila in accordance with the terms of the Philippine License and the operating agreement between Melco Resorts Leisure and the Philippine Parties dated March 13, 2013. Under the operating agreement, PremiumLeisure and Amusement, Inc. (a member of the Philippine Parties) has the right to receive monthly payments from Melco Resorts Leisure, based on the performance of gaming operations of City of Dreams Manila, and Melco Resorts Leisure has the right to retain all</w:t>
      </w:r>
    </w:p>
    <w:p>
      <w:pPr>
        <w:spacing w:after="0" w:line="1" w:lineRule="exact"/>
        <w:rPr>
          <w:sz w:val="20"/>
          <w:szCs w:val="20"/>
          <w:color w:val="auto"/>
        </w:rPr>
      </w:pPr>
    </w:p>
    <w:p>
      <w:pPr>
        <w:ind w:left="300" w:right="40"/>
        <w:spacing w:after="0" w:line="265" w:lineRule="auto"/>
        <w:rPr>
          <w:sz w:val="20"/>
          <w:szCs w:val="20"/>
          <w:color w:val="auto"/>
        </w:rPr>
      </w:pPr>
      <w:r>
        <w:rPr>
          <w:rFonts w:ascii="Times New Roman" w:cs="Times New Roman" w:eastAsia="Times New Roman" w:hAnsi="Times New Roman"/>
          <w:sz w:val="17"/>
          <w:szCs w:val="17"/>
          <w:color w:val="auto"/>
        </w:rPr>
        <w:t>revenues from non-gaming operations of City of Dreams Manila. The operating agreement was amended on March 22, 2021 where the monthly payments paid or payable by Melco Resorts Leisure from 2019 to 2022 have been adjusted to recognize the suspension of operations of City of Dreams Manila in 2020 due to COVID-19 outbreaks and the related disruptions to its operations since COVID-19 outbreaks.</w:t>
      </w:r>
    </w:p>
    <w:p>
      <w:pPr>
        <w:spacing w:after="0" w:line="171" w:lineRule="exact"/>
        <w:rPr>
          <w:sz w:val="20"/>
          <w:szCs w:val="20"/>
          <w:color w:val="auto"/>
        </w:rPr>
      </w:pPr>
    </w:p>
    <w:p>
      <w:pPr>
        <w:jc w:val="both"/>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Having met the minimum investment levels and other requirements under our Provisional License, the Philippine License dated April 29, 2015 was issued by PAGCOR to the Philippine Licensees. The Philippine License has the same terms and conditions as the Provisional License and is valid until July 11, 2033.</w:t>
      </w:r>
    </w:p>
    <w:p>
      <w:pPr>
        <w:spacing w:after="0" w:line="162"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For a breakdown of total revenues by category of activity and geographic market for each of the last three financial years, see “Item 5. Operating and Financial Review and Prospects — A. Operating Results.”</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900"/>
          </w:cols>
          <w:pgMar w:left="320" w:top="472" w:right="6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Mediterranean and Other</w:t>
      </w:r>
    </w:p>
    <w:p>
      <w:pPr>
        <w:spacing w:after="0" w:line="122"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City of Dreams Mediterranean is a large premier destination resort located in Limassol, Cyprus. It features a fourteen-story luxury hotel with 500 guest rooms and suites, over 8,000 square meters of MICE space, an outdoor amphitheater, a family adventure park, and a variety of premium dining outlets and luxury retail. The total gross floor area of City of Dreams Mediterranean is approximately 86,000 square meters (equivalent to approximately 925,700 square feet). In addition, we currently operate three satellite casinos in Nicosia, Ayia Napa and Paphos in Cyprus in conjunction with City of Dreams Mediterranean.</w:t>
      </w:r>
    </w:p>
    <w:p>
      <w:pPr>
        <w:spacing w:after="0" w:line="171"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Under the terms of the Cyprus License, we have been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on June 26, 2017 and with the right for exclusivity in Cyprus for the first 15 years of the term. We ceased operations of the temporary casino in June 2023 and City of Dreams Mediterranean opened to the public in July 2023. The operations of the temporary casino in Limassol and all the Cyprus Casinos were closed from January 1, 2021 to May 16, 2021 due to the government-imposed COVID-19 restrictions. In 2023, our facilities in Cyprus had an average of approximately 35 gaming tables and 453 gaming machines before the closure of the temporary casino and the City of Dreams Mediterranean opening. With the increased offering following the resort opening, our facilities in Cyprus had an average of approximately 103 gaming tables and 902 gaming machines, with an average of approximately 99 gaming tables and 744 gaming machines being operated under City of Dreams Mediterranean in the second half of 2023. This is compared to an average of approximately 35 gaming tables and 454 gaming machines in 2022, and an average of approximately 32 gaming tables and 440 gaming machines in 2021.</w:t>
      </w:r>
    </w:p>
    <w:p>
      <w:pPr>
        <w:spacing w:after="0" w:line="391"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We acquired a 75% equity interest in ICR Cyprus from Melco International, our parent company, in July 2019. The remaining 25% equity interest in ICR Cyprus is owned by The Cyprus Phassouri (Zakaki) Limited. On July 31, 2019, we entered into a shareholders’ agreement with The Cyprus Phassouri (Zakaki) Limited regarding certain commercial and financial arrangements pursuant to which we will, as more fully set out in additional management and service contracts, (i) provide certain corporate-level management services to ICR Cyprus and its subsidiaries for a fixed amount of EUR2 million (equivalent to approximately US$2.2 million) per annum and (ii) have the right to receive an allotment of preference shares in the gaming license-holding subsidiary of ICR Cyprus which will provide the right to a preferential dividend, among other terms.</w:t>
      </w:r>
    </w:p>
    <w:p>
      <w:pPr>
        <w:spacing w:after="0" w:line="173"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In recognition of our continuous efforts in human resources management, we were honored with the Silver Awards for the categories of “Most Effective Recruitment Strategy” and “Best CSR Initiative with Employees’ Involvement,” and the Bronze Award for “HR Corporate Event of the Year” at the Cyprus HR Awards 2021. City of Dreams Mediterranean was also named “Best New Luxury Casino Resort – World” at the 2023 Seven Stars Luxury Hospitality and Lifestyle Awards. It received The European Property Awards 2023 for achievements in three categories, “Best Hotel Architecture Cyprus”, “Best Sustainable Commercial Development Cyprus” and “Best New Hotel Construction &amp; Design Cyprus”, and was named “Best International Sustainable Commercial Development” and “Best Sustainable Commercial Development Europe” at the International Property Awards 2023.</w:t>
      </w: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Development Projects</w:t>
      </w:r>
    </w:p>
    <w:p>
      <w:pPr>
        <w:spacing w:after="0" w:line="120" w:lineRule="exact"/>
        <w:rPr>
          <w:sz w:val="20"/>
          <w:szCs w:val="20"/>
          <w:color w:val="auto"/>
        </w:rPr>
      </w:pPr>
    </w:p>
    <w:p>
      <w:pPr>
        <w:ind w:left="300" w:firstLine="960"/>
        <w:spacing w:after="0" w:line="268" w:lineRule="auto"/>
        <w:rPr>
          <w:sz w:val="20"/>
          <w:szCs w:val="20"/>
          <w:color w:val="auto"/>
        </w:rPr>
      </w:pPr>
      <w:r>
        <w:rPr>
          <w:rFonts w:ascii="Times New Roman" w:cs="Times New Roman" w:eastAsia="Times New Roman" w:hAnsi="Times New Roman"/>
          <w:sz w:val="17"/>
          <w:szCs w:val="17"/>
          <w:color w:val="auto"/>
        </w:rPr>
        <w:t>We continually seek new opportunities for additional gaming or related businesses in Macau and in other countries and will continue to target the development of a project pipeline in order to expand our footprint in countries which offer legalized casino gaming.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920"/>
          </w:cols>
          <w:pgMar w:left="320" w:top="472" w:right="6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Land and Premises</w:t>
      </w:r>
    </w:p>
    <w:p>
      <w:pPr>
        <w:spacing w:after="0" w:line="120" w:lineRule="exact"/>
        <w:rPr>
          <w:sz w:val="20"/>
          <w:szCs w:val="20"/>
          <w:color w:val="auto"/>
        </w:rPr>
      </w:pPr>
    </w:p>
    <w:p>
      <w:pPr>
        <w:ind w:left="300" w:right="180" w:firstLine="960"/>
        <w:spacing w:after="0" w:line="264" w:lineRule="auto"/>
        <w:rPr>
          <w:sz w:val="20"/>
          <w:szCs w:val="20"/>
          <w:color w:val="auto"/>
        </w:rPr>
      </w:pPr>
      <w:r>
        <w:rPr>
          <w:rFonts w:ascii="Times New Roman" w:cs="Times New Roman" w:eastAsia="Times New Roman" w:hAnsi="Times New Roman"/>
          <w:sz w:val="17"/>
          <w:szCs w:val="17"/>
          <w:color w:val="auto"/>
        </w:rPr>
        <w:t>We operate our gaming business at the properties leased from the Macau government in accordance with the terms and conditions of our gaming concession, or, with respect to the Mocha Clubs and Grand Dragon Casino, in third party-owned properties. In addition, our existing operating properties and development projects in Macau are subject to the terms and conditions of land concession contracts. See “— Regulations — Macau Regulations — Land Regulations.” Through MRP, we also operate our gaming business in the Philippines through the Philippine License issued by PAGCOR on a property which Melco Resorts Leisure leases from Belle Corporation under the Lease Agreement. In Cyprus, we operate our gaming business at a site owned by us at Zakaki in western Limassol and three satellite casinos at our leased premises pursuant to the Cyprus License.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City of Dreams is located in Cotai, Macau, with a land area of 113,325 square meters (equivalent to approximately 1.2 million square feet). In August 2008, the Macau government granted the land on which City of Dreams is located to COD Resorts and Melco Resorts Macau for a period of 25 years, renewable for further consecutive periods of ten years, subject to applicable legislation in Macau. Total land premium required for the land is in the amount of approximately MOP1,286.6 million (equivalent to approximately US$160 million), which was paid in full in January 2016. As of December 31, 2023, the total gross floor area at City of Dreams is 641,431.70 square meters (equivalent to approximately 6.9 million square feet), of which approximately 31,227.3 square meters, or 4.87% comprises gaming and gaming support area and is owned by the Macau SAR. Effective January 1, 2023, the Macau government has transferred this area to us for usage in our operations during the duration of the Concession Contract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w:t>
      </w:r>
    </w:p>
    <w:p>
      <w:pPr>
        <w:spacing w:after="0" w:line="174"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Under the current terms of the land concession, the annual land use fees payable to the Macau government range from approximately MOP3.4 million (equivalent to approximately US$0.4 million) during development up to approximately MOP9.9 million (equivalent to approximately US$1.2 million) after completion of development. The land use fee amounts may be adjusted every five years as agreed between the Macau government and the land concessionaire using the applicable rates in effect at the time of the rent adjustment.</w:t>
      </w:r>
    </w:p>
    <w:p>
      <w:pPr>
        <w:spacing w:after="0" w:line="169"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by the City of Dreams casino on or before December 31, 2022 is owned by the Macau SAR and has been transferred to us and held for use at City of Dreams during the duration of the Concession Contract, including the main gaming equipment to support our table games and gaming machine operations, cage equipment, security and surveillance equipment, casino fittings and equipment. We own the remaining gaming and gaming support equipment utilized by the City of Dreams casino and equipment utilized in the hotels at City of Dreams.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Altira Macau</w:t>
      </w:r>
    </w:p>
    <w:p>
      <w:pPr>
        <w:spacing w:after="0" w:line="12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Altira Macau is located in Taipa, Macau with a land area of approximately 5,230 square meters (equivalent to approximately 56,295 square feet). In March 2006, Macau government granted the land on which the Altira is built to Altira Resorts for 25 years, renewable for further consecutive periods of ten years, subject to applicable legislation in Macau. The land grant was amended in December 2013. As of December 31, 2023, the total gross floor area of Altira Macau is approximately 104,583.39 square meters (equivalent to approximately 1.1 million square feet), of which approximately 17,128.8 square meters or 16.38% comprises the gaming and gaming support area and is owned by the Macau SAR. Effective from January 1, 2023, the Macau government has transferred this area to us for usage in our operations during the duration of the Concession Contract for the same fee set for the usage of the City of Dreams casino. Total land premium required is in the amount of MOP169.3</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960"/>
          </w:cols>
          <w:pgMar w:left="320" w:top="472" w:right="6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color w:val="auto"/>
        </w:rPr>
        <w:t>million (equivalent to approximately US$21 million) which was paid in full in 2013. According to the current terms of the land concession, the annual land use fees payable to the Macau government are approximately MOP1.5 million (equivalent to approximately US$190,000). This amount may be adjusted every five years as agreed between the Macau government and the land concessionaire using the applicable rates in effect at the time of the rent adjustment.</w:t>
      </w:r>
    </w:p>
    <w:p>
      <w:pPr>
        <w:spacing w:after="0" w:line="378"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by Altira Macau in the casino on or before December 31, 2022 is owned by the Macau SAR and has been transferred to us for usage in our operations during the duration of the Concession Contract and held for use at Altira Macau, including the main gaming equipment to support our table games and gaming machine operations, cage equipment, security and surveillance equipment and casino fittings and equipment. We own the remaining gaming and gaming support equipment utilized by the Altira casino and equipment utilized at the Altira hotel.</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Mocha Clubs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Mocha Clubs operate at premises with a total floor area of approximately 68,800 square feet at the following locations in Macau as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Mocha Club</w:t>
            </w: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Opening Month</w:t>
            </w:r>
          </w:p>
        </w:tc>
        <w:tc>
          <w:tcPr>
            <w:tcW w:w="46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Total Floor Area</w:t>
            </w:r>
          </w:p>
        </w:tc>
      </w:tr>
      <w:tr>
        <w:trPr>
          <w:trHeight w:val="144"/>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(In square feet)</w:t>
            </w:r>
          </w:p>
        </w:tc>
        <w:tc>
          <w:tcPr>
            <w:tcW w:w="2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Royal</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2003</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G/F and 1/F of Hotel Royal</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13,600</w:t>
            </w:r>
          </w:p>
        </w:tc>
      </w:tr>
      <w:tr>
        <w:trPr>
          <w:trHeight w:val="209"/>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Grand Dragon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2005</w:t>
            </w: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G/F, 1/F and 2/F of Grand Dragon Hotel</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12,700</w:t>
            </w:r>
          </w:p>
        </w:tc>
      </w:tr>
      <w:tr>
        <w:trPr>
          <w:trHeight w:val="209"/>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Sintra</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2005</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G/F and 1/F of Hotel Sintra</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7,800</w:t>
            </w:r>
          </w:p>
        </w:tc>
      </w:tr>
      <w:tr>
        <w:trPr>
          <w:trHeight w:val="209"/>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Golden Dragon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2012</w:t>
            </w: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G/F, 1/F and 2/F of Hotel Golden Dragon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15,700</w:t>
            </w:r>
          </w:p>
        </w:tc>
      </w:tr>
      <w:tr>
        <w:trPr>
          <w:trHeight w:val="209"/>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Inner Harbor</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2013</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Rua Nova do Comércio, n.os 2-12, Macau</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7,300</w:t>
            </w:r>
          </w:p>
        </w:tc>
      </w:tr>
      <w:tr>
        <w:trPr>
          <w:trHeight w:val="191"/>
        </w:trPr>
        <w:tc>
          <w:tcPr>
            <w:tcW w:w="20" w:type="dxa"/>
            <w:vAlign w:val="bottom"/>
          </w:tcPr>
          <w:p>
            <w:pPr>
              <w:spacing w:after="0"/>
              <w:rPr>
                <w:sz w:val="16"/>
                <w:szCs w:val="16"/>
                <w:color w:val="auto"/>
              </w:rPr>
            </w:pPr>
          </w:p>
        </w:tc>
        <w:tc>
          <w:tcPr>
            <w:tcW w:w="24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Kuong Fat</w:t>
            </w:r>
          </w:p>
        </w:tc>
        <w:tc>
          <w:tcPr>
            <w:tcW w:w="23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June 2014</w:t>
            </w:r>
          </w:p>
        </w:tc>
        <w:tc>
          <w:tcPr>
            <w:tcW w:w="46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Rua de Pequim, n.º 174, Centro Comercial</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Kuong Fat Cave A-H, Macau</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11,700</w:t>
            </w:r>
          </w:p>
        </w:tc>
        <w:tc>
          <w:tcPr>
            <w:tcW w:w="22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68,800</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Premises are being operated under leases, subleases or right to use agreements that expire at various dates through December 2026, which are renewable upon reaching agreements with the owners.</w:t>
      </w:r>
    </w:p>
    <w:p>
      <w:pPr>
        <w:spacing w:after="0" w:line="147"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The leasehold improvements to Mocha Club premises and the onsite equipment utilized at the Mocha Clubs are owned and held for use to support the gaming machine operations. In addition, the gaming machines at Altira are operated under the Mocha Club brand.</w:t>
      </w:r>
    </w:p>
    <w:p>
      <w:pPr>
        <w:spacing w:after="0" w:line="147" w:lineRule="exact"/>
        <w:rPr>
          <w:sz w:val="20"/>
          <w:szCs w:val="20"/>
          <w:color w:val="auto"/>
        </w:rPr>
      </w:pPr>
    </w:p>
    <w:p>
      <w:pPr>
        <w:ind w:left="300" w:right="360" w:firstLine="960"/>
        <w:spacing w:after="0" w:line="264" w:lineRule="auto"/>
        <w:rPr>
          <w:sz w:val="20"/>
          <w:szCs w:val="20"/>
          <w:color w:val="auto"/>
        </w:rPr>
      </w:pPr>
      <w:r>
        <w:rPr>
          <w:rFonts w:ascii="Times New Roman" w:cs="Times New Roman" w:eastAsia="Times New Roman" w:hAnsi="Times New Roman"/>
          <w:sz w:val="17"/>
          <w:szCs w:val="17"/>
          <w:color w:val="auto"/>
        </w:rPr>
        <w:t>In addition to the Mocha Clubs, we also operate the Grand Dragon Casino, which focuses on mass market table games. Grand Dragon Casino premises, including the fit-out and gaming-related equipment, are located on the ground floor and level one within Grand Dragon Hotel in Macau and occupy a floor area of approximately 10,700 square feet as of December 31, 2023. We operate Grand Dragon Casino</w:t>
      </w:r>
    </w:p>
    <w:p>
      <w:pPr>
        <w:ind w:left="300" w:right="220"/>
        <w:spacing w:after="0" w:line="265" w:lineRule="auto"/>
        <w:rPr>
          <w:sz w:val="20"/>
          <w:szCs w:val="20"/>
          <w:color w:val="auto"/>
        </w:rPr>
      </w:pPr>
      <w:r>
        <w:rPr>
          <w:rFonts w:ascii="Times New Roman" w:cs="Times New Roman" w:eastAsia="Times New Roman" w:hAnsi="Times New Roman"/>
          <w:sz w:val="17"/>
          <w:szCs w:val="17"/>
          <w:color w:val="auto"/>
        </w:rPr>
        <w:t>under a right-to-use agreement. The gaming equipment operated at the Grand Dragon Casino on or before December 31, 2022 is owned by the Macau SAR and has been transferred to us for usage in our operations during the duration of the Concession Contract. We own the remaining gaming and gaming support equipment at the Grand Dragon Casino.</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w:t>
      </w:r>
    </w:p>
    <w:p>
      <w:pPr>
        <w:spacing w:after="0" w:line="122"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960"/>
          </w:cols>
          <w:pgMar w:left="320" w:top="473" w:right="6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7"/>
          <w:szCs w:val="17"/>
          <w:color w:val="auto"/>
        </w:rPr>
        <w:t>Developments Limited, which is a company incorporated in Macau with limited liability and which is also an indirect subsidiary of SCI. The Studio City land concession contract was amended in July 2012 and September 2015 to permit Studio City Developments Limited to build a complex comprising a four-star hotel, a facility for cinematographic industry, including supporting facilities for entertainment and tourism, parking and free area.</w:t>
      </w:r>
    </w:p>
    <w:p>
      <w:pPr>
        <w:spacing w:after="0" w:line="1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gross construction area of the Studio City site is approximately 657,879.39 square meters (equivalent to approximately 7.1 million square feet) of which approximately 28,784.3 square meters or 4.38% comprises the gaming and gaming support area and is owned by the Macau SAR. Effective from January 1, 2023, the Macau government has transferred this area to us for usage in our operations during the duration of the Concession Contract for the same fee set for the usage of the City of Dreams casino. Currently, the gross floor area of Studio City is approximately 457,462 square meters (equivalent to approximately 4.9 million square feet). The land premium of approximately MOP1,402.0 million (equivalent to approximately US$174 million) was paid in full in January 2015. As announced by Studio City International in May 2022, the development period under the Studio City land concession was extended to June 30, 2023. Land use fees of approximately MOP3.9 million (equivalent to approximately US$480,000) per annum were paid to the Macau government during the development stage. The annual land use fees payable to the Macau government after completion of development are MOP9.1 million (equivalent to approximately US$1.1 million). The amounts may be adjusted every five years as agreed between the Macau government and the land concessionaire using the applicable rates in effect at the time of the rent adjustment.</w:t>
      </w:r>
    </w:p>
    <w:p>
      <w:pPr>
        <w:spacing w:after="0" w:line="174"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at the Studio City Casino on or before December 31, 2022 is owned by the Macau SAR and has been transferred to us and held for use at the Studio City Casino during the duration of the Concession Contract, including the main gaming equipment to support our table games and gaming machines operations, cage equipment, security and surveillance equipment, casino fittings and equipment. We own the remaining gaming and gaming support equipment utilized at the Studio City Casino and the equipment utilized in the Studio City Hotel.</w:t>
      </w:r>
    </w:p>
    <w:p>
      <w:pPr>
        <w:spacing w:after="0" w:line="171"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As part of the security provided in relation to the 2027 Studio City Notes and the 2021 Studio City Senior Secured Credit Facility, we assigned certain leases and right to use agreements and granted a mortgage over our rights under the Studio City land concession. Such security remains in place under the 2028 Studio City Senior Secured Credit Facility.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w:t>
      </w:r>
    </w:p>
    <w:p>
      <w:pPr>
        <w:spacing w:after="0" w:line="122"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The City of Dreams Manila site is located on reclaimed land (“Project Reclaimed Land”). The Project Reclaimed Land was originally acquired by an entity known as R 1 Consortium from the Philippine Public Estates Authority. R 1 Consortium conveyed all its interest to the Project Reclaimed Land in favor of two entities which later merged with Belle Bay City Corporation, which is 34.9% owned by Belle Corporation, one of the Philippine Parties, with Belle Bay City Corporation becoming the surviving entity and owner of the Project Reclaimed Land. Belle Bay City Corporation was, however, dissolved in 2005 and is still undergoing liquidation. The Project Reclaimed Land was allocated to Belle Corporation as part of Belle Bay City Corporation’s plan of dissolution. Belle Corporation has since exercised possession and other rights over the Project Reclaimed Land. In 2005, Belle Corporation transferred a portion of the Project Reclaimed Land to the Philippine Social Security System. In 2010, Belle Corporation and the Philippine Social Security System entered into a lease agreement for that part of the land.</w:t>
      </w:r>
    </w:p>
    <w:p>
      <w:pPr>
        <w:spacing w:after="0" w:line="175"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Melco Resorts Leisure does not own the land or the buildings comprising the site for City of Dreams Manila. Rather, Melco Resorts Leisure leases the Project Reclaimed Land and buildings from Belle Corporation under a Contract of Lease dated October 25, 2012 (“Lease Agreement”). Under the Lease Agreement, Melco Resorts Leisure leases from Belle Corporation the land upon which City of Dreams Manila is located with a total area of 61,141 square meters, as well as the buildings erected thereon, which are classified into Phase 1 and Phase 2 Buildings (collectively, “Leased Premises”). The Lease Agreement commenced upon the handover of</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960"/>
          </w:cols>
          <w:pgMar w:left="320" w:top="472"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4" w:lineRule="auto"/>
        <w:rPr>
          <w:sz w:val="20"/>
          <w:szCs w:val="20"/>
          <w:color w:val="auto"/>
        </w:rPr>
      </w:pPr>
      <w:r>
        <w:rPr>
          <w:rFonts w:ascii="Times New Roman" w:cs="Times New Roman" w:eastAsia="Times New Roman" w:hAnsi="Times New Roman"/>
          <w:sz w:val="17"/>
          <w:szCs w:val="17"/>
          <w:color w:val="auto"/>
        </w:rPr>
        <w:t>the Leased Premises to Melco Resorts Leisure in 2013 and will continue during the term of the Philippine License, subject to certain termination events. The Lease Premises shall be used exclusively as a hotel, casino and resort complex, with retail, entertainment, convention exhibition, food and beverage services as well as other related activities. In August 2022 and October 2022, we entered into amendment agreements to the Lease Agreement with Belle Corporation, under which the parties revised the rent payable (i) for the year ended December 31, 2022; and (ii) for the year ended December 31, 2022 through the year ending December 31, 2033, respectively, subject to adjustments based on the annual headline inflation and bonus rent pursuant to the terms thereof.</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Mediterranean and Other</w:t>
      </w:r>
    </w:p>
    <w:p>
      <w:pPr>
        <w:spacing w:after="0" w:line="122" w:lineRule="exact"/>
        <w:rPr>
          <w:sz w:val="20"/>
          <w:szCs w:val="20"/>
          <w:color w:val="auto"/>
        </w:rPr>
      </w:pPr>
    </w:p>
    <w:p>
      <w:pPr>
        <w:ind w:left="300" w:right="180" w:firstLine="960"/>
        <w:spacing w:after="0" w:line="263" w:lineRule="auto"/>
        <w:rPr>
          <w:sz w:val="20"/>
          <w:szCs w:val="20"/>
          <w:color w:val="auto"/>
        </w:rPr>
      </w:pPr>
      <w:r>
        <w:rPr>
          <w:rFonts w:ascii="Times New Roman" w:cs="Times New Roman" w:eastAsia="Times New Roman" w:hAnsi="Times New Roman"/>
          <w:sz w:val="17"/>
          <w:szCs w:val="17"/>
          <w:color w:val="auto"/>
        </w:rPr>
        <w:t>The City of Dreams Mediterranean site is located at Zakaki, in western Limassol, Cyprus (“Cyprus Project Land”) and has a land area of 367,000 square meters (equivalent to approximately 3.95 million square feet). Prior to our acquisition of Melco International’s 75% equity interest in ICR Cyprus on July 31, 2019, The Cyprus Phassouri (Zakaki) Limited, the current owner of a 25% equity interest in ICR Cyprus, acquired such 25% equity interest in ICR Cyprus by contributing its freehold interest over the Cyprus Project Land and as a result, a subsidiary of ICR Cyprus became owner of the freehold interest over the Cyprus Project Land. As of December 31, 2023, the total gross floor area of City of Dreams Mediterranean is 86,000 square meters (equivalent to approximately 925,700 square feet), of which approximately 6,549 square meters or 7.62% comprises the gaming and gaming support area.</w:t>
      </w:r>
    </w:p>
    <w:p>
      <w:pPr>
        <w:spacing w:after="0" w:line="173" w:lineRule="exact"/>
        <w:rPr>
          <w:sz w:val="20"/>
          <w:szCs w:val="20"/>
          <w:color w:val="auto"/>
        </w:rPr>
      </w:pPr>
    </w:p>
    <w:p>
      <w:pPr>
        <w:ind w:left="300" w:right="740" w:firstLine="960"/>
        <w:spacing w:after="0" w:line="295" w:lineRule="auto"/>
        <w:rPr>
          <w:sz w:val="20"/>
          <w:szCs w:val="20"/>
          <w:color w:val="auto"/>
        </w:rPr>
      </w:pPr>
      <w:r>
        <w:rPr>
          <w:rFonts w:ascii="Times New Roman" w:cs="Times New Roman" w:eastAsia="Times New Roman" w:hAnsi="Times New Roman"/>
          <w:sz w:val="17"/>
          <w:szCs w:val="17"/>
          <w:color w:val="auto"/>
        </w:rPr>
        <w:t>In addition to City of Dreams Mediterranean, we also have the following satellite casinos in operation with the total floor area of approximately 21,452 square feet at various locations in Cyprus as of December 31, 2023:</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Cyprus Casinos</w:t>
            </w:r>
          </w:p>
        </w:tc>
        <w:tc>
          <w:tcPr>
            <w:tcW w:w="1600" w:type="dxa"/>
            <w:vAlign w:val="bottom"/>
          </w:tcPr>
          <w:p>
            <w:pPr>
              <w:spacing w:after="0"/>
              <w:rPr>
                <w:sz w:val="15"/>
                <w:szCs w:val="15"/>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Opening Month</w:t>
            </w:r>
          </w:p>
        </w:tc>
        <w:tc>
          <w:tcPr>
            <w:tcW w:w="456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 Floor Area</w:t>
            </w:r>
          </w:p>
        </w:tc>
      </w:tr>
      <w:tr>
        <w:trPr>
          <w:trHeight w:val="144"/>
        </w:trPr>
        <w:tc>
          <w:tcPr>
            <w:tcW w:w="940" w:type="dxa"/>
            <w:vAlign w:val="bottom"/>
            <w:tcBorders>
              <w:top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top w:val="single" w:sz="8" w:color="auto"/>
            </w:tcBorders>
          </w:tcPr>
          <w:p>
            <w:pPr>
              <w:jc w:val="right"/>
              <w:ind w:right="79"/>
              <w:spacing w:after="0" w:line="144" w:lineRule="exact"/>
              <w:rPr>
                <w:sz w:val="20"/>
                <w:szCs w:val="20"/>
                <w:color w:val="auto"/>
              </w:rPr>
            </w:pPr>
            <w:r>
              <w:rPr>
                <w:rFonts w:ascii="Times New Roman" w:cs="Times New Roman" w:eastAsia="Times New Roman" w:hAnsi="Times New Roman"/>
                <w:sz w:val="14"/>
                <w:szCs w:val="14"/>
                <w:b w:val="1"/>
                <w:bCs w:val="1"/>
                <w:color w:val="auto"/>
              </w:rPr>
              <w:t>(In square feet)</w:t>
            </w:r>
          </w:p>
        </w:tc>
        <w:tc>
          <w:tcPr>
            <w:tcW w:w="320" w:type="dxa"/>
            <w:vAlign w:val="bottom"/>
            <w:gridSpan w:val="2"/>
          </w:tcPr>
          <w:p>
            <w:pPr>
              <w:spacing w:after="0"/>
              <w:rPr>
                <w:sz w:val="12"/>
                <w:szCs w:val="12"/>
                <w:color w:val="auto"/>
              </w:rPr>
            </w:pPr>
          </w:p>
        </w:tc>
      </w:tr>
      <w:tr>
        <w:trPr>
          <w:trHeight w:val="191"/>
        </w:trPr>
        <w:tc>
          <w:tcPr>
            <w:tcW w:w="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Nicosia</w:t>
            </w:r>
          </w:p>
        </w:tc>
        <w:tc>
          <w:tcPr>
            <w:tcW w:w="3620" w:type="dxa"/>
            <w:vAlign w:val="bottom"/>
            <w:gridSpan w:val="3"/>
            <w:shd w:val="clear" w:color="auto" w:fill="CCEEFF"/>
          </w:tcPr>
          <w:p>
            <w:pPr>
              <w:ind w:left="1600"/>
              <w:spacing w:after="0" w:line="191" w:lineRule="exact"/>
              <w:rPr>
                <w:sz w:val="20"/>
                <w:szCs w:val="20"/>
                <w:color w:val="auto"/>
              </w:rPr>
            </w:pPr>
            <w:r>
              <w:rPr>
                <w:rFonts w:ascii="Times New Roman" w:cs="Times New Roman" w:eastAsia="Times New Roman" w:hAnsi="Times New Roman"/>
                <w:sz w:val="17"/>
                <w:szCs w:val="17"/>
                <w:color w:val="auto"/>
              </w:rPr>
              <w:t>December 2018</w:t>
            </w:r>
          </w:p>
        </w:tc>
        <w:tc>
          <w:tcPr>
            <w:tcW w:w="45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Neas Engomis Street No.35, Engomi,</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41"/>
        </w:trPr>
        <w:tc>
          <w:tcPr>
            <w:tcW w:w="9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2409 Nicosia, Cyprus.</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10,968</w:t>
            </w:r>
          </w:p>
        </w:tc>
        <w:tc>
          <w:tcPr>
            <w:tcW w:w="300" w:type="dxa"/>
            <w:vAlign w:val="bottom"/>
            <w:shd w:val="clear" w:color="auto" w:fill="CCEEFF"/>
          </w:tcPr>
          <w:p>
            <w:pPr>
              <w:spacing w:after="0"/>
              <w:rPr>
                <w:sz w:val="20"/>
                <w:szCs w:val="20"/>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Ayia Napa</w:t>
            </w:r>
          </w:p>
        </w:tc>
        <w:tc>
          <w:tcPr>
            <w:tcW w:w="362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July 2019</w:t>
            </w: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Archiepiscopou Makariou III, 34 Ayia Napa, Cyprus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4,682</w:t>
            </w:r>
          </w:p>
        </w:tc>
        <w:tc>
          <w:tcPr>
            <w:tcW w:w="300" w:type="dxa"/>
            <w:vAlign w:val="bottom"/>
          </w:tcPr>
          <w:p>
            <w:pPr>
              <w:spacing w:after="0"/>
              <w:rPr>
                <w:sz w:val="18"/>
                <w:szCs w:val="18"/>
                <w:color w:val="auto"/>
              </w:rPr>
            </w:pPr>
          </w:p>
        </w:tc>
      </w:tr>
      <w:tr>
        <w:trPr>
          <w:trHeight w:val="209"/>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Paphos</w:t>
            </w:r>
          </w:p>
        </w:tc>
        <w:tc>
          <w:tcPr>
            <w:tcW w:w="362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7"/>
                <w:szCs w:val="17"/>
                <w:color w:val="auto"/>
              </w:rPr>
              <w:t>February 2020</w:t>
            </w: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9 Theas Aphroditis 8204 Paphos, Cyprus</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5,802</w:t>
            </w:r>
          </w:p>
        </w:tc>
        <w:tc>
          <w:tcPr>
            <w:tcW w:w="300" w:type="dxa"/>
            <w:vAlign w:val="bottom"/>
            <w:shd w:val="clear" w:color="auto" w:fill="CCEEFF"/>
          </w:tcPr>
          <w:p>
            <w:pPr>
              <w:spacing w:after="0"/>
              <w:rPr>
                <w:sz w:val="18"/>
                <w:szCs w:val="18"/>
                <w:color w:val="auto"/>
              </w:rPr>
            </w:pP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21,452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right="320" w:firstLine="960"/>
        <w:spacing w:after="0" w:line="276" w:lineRule="auto"/>
        <w:rPr>
          <w:sz w:val="20"/>
          <w:szCs w:val="20"/>
          <w:color w:val="auto"/>
        </w:rPr>
      </w:pPr>
      <w:r>
        <w:rPr>
          <w:rFonts w:ascii="Times New Roman" w:cs="Times New Roman" w:eastAsia="Times New Roman" w:hAnsi="Times New Roman"/>
          <w:sz w:val="17"/>
          <w:szCs w:val="17"/>
          <w:color w:val="auto"/>
        </w:rPr>
        <w:t>The leases for our three satellite casinos run up to March 31, 2028 for Nicosia, June 15, 2028 for Ayia Napa and February 14, 2029 for Paphos and are renewable for a further five-year term unless we elect not to renew those leases by giving at least six months’ notice prior to the expiration of the term.</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Premises</w:t>
      </w:r>
    </w:p>
    <w:p>
      <w:pPr>
        <w:spacing w:after="0" w:line="122"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We completed the disposal of three plots of land (and support buildings) in Hakone, Japan with a total site area of approximately 9,656 square meters (equivalent to approximately 103,943 square feet) in July 2023.</w:t>
      </w:r>
    </w:p>
    <w:p>
      <w:pPr>
        <w:spacing w:after="0" w:line="147"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Apart from the aforesaid property sites, we maintain various offices and storage locations in Macau, Hong Kong, Cyprus, Singapore and the Philippines. We lease all of our office and storage premises.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Advertising and Marketing</w:t>
      </w:r>
    </w:p>
    <w:p>
      <w:pPr>
        <w:spacing w:after="0" w:line="120"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We seek to attract customers to our properties and to grow our customer base over time by undertaking several forms of advertising, sales and marketing activities and plans. We utilize local and regional media to</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960"/>
          </w:cols>
          <w:pgMar w:left="320" w:top="472" w:right="6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publicize and promote our projects and operations. We have built public relations and marketing and branding teams that cultivate media relationships, promote our brands and explore media opportunities in various markets. We use a variety of media platforms that include social media, digital, print, television, online, outdoor, on collaterals and direct mail pieces. A resorts marketing team has been established that directly liaises with current and potential customers within target Asian and other countries in order to grow and retain high-end customers. We hold various promotions and special events, operate loyalty programs with our patrons and have developed a series of programs. In Macau, the Philippines and Cyprus, we employ a tiered loyalty program at our properties to ensure that each customer segment is specifically recognized and incentivized. Dedicated customer hosting programs provide personalized service to our most valuable customers. In addition, we utilize sophisticated analytical programs and capabilities to track the behavior and spending patterns of our patrons. We believe these tools help deepen our understanding of our customers to optimize yields and make continued improvements to our properties. As our advertising and marketing activities occur in various jurisdictions, we aim to ensure we are in compliance with all applicable laws in relation to our advertising and marketing activities.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seek to cater to a broad range of customers through our diverse gaming and non-gaming facilities and amenities across our operating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properties.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Non-Gaming Patrons</w:t>
      </w:r>
    </w:p>
    <w:p>
      <w:pPr>
        <w:spacing w:after="0" w:line="122"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City of Dreams offers visitors to Macau an array of multi-dimensional entertainment amenities, four hotels, as well as a selection of restaurants, bars and retail outlets. Since the third quarter of 2021, Altira Macau has strategically repositioned to cater to the premium mass and mass segments. Mocha Clubs are targeted to deliver a relaxed, café-style non-casino based electronic gaming experience. Studio City is designated to primarily target mass market guests through its vast array of non-gaming amenities and entertainment attractions.</w:t>
      </w:r>
    </w:p>
    <w:p>
      <w:pPr>
        <w:spacing w:after="0" w:line="169"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City of Dreams Manila features different entertainment venues: DreamPlay, a family entertainment center which features activities catering to children aged four and above, and CenterPlay, a live performance central lounge within the casino. With these diverse entertainment venues and attractions, we believe City of Dreams Manila will be able to leverage on the experiences of City of Dreams in Macau, which has developed world-class attractions such as The House of Dancing Water.</w:t>
      </w:r>
    </w:p>
    <w:p>
      <w:pPr>
        <w:spacing w:after="0" w:line="169"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City of Dreams Mediterranean features a five-star hotel tower with 500 luxury hotel rooms, MICE facilities, an outdoor amphitheater, a family adventure park, spa, fitness center and a variety of fine-dining restaurants and luxury retail. Entertainment attractions, family amenities and non-gaming recreational activities attract both local and international visitors alike. The Cyprus Casinos do not specifically target non-gaming patrons but do offer a selection of food and beverage options at the premises.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Patrons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gaming patrons include table game rolling chip patrons, table game mass market patrons and gaming machine players.</w:t>
      </w:r>
    </w:p>
    <w:p>
      <w:pPr>
        <w:spacing w:after="0" w:line="223"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Mass market patrons are non-rolling chip patrons who come to our properties for a variety of reasons, including our high-quality hotel brands, our broad dining options and a variety of other non-gaming attractions and activities.</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900"/>
          </w:cols>
          <w:pgMar w:left="320" w:top="472" w:right="6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Rolling chip patrons at our casinos are patrons who participate in our in-house rolling chip programs or, in some cases, in the rolling chip programs of gaming promoters. Our rolling chip patrons or premium direct players play mostly in our VIP rooms or designated gaming areas and can earn a variety of gaming-related rebates, such as cash, rooms, food and beverage and other complimentary products or services.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Promoters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A portion of our rolling chip play in Macau in past years was brought to us by gaming promoters, also known as junket operators. While we had terminated our arrangements with all gaming promoters in Macau in December 2021, including at the Studio City Casino, we currently engage gaming promoters in Macau. Gaming promoters in Macau are independent third parties that include both individuals and corporate entities, all of which are officially required to be licensed by the DICJ.</w:t>
      </w:r>
    </w:p>
    <w:p>
      <w:pPr>
        <w:spacing w:after="0" w:line="169" w:lineRule="exact"/>
        <w:rPr>
          <w:sz w:val="20"/>
          <w:szCs w:val="20"/>
          <w:color w:val="auto"/>
        </w:rPr>
      </w:pPr>
    </w:p>
    <w:p>
      <w:pPr>
        <w:ind w:left="300" w:right="740" w:firstLine="960"/>
        <w:spacing w:after="0" w:line="276" w:lineRule="auto"/>
        <w:rPr>
          <w:sz w:val="20"/>
          <w:szCs w:val="20"/>
          <w:color w:val="auto"/>
        </w:rPr>
      </w:pPr>
      <w:r>
        <w:rPr>
          <w:rFonts w:ascii="Times New Roman" w:cs="Times New Roman" w:eastAsia="Times New Roman" w:hAnsi="Times New Roman"/>
          <w:sz w:val="17"/>
          <w:szCs w:val="17"/>
          <w:color w:val="auto"/>
        </w:rPr>
        <w:t>We continue to work with gaming promoters in Cyprus and the Philippines. In Cyprus, there are currently three licensed gaming promoters. Gaming promoters in the Philippines are not subject to licensing requirements, but gaming operators are subject to certain notice requirements related to the engagement of gaming promoters and need to demonstrate the fitness and propriety of gaming promoters.</w:t>
      </w:r>
    </w:p>
    <w:p>
      <w:pPr>
        <w:spacing w:after="0" w:line="162"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We have procedures to screen prospective gaming promoters prior to their engagement and conduct periodic checks that are designed to ensure that the gaming promoters with whom we associate meet suitability standards. Where licensing requirements apply, we only engage gaming promoters who have been licensed by the relevant authority.</w:t>
      </w:r>
    </w:p>
    <w:p>
      <w:pPr>
        <w:spacing w:after="0" w:line="162"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In the Philippines and Macau, our gaming promoters are compensated through commission arrangements that are calculated on a monthly or a per trip basis. In the Philippines, we generally offer commission payment structures that are calculated by reference to revenue share or monthly rolling chip volume. In Macau, we offer commission payment structures that are calculated by reference to the monthly rolling chip volume. Under the revenue share-based arrangements, the gaming promoter participates in our gaming wins or losses from the rolling chip patrons brought in by the gaming promoter. In Cyprus, our gaming promoters are compensated through a profit sharing scheme. Our gaming promoters in the Philippines, Macau and Cyprus may also receive complimentary allowances for food and beverage, hotel accommodation and transportation.</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conduct, and expect to continue to conduct, our table gaming activities at our casinos on a credit basis as well as a cash basis. In the Philippines, Macau and Cyprus, as a customary practice in these gaming markets, we grant interest-free credit to certain gaming promoters for short-term, renewable periods. The credit we extend is typically unsecured. The gaming promoters bear the responsibility for issuing credit to and, subsequently collecting, from their players. Gaming promoters’ rolling chip programs are currently not implemented in Cyprus due to a lack of demand. See “Item 3. Key Information — D. Risk Factors — Risks Relating to Our Business and Operations —We depend upon gaming promoters for a portion of our gaming revenues in Macau, the Philippines and Cyprus. If we are unable to establish, maintain and increase the number of successful relationships with gaming promoters in Macau, the Philippines or Cyprus,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and “— Risks Relating to Our Business and Operations — We extend credit to a portion of our customers, and we may not be able to collect gaming receivables from our credit customers.”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Market and Competition</w:t>
      </w:r>
    </w:p>
    <w:p>
      <w:pPr>
        <w:spacing w:after="0" w:line="120"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We believe that the gaming markets in Macau and the Philippines are and will continue to be intensely competitive. Our competitors in Macau and elsewhere in Asia include all the current concession holders, other</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940"/>
          </w:cols>
          <w:pgMar w:left="320" w:top="472"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120"/>
        <w:spacing w:after="0" w:line="266" w:lineRule="auto"/>
        <w:rPr>
          <w:sz w:val="20"/>
          <w:szCs w:val="20"/>
          <w:color w:val="auto"/>
        </w:rPr>
      </w:pPr>
      <w:r>
        <w:rPr>
          <w:rFonts w:ascii="Times New Roman" w:cs="Times New Roman" w:eastAsia="Times New Roman" w:hAnsi="Times New Roman"/>
          <w:sz w:val="17"/>
          <w:szCs w:val="17"/>
          <w:color w:val="auto"/>
        </w:rPr>
        <w:t>PAGCOR license holders and many of the largest gaming, hospitality, leisure and property development companies in the world. Some of these current and future competitors are larger than us and have significantly longer track records in the operation of major hotel casino resort properties. Compared to Macau and the Philippines, the competitive environment in Cyprus is more favorable with our exclusive license to operate casinos in the Republic of Cyprus until 2032, but we may face competition from casinos in the occupied part of Cyprus or from casinos in nearby parts of Europe and the Middle East.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Gaming Market</w:t>
      </w:r>
    </w:p>
    <w:p>
      <w:pPr>
        <w:spacing w:after="0" w:line="122"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In 2023, 2022 and 2021, Macau generated approximately US$22.8 billion, US$5.2 billion and US$10.8 billion of gross gaming revenue, respectively, according to the DICJ. Macau is currently the only market in Greater China, and one of only several in Asia, to offer legalized casino gaming.</w:t>
      </w:r>
    </w:p>
    <w:p>
      <w:pPr>
        <w:spacing w:after="0" w:line="16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believe COVID-19 outbreaks and the related policies implemented globally, especially the travel or visa restrictions imposed by the PRC resulted in a significant decline in inbound tourism, among other things, leading to an 85.6% decrease in gross gaming revenue in 2022 compared to 2019, according to the DICJ. While travel restrictions globally have eased and travel restrictions between Macau and the PRC have been significantly relaxed in 2023, contributing to an increase in gross gaming revenues in Macau by 334% in 2023 compared to 2022 according to the DICJ, we believe that disruptions resulting from COVID-19 are ongoing. The disruptions to our business caused by COVID-19 outbreaks have had an adverse effect on our operations. For the years ended December 31, 2023, 2022 and 2021, our operating revenues generated amounted to US$3.78 billion, US$1.35 billion and US$2.01 billion. Lower operating revenues in 2022 and 2021 were mainly due to the effects of COVID-19.</w:t>
      </w:r>
    </w:p>
    <w:p>
      <w:pPr>
        <w:spacing w:after="0" w:line="173"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In addition to the effects of COVID-19, Macau continues to be impacted by a range of external factors, including uneven growth in the Chinese economy and government policies that may adversely affect the Macau gaming market. For example, the Chinese government has taken measures to deter marketing of gaming activities to mainland Chinese residents by offshore casinos and to reduce capital outflow. Such measures include reducing the amount that PRC-issued ATM cardholders can withdraw in each withdrawal, setting a limit for annual withdrawals and the launch of facial recognition and identity card checks with respect to certain ATM users.</w:t>
      </w:r>
    </w:p>
    <w:p>
      <w:pPr>
        <w:spacing w:after="0" w:line="171"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mass market table games segment accounted for 69.4% of market-wide gross gaming revenues in 2023, compared to 68.5% of market-wide gross gaming revenues in 2022 and 61.8% in 2021, according to the DICJ. With our strategic focus on the premium mass market in the Cotai region, we believe we are well positioned to cater to this increasingly important, and more profitable, segment of the market. Moreover, we believe the long-term growth in gaming and non-gaming revenues in Macau are supported by, among other things, the continuing emergence of a wealthier demographic in the PRC, a robust regulatory framework and significant new infrastructure developments in Macau and the PRC, as well as by the anticipated new supply of gaming and non-gaming facilities in Macau, which is predominantly focused on the Cotai region. According to the DSEC, visitation to Macau totaled more than 28.2 million in 2023, an increase of 394.9% compared to 2022 but below the 39.4 million visitors in 2019. Visitors from the PRC represented 67.5% of all visitors to Macau in 2023, compared to 89.6% in 2022, and visitors from Hong Kong and Taiwan represented 25.5% and 1.8%, of all visitors to Macau in 2023, respectively.</w:t>
      </w:r>
    </w:p>
    <w:p>
      <w:pPr>
        <w:spacing w:after="0" w:line="178"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In terms of competition, gaming in Macau is administered through concessions awarded by the Macau government to six different concessionaires: Melco Resorts Macau; SJM, in which family members of Mr. Lawrence Ho, our chairman and chief executive officer, have shareholding interests; Wynn Macau, a subsidiary of Wynn Resorts Ltd.; Galaxy; MGM Grand Paradise, which was originally formed as a joint venture by MGM-Mirage and Ms. Pansy Ho, sister of Mr. Lawrence Ho; and VML, a subsidiary of Sands China Ltd and Las Vegas Sands Corporation.</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960"/>
          </w:cols>
          <w:pgMar w:left="320" w:top="472"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SJM currently operates multiple casinos throughout Macau. SJM (through its predecessor, Tourism and Entertainment Company of Macau Limited) commenced its gaming operations in Macau in 1962. In July 2021, SJM opened Grand Lisboa Palace, in Cotai. SJM opened The Karl Lagerfeld and Palazzo Versace Macau, respectively, in June and November 2023.</w:t>
      </w:r>
    </w:p>
    <w:p>
      <w:pPr>
        <w:spacing w:after="0" w:line="162"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Wynn Macau opened the Wynn Macau in September 2006 on the Macau peninsula and an extension called Encore in 2010. In August 2016, Wynn Macau opened Wynn Palace, in Cotai.</w:t>
      </w:r>
    </w:p>
    <w:p>
      <w:pPr>
        <w:spacing w:after="0" w:line="147"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2023, while Phase 4 is currently under development and is expected to open in 2027.</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VML operates Sands Macao on the Macau peninsula, The Venetian Macao, the Plaza Casino at The Four Seasons Hotel Macao and the Parisian Macao. VML also operated Sands Cotai Central in Cotai in the past, which has been rebranded and redeveloped as The Londoner Macao, which opened in February 2021.</w:t>
      </w:r>
    </w:p>
    <w:p>
      <w:pPr>
        <w:spacing w:after="0" w:line="162" w:lineRule="exact"/>
        <w:rPr>
          <w:sz w:val="20"/>
          <w:szCs w:val="20"/>
          <w:color w:val="auto"/>
        </w:rPr>
      </w:pPr>
    </w:p>
    <w:p>
      <w:pPr>
        <w:ind w:left="300" w:right="640" w:firstLine="960"/>
        <w:spacing w:after="0" w:line="295" w:lineRule="auto"/>
        <w:rPr>
          <w:sz w:val="20"/>
          <w:szCs w:val="20"/>
          <w:color w:val="auto"/>
        </w:rPr>
      </w:pPr>
      <w:r>
        <w:rPr>
          <w:rFonts w:ascii="Times New Roman" w:cs="Times New Roman" w:eastAsia="Times New Roman" w:hAnsi="Times New Roman"/>
          <w:sz w:val="17"/>
          <w:szCs w:val="17"/>
          <w:color w:val="auto"/>
        </w:rPr>
        <w:t>MGM Grand Paradise opened its MGM Macau facilities in December 2007, which are located next to Wynn Macau on the Macau peninsula, and its MGM Cotai resort in February 2018.</w:t>
      </w:r>
    </w:p>
    <w:p>
      <w:pPr>
        <w:spacing w:after="0" w:line="147"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62"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existing concessions do not place any limits on the number of gaming facilities that may be operated. The Macau government does, however, limit the aggregate number of gaming tables and gaming machines in Macau and the opening of a new facility is subject to Macau government approval. The current cap of gaming tables and gaming machines are 6,000 and 12,000 respectively.</w:t>
      </w:r>
    </w:p>
    <w:p>
      <w:pPr>
        <w:spacing w:after="0" w:line="162"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Law no. 7/2022 which amends the Macau Gaming Operations Law (Law no. 16/2001) came into force in June 2022. Principal changes under the amended Macau Gaming Operations Law include, among others, the following:</w:t>
      </w:r>
    </w:p>
    <w:p>
      <w:pPr>
        <w:spacing w:after="0" w:line="55" w:lineRule="exact"/>
        <w:rPr>
          <w:sz w:val="20"/>
          <w:szCs w:val="20"/>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gaming concessions that may be awarded by the Macau government is up to six;</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the concessions may be up to ten years, subject to extension(s) of up to three years in total;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of each concessionaire shall be at least MOP5 billion (equivalent to approximately US$621.4 million);</w:t>
      </w:r>
    </w:p>
    <w:p>
      <w:pPr>
        <w:spacing w:after="0" w:line="131"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each concessionaire must be a Macau permanent resident and hold at least 15% of the concessionaire’s registered share capital;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transactions should be notified by concessionaires to the Macau government in advance;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established;</w:t>
      </w:r>
    </w:p>
    <w:p>
      <w:pPr>
        <w:spacing w:after="0" w:line="131" w:lineRule="exact"/>
        <w:rPr>
          <w:rFonts w:ascii="Times New Roman" w:cs="Times New Roman" w:eastAsia="Times New Roman" w:hAnsi="Times New Roman"/>
          <w:sz w:val="17"/>
          <w:szCs w:val="17"/>
          <w:color w:val="auto"/>
        </w:rPr>
      </w:pPr>
    </w:p>
    <w:p>
      <w:pPr>
        <w:ind w:left="1240" w:right="68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security is one of the main objectives of the Macau gaming legal framework and a concession may be terminated without compensation in case it is considered a threat to national security;</w:t>
      </w:r>
    </w:p>
    <w:p>
      <w:pPr>
        <w:spacing w:after="0" w:line="55"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 gaming table and per gaming machine special premium is due should gross gaming revenue fall below the gross gaming revenue threshold set by the Macau government;</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960"/>
          </w:cols>
          <w:pgMar w:left="320" w:top="473" w:right="6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640" w:hanging="530"/>
        <w:spacing w:after="0" w:line="295"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sets the maximum number of gaming tables and gaming machines allocated to each concessionaire and the allocation of such gaming tables and gaming machines to a specific casino is subject to the approval of the Macau government;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may reduce the number of gaming tables or gaming machines in certain circumstances;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gaming chips of each concessionaire in circulation is subject to Macau government approval; and</w:t>
      </w:r>
    </w:p>
    <w:p>
      <w:pPr>
        <w:spacing w:after="0" w:line="13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160" w:lineRule="exact"/>
        <w:rPr>
          <w:sz w:val="20"/>
          <w:szCs w:val="20"/>
          <w:color w:val="auto"/>
        </w:rPr>
      </w:pPr>
    </w:p>
    <w:p>
      <w:pPr>
        <w:ind w:left="300" w:right="680" w:firstLine="960"/>
        <w:spacing w:after="0" w:line="298"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Item 4. Information on the Company — B. Business Overview — Regulations — Macau Regulations — Gaming Operation Regulations” for a discussion of the amendments made to the gaming law in Macau.</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Philippine Gaming Market</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The Philippine economy has been one of the faster growing economies in the region, with favorable demographics and consumer spending that are beneficial to the Philippine gaming market. City of Dreams Manila, however, presently faces stronger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as well as the Philippine Amusement and Gaming Corporation, an entity owned and controlled by the government of the Philippines, which operates certain gaming facilities across the Philippines.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Cyprus Gaming Market</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We currently operate City of Dreams Mediterranean and three satellite casinos in Cyprus. In June 2023, we ceased operations of the temporary casino, which was opened in Limassol in June 2018 as the first licensed casino in Cyprus. We opened two satellite casinos in Nicosia and Larnaca in December 2018, one satellite casino in Ayia Napa in July 2019 and one satellite casino in Paphos in February 2020. In June 2020, we ceased operations of the satellite casino in Larnaca. In July 2023, City of Dreams Mediterranean was opened to the public. Although we have an exclusive license to operate casinos in the Republic of Cyprus until 2032, we may face competition from casinos in the occupied part of Cyprus or from casinos in nearby parts of Europe and the Middle East.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Regional Markets</w:t>
      </w:r>
    </w:p>
    <w:p>
      <w:pPr>
        <w:spacing w:after="0" w:line="12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We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Kangwon Land operates the only casino in the country that is open to Korean nationals. There are also casinos in Vietnam and Cambodia, although they are relatively small compared to those in Macau. There are two major gaming facilities in Singapore located on Sentosa and at Marina Bay.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960"/>
          </w:cols>
          <w:pgMar w:left="320" w:top="472" w:right="6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60" w:firstLine="960"/>
        <w:spacing w:after="0" w:line="266" w:lineRule="auto"/>
        <w:rPr>
          <w:sz w:val="20"/>
          <w:szCs w:val="20"/>
          <w:color w:val="auto"/>
        </w:rPr>
      </w:pPr>
      <w:r>
        <w:rPr>
          <w:rFonts w:ascii="Times New Roman" w:cs="Times New Roman" w:eastAsia="Times New Roman" w:hAnsi="Times New Roman"/>
          <w:sz w:val="17"/>
          <w:szCs w:val="17"/>
          <w:color w:val="auto"/>
        </w:rPr>
        <w:t>In December 2016, a law which conceptually enables the development of integrated resorts in Japan took effect, with corresponding legislation providing a legislative framework for the development and implementation of integrated resorts in Japan taking effect in July 2018. A proposed project in Osaka was awarded to MGM Resorts International and its joint venture partner Orix Corporation which is currently scheduled to open in 2030. In addition, several other Asian countries are considering or are in the process of legalizing gambling and establishing casino-based entertainment complexes.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0"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Macau, our principal market of operation, experiences many peaks and seasonal effects. The “Golden Week” and “Chinese New Year” holidays are in general the key periods where business and visitation increase considerably in Macau. In the Philippines, business considerably slows down during the “Holy Week,” as well as during the “Chinese New Year” and the “Chinese Ghost Month.” In Cyprus, summer is generally the key period where business and visitation experience significant increase, while business considerably slows down during winter. While we may experience fluctuations in revenues and cash flows from month to month, we do not believe that our business is materially impacted by seasonality.</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have applied for and/or registered certain trademarks, including “Melco,” “Morpheus,” “Altira,” “Mocha Club,” “City of Dreams,” “Nüwa,” “The Countdown,” “The House of Dancing Water,” “City of Dreams Manila,” “Studio City,” “Melco Resorts Philippines” and “Melco Resorts &amp; Entertainment” in Macau, the Philippines, Cyprus and/or other jurisdictions. We have also applied for or registered in Macau, the Philippines, Cyprus and other jurisdictions certain other trademarks and service marks used or to be used in connection with the operations of our hotel casino projects in Macau, Manila and Cyprus.</w:t>
      </w:r>
    </w:p>
    <w:p>
      <w:pPr>
        <w:spacing w:after="0" w:line="171"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For our license or hotel management agreements that are required for our operations, see “Item 5. Operating and Financial Review and Prospects — C. Research and Development, Patents and Licenses, etc.”</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Operation Regulations</w:t>
      </w:r>
    </w:p>
    <w:p>
      <w:pPr>
        <w:spacing w:after="0" w:line="12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The ownership and operation of casino gaming facilities in Macau are subject to the general civil and commercial laws and specific gaming laws, in particular, Law no. 16/2001, as amended in June 2022 pursuant Law no. 7/2022, or the Macau Gaming Operations Law. Macau’s gaming operations are also subject to the grant of a concession by, and regulatory control of, the Macau government. See “— Gaming Licenses” below for more details.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DICJ is the supervisory authority and regulator of the gaming industry in Macau. The core functions of the DICJ are:</w:t>
      </w:r>
    </w:p>
    <w:p>
      <w:pPr>
        <w:spacing w:after="0" w:line="131" w:lineRule="exact"/>
        <w:rPr>
          <w:sz w:val="20"/>
          <w:szCs w:val="20"/>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collaborate in the definition of gaming policies;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supervise and monitor the activities of the concessionaires;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investigate and monitor the continuing suitability and financial capacity requirements of concessionaires and gaming promoters;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licenses to gaming promoters;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license and certify gaming equipment;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directives and recommend practices with respect to the ordinary operation of casinos.</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920"/>
          </w:cols>
          <w:pgMar w:left="320" w:top="472"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Below are the main features of the Macau Gaming Operations Law, including amended provisions, as supplemented by Administrative Regulation no. 26/2001 (as amended in July 2022 pursuant to Administrative Regulation no. 28/2022), that are currently applicable to our business.</w:t>
      </w:r>
    </w:p>
    <w:p>
      <w:pPr>
        <w:spacing w:after="0" w:line="55" w:lineRule="exact"/>
        <w:rPr>
          <w:sz w:val="20"/>
          <w:szCs w:val="20"/>
          <w:color w:val="auto"/>
        </w:rPr>
      </w:pPr>
    </w:p>
    <w:p>
      <w:pPr>
        <w:ind w:left="1240" w:hanging="530"/>
        <w:spacing w:after="0" w:line="262"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we breach the Macau Gaming Operations Law, Melco Resorts Macau’s Concession Contract could be limited, conditioned, suspended or revoked, subject to compliance with certain statutory and regulatory procedures. In addition, we, and the persons involved, could be subject to substantial fines for each separate breach of Macau Gaming Operations Law or of the Concession Contract at the discretion of the Macau government. Further, if we terminate or suspend the operation of all or a part of our gaming operations without permission for reasons not due to </w:t>
      </w:r>
      <w:r>
        <w:rPr>
          <w:rFonts w:ascii="Times New Roman" w:cs="Times New Roman" w:eastAsia="Times New Roman" w:hAnsi="Times New Roman"/>
          <w:sz w:val="17"/>
          <w:szCs w:val="17"/>
          <w:i w:val="1"/>
          <w:iCs w:val="1"/>
          <w:color w:val="auto"/>
        </w:rPr>
        <w:t>force majeure</w:t>
      </w:r>
      <w:r>
        <w:rPr>
          <w:rFonts w:ascii="Times New Roman" w:cs="Times New Roman" w:eastAsia="Times New Roman" w:hAnsi="Times New Roman"/>
          <w:sz w:val="17"/>
          <w:szCs w:val="17"/>
          <w:color w:val="auto"/>
        </w:rPr>
        <w:t>, or in the event of serious disruptions or deficiencies in our organization and operation or in the general condition of our facilities and equipment which may affect the normal operation of our gaming business, the Macau government would be entitled to replace Melco Resorts Macau during such disruption and to ensure the continued operation of the gaming business. Under such circumstances, we would bear the expenses required for maintaining the normal operation of the gaming business.</w:t>
      </w:r>
    </w:p>
    <w:p>
      <w:pPr>
        <w:spacing w:after="0" w:line="83"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has the power to supervise concessionaires in order to assure financial stability and capability. See “— Gaming Licenses — The Concession Contract in Macau.”</w:t>
      </w:r>
    </w:p>
    <w:p>
      <w:pPr>
        <w:spacing w:after="0" w:line="55" w:lineRule="exact"/>
        <w:rPr>
          <w:rFonts w:ascii="Times New Roman" w:cs="Times New Roman" w:eastAsia="Times New Roman" w:hAnsi="Times New Roman"/>
          <w:sz w:val="17"/>
          <w:szCs w:val="17"/>
          <w:color w:val="auto"/>
        </w:rPr>
      </w:pPr>
    </w:p>
    <w:p>
      <w:pPr>
        <w:ind w:left="1240" w:right="200" w:hanging="530"/>
        <w:spacing w:after="0" w:line="264"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Melco Resorts Macau may be subject to administrative sanctions if, after it receives notice that a person is unsuitable to be a shareholder or to have any other relationship with it, Melco Resorts Macau:</w:t>
      </w:r>
    </w:p>
    <w:p>
      <w:pPr>
        <w:spacing w:after="0" w:line="82"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that person any dividend or interest upon its shares;</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allows that person to exercise, directly or indirectly, any voting right conferred through shares held by that person;</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remuneration in any form to that person for services rendered or otherwise; or</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pursue all lawful efforts to require that unsuitable person to relinquish his or her shares.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requires prior approval for the creation of a lien over shares or gaming equipment and utensils of a concession holder.</w:t>
      </w:r>
    </w:p>
    <w:p>
      <w:pPr>
        <w:spacing w:after="0" w:line="55" w:lineRule="exact"/>
        <w:rPr>
          <w:rFonts w:ascii="Times New Roman" w:cs="Times New Roman" w:eastAsia="Times New Roman" w:hAnsi="Times New Roman"/>
          <w:sz w:val="17"/>
          <w:szCs w:val="17"/>
          <w:color w:val="auto"/>
        </w:rPr>
      </w:pPr>
    </w:p>
    <w:p>
      <w:pPr>
        <w:jc w:val="both"/>
        <w:ind w:left="1240" w:right="20" w:hanging="530"/>
        <w:spacing w:after="0" w:line="269"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concessions is six.</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76"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a gaming concession is set in the concession contract and cannot exceed 10 years but the Chief Executive of Macau may exceptionally authorize, based on justified reasons, one or more extensions of the term of the concession up to the total period of three years.</w:t>
      </w:r>
    </w:p>
    <w:p>
      <w:pPr>
        <w:spacing w:after="0" w:line="70"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940"/>
          </w:cols>
          <w:pgMar w:left="320" w:top="473"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40" w:hanging="530"/>
        <w:spacing w:after="0" w:line="26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registered share capital shall not be less than MOP5 billion (equivalent to approximately US$621.4 million) and during the term of the concession their net assets shall not be less than such amount. The concessionaires must mandatorily notify the Chief Executive of Macau prior to executing large financial initiatives, which are defined as those with a value greater than MOP2.5 billion (equivalent to approximately US$310.7 million) regarding the internal movement of funds and MOP500 million (equivalent to approximately US$62.1 million) regarding salaries, remunerations, benefits of employees, and any other financial decisions.</w:t>
      </w:r>
    </w:p>
    <w:p>
      <w:pPr>
        <w:spacing w:after="0" w:line="79" w:lineRule="exact"/>
        <w:rPr>
          <w:rFonts w:ascii="Times New Roman" w:cs="Times New Roman" w:eastAsia="Times New Roman" w:hAnsi="Times New Roman"/>
          <w:sz w:val="17"/>
          <w:szCs w:val="17"/>
          <w:color w:val="auto"/>
        </w:rPr>
      </w:pPr>
    </w:p>
    <w:p>
      <w:pPr>
        <w:ind w:left="1240" w:right="160" w:hanging="530"/>
        <w:spacing w:after="0" w:line="26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w:t>
      </w:r>
    </w:p>
    <w:p>
      <w:pPr>
        <w:spacing w:after="0" w:line="79"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70" w:lineRule="exact"/>
        <w:rPr>
          <w:rFonts w:ascii="Times New Roman" w:cs="Times New Roman" w:eastAsia="Times New Roman" w:hAnsi="Times New Roman"/>
          <w:sz w:val="17"/>
          <w:szCs w:val="17"/>
          <w:color w:val="auto"/>
        </w:rPr>
      </w:pPr>
    </w:p>
    <w:p>
      <w:pPr>
        <w:ind w:left="1240" w:hanging="530"/>
        <w:spacing w:after="0" w:line="260"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by means of a contract in properties that are not owned by them for a period of three years from January 1, 2023 under authorization of the Chief Executive of Macau. After the end of such three-year transition period the concessionaires may only continue to operate games of chance in properties that are not owned by them by engaging a managing company. If such locations are closed pursuant to the law or the concession contracts, new operation of games of chance in casino will not be permitted in such locations. The Macau government owns the City of Dreams, Altira and Studio City Casinos gaming and gaming support areas, and the Macau government has transferred these areas to us for usage in our operations during the duration of the concession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w:t>
      </w:r>
    </w:p>
    <w:p>
      <w:pPr>
        <w:spacing w:after="0" w:line="85" w:lineRule="exact"/>
        <w:rPr>
          <w:rFonts w:ascii="Times New Roman" w:cs="Times New Roman" w:eastAsia="Times New Roman" w:hAnsi="Times New Roman"/>
          <w:sz w:val="17"/>
          <w:szCs w:val="17"/>
          <w:color w:val="auto"/>
        </w:rPr>
      </w:pPr>
    </w:p>
    <w:p>
      <w:pPr>
        <w:ind w:left="1240" w:right="60" w:hanging="530"/>
        <w:spacing w:after="0" w:line="26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79"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w:t>
      </w:r>
    </w:p>
    <w:p>
      <w:pPr>
        <w:spacing w:after="0" w:line="70" w:lineRule="exact"/>
        <w:rPr>
          <w:rFonts w:ascii="Times New Roman" w:cs="Times New Roman" w:eastAsia="Times New Roman" w:hAnsi="Times New Roman"/>
          <w:sz w:val="17"/>
          <w:szCs w:val="17"/>
          <w:color w:val="auto"/>
        </w:rPr>
      </w:pPr>
    </w:p>
    <w:p>
      <w:pPr>
        <w:ind w:left="1240" w:right="80" w:hanging="530"/>
        <w:spacing w:after="0" w:line="26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940"/>
          </w:cols>
          <w:pgMar w:left="320" w:top="472"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80"/>
        <w:spacing w:after="0" w:line="276" w:lineRule="auto"/>
        <w:rPr>
          <w:sz w:val="20"/>
          <w:szCs w:val="20"/>
          <w:color w:val="auto"/>
        </w:rPr>
      </w:pPr>
      <w:r>
        <w:rPr>
          <w:rFonts w:ascii="Times New Roman" w:cs="Times New Roman" w:eastAsia="Times New Roman" w:hAnsi="Times New Roman"/>
          <w:sz w:val="17"/>
          <w:szCs w:val="17"/>
          <w:color w:val="auto"/>
        </w:rPr>
        <w:t>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w:t>
      </w:r>
    </w:p>
    <w:p>
      <w:pPr>
        <w:spacing w:after="0" w:line="70" w:lineRule="exact"/>
        <w:rPr>
          <w:sz w:val="20"/>
          <w:szCs w:val="20"/>
          <w:color w:val="auto"/>
        </w:rPr>
      </w:pPr>
    </w:p>
    <w:p>
      <w:pPr>
        <w:ind w:left="1240" w:right="400" w:hanging="530"/>
        <w:spacing w:after="0" w:line="295"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must have a managing-director who is a Macau permanent resident and holds at least 15% of the registered share capital of the concessionaire.</w:t>
      </w:r>
    </w:p>
    <w:p>
      <w:pPr>
        <w:spacing w:after="0" w:line="55"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w:t>
      </w:r>
    </w:p>
    <w:p>
      <w:pPr>
        <w:spacing w:after="0" w:line="70" w:lineRule="exact"/>
        <w:rPr>
          <w:rFonts w:ascii="Times New Roman" w:cs="Times New Roman" w:eastAsia="Times New Roman" w:hAnsi="Times New Roman"/>
          <w:sz w:val="17"/>
          <w:szCs w:val="17"/>
          <w:color w:val="auto"/>
        </w:rPr>
      </w:pPr>
    </w:p>
    <w:p>
      <w:pPr>
        <w:ind w:left="1240" w:right="20" w:hanging="530"/>
        <w:spacing w:after="0" w:line="260"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US$869,988) annual gross gaming revenue for gaming tables and MOP300,000 (equivalent to approximately US$37,285) annual gross gaming revenue for gaming machines.</w:t>
      </w:r>
    </w:p>
    <w:p>
      <w:pPr>
        <w:spacing w:after="0" w:line="88" w:lineRule="exact"/>
        <w:rPr>
          <w:rFonts w:ascii="Times New Roman" w:cs="Times New Roman" w:eastAsia="Times New Roman" w:hAnsi="Times New Roman"/>
          <w:sz w:val="17"/>
          <w:szCs w:val="17"/>
          <w:color w:val="auto"/>
        </w:rPr>
      </w:pPr>
    </w:p>
    <w:p>
      <w:pPr>
        <w:ind w:left="1240" w:right="40" w:hanging="530"/>
        <w:spacing w:after="0" w:line="262"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w:t>
      </w:r>
    </w:p>
    <w:p>
      <w:pPr>
        <w:spacing w:after="0" w:line="83"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gaming promoter can only conduct gaming promotion activities with one concessionaire and may only receive commission, not being a gaming promoter permitted to share with the concessionaires, in any form whatsoever, the casino revenue.</w:t>
      </w:r>
    </w:p>
    <w:p>
      <w:pPr>
        <w:spacing w:after="0" w:line="55" w:lineRule="exact"/>
        <w:rPr>
          <w:rFonts w:ascii="Times New Roman" w:cs="Times New Roman" w:eastAsia="Times New Roman" w:hAnsi="Times New Roman"/>
          <w:sz w:val="17"/>
          <w:szCs w:val="17"/>
          <w:color w:val="auto"/>
        </w:rPr>
      </w:pPr>
    </w:p>
    <w:p>
      <w:pPr>
        <w:ind w:left="1240" w:right="200" w:hanging="530"/>
        <w:spacing w:after="0" w:line="276"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70" w:lineRule="exact"/>
        <w:rPr>
          <w:rFonts w:ascii="Times New Roman" w:cs="Times New Roman" w:eastAsia="Times New Roman" w:hAnsi="Times New Roman"/>
          <w:sz w:val="17"/>
          <w:szCs w:val="17"/>
          <w:color w:val="auto"/>
        </w:rPr>
      </w:pPr>
    </w:p>
    <w:p>
      <w:pPr>
        <w:ind w:left="1240" w:right="40" w:hanging="530"/>
        <w:spacing w:after="0" w:line="266"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tables and gaming machines that may be operated by the concessionaires is determined by dispatch from the Chief Executive of Macau and the number of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960"/>
          </w:cols>
          <w:pgMar w:left="320" w:top="472" w:right="6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20"/>
        <w:spacing w:after="0" w:line="268" w:lineRule="auto"/>
        <w:rPr>
          <w:sz w:val="20"/>
          <w:szCs w:val="20"/>
          <w:color w:val="auto"/>
        </w:rPr>
      </w:pPr>
      <w:r>
        <w:rPr>
          <w:rFonts w:ascii="Times New Roman" w:cs="Times New Roman" w:eastAsia="Times New Roman" w:hAnsi="Times New Roman"/>
          <w:sz w:val="17"/>
          <w:szCs w:val="17"/>
          <w:color w:val="auto"/>
        </w:rPr>
        <w:t>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Melco Resorts Macau has been authorized to operate 750 gaming tables and 2,100 gaming machines.</w:t>
      </w:r>
    </w:p>
    <w:p>
      <w:pPr>
        <w:spacing w:after="0" w:line="290" w:lineRule="exact"/>
        <w:rPr>
          <w:sz w:val="20"/>
          <w:szCs w:val="20"/>
          <w:color w:val="auto"/>
        </w:rPr>
      </w:pPr>
    </w:p>
    <w:p>
      <w:pPr>
        <w:ind w:left="1240" w:right="140" w:hanging="530"/>
        <w:spacing w:after="0" w:line="295"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circulation of chips is subject to authorization from the Secretary for Economy and Finance, which may establish the maximum limit of the total amount of chips in circulation.</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can only disseminate information or activities related to gaming in the zones for games of chance of the casinos, under the applicable laws and regulations.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companies of which they are dominant shareholders cannot be admitted to listing on stock exchanges.</w:t>
      </w:r>
    </w:p>
    <w:p>
      <w:pPr>
        <w:spacing w:after="0" w:line="131" w:lineRule="exact"/>
        <w:rPr>
          <w:rFonts w:ascii="Times New Roman" w:cs="Times New Roman" w:eastAsia="Times New Roman" w:hAnsi="Times New Roman"/>
          <w:sz w:val="17"/>
          <w:szCs w:val="17"/>
          <w:color w:val="auto"/>
        </w:rPr>
      </w:pPr>
    </w:p>
    <w:p>
      <w:pPr>
        <w:ind w:left="1240" w:right="180" w:hanging="530"/>
        <w:spacing w:after="0" w:line="269"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established with fines ranging from MOP100,000 (equivalent to approximately US$12,428) and MOP5,000,000 (equivalent to approximately US$621,420) and, depending on the seriousness of the offense, damages, fault, benefits obtained, economic situation and previous conduct, a supplemental penalty of total or partial closure of gaming areas for periods ranging from one month to one year.</w:t>
      </w:r>
    </w:p>
    <w:p>
      <w:pPr>
        <w:spacing w:after="0" w:line="77"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Non-compliance with these obligations could lead to the revocation of Melco Resorts Macau’s Concession Contract and could materially and adversely affect our gaming operations.</w:t>
      </w:r>
    </w:p>
    <w:p>
      <w:pPr>
        <w:spacing w:after="0" w:line="147"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 machines, equipment and systems, instructions on promoting responsible gaming, restrictions on the reallocation of gaming tables between properties and other matters. In addition, the Macau government may consider enacting new regulations that may adversely affect our gaming operations. Our inability to address the requirements or restrictions imposed by the Macau government under such legislation or rules could adversely affect our gaming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Activities Regulations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cancelation of gaming promoter licenses are the responsibility of the Secretary for Economy and Finance, who also determines the maximum annual number of gaming promoters which each concessionaire may engage as published on the DICJ’s website.</w:t>
      </w:r>
    </w:p>
    <w:p>
      <w:pPr>
        <w:spacing w:after="0" w:line="169"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net assets of not less than such amount during the license period, having as shareholders individuals only, having 50% or more of its registered capital being held by permanent residents of Macau who are at least 21 years of</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940"/>
          </w:cols>
          <w:pgMar w:left="320" w:top="473"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9" w:lineRule="auto"/>
        <w:rPr>
          <w:sz w:val="20"/>
          <w:szCs w:val="20"/>
          <w:color w:val="auto"/>
        </w:rPr>
      </w:pPr>
      <w:r>
        <w:rPr>
          <w:rFonts w:ascii="Times New Roman" w:cs="Times New Roman" w:eastAsia="Times New Roman" w:hAnsi="Times New Roman"/>
          <w:sz w:val="17"/>
          <w:szCs w:val="17"/>
          <w:color w:val="auto"/>
        </w:rPr>
        <w:t>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previously being declared insolvent or bankrupt, nor being responsible for debts arising from the insolvency or bankruptcy of third parties, and the company and its shareholders, directors and key employees being deemed suitable.</w:t>
      </w:r>
    </w:p>
    <w:p>
      <w:pPr>
        <w:spacing w:after="0" w:line="169"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75" w:lineRule="exact"/>
        <w:rPr>
          <w:sz w:val="20"/>
          <w:szCs w:val="20"/>
          <w:color w:val="auto"/>
        </w:rPr>
      </w:pPr>
    </w:p>
    <w:p>
      <w:pPr>
        <w:ind w:left="300" w:right="140" w:firstLine="960"/>
        <w:spacing w:after="0" w:line="262" w:lineRule="auto"/>
        <w:rPr>
          <w:sz w:val="20"/>
          <w:szCs w:val="20"/>
          <w:color w:val="auto"/>
        </w:rPr>
      </w:pPr>
      <w:r>
        <w:rPr>
          <w:rFonts w:ascii="Times New Roman" w:cs="Times New Roman" w:eastAsia="Times New Roman" w:hAnsi="Times New Roman"/>
          <w:sz w:val="17"/>
          <w:szCs w:val="17"/>
          <w:color w:val="auto"/>
        </w:rPr>
        <w:t>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w:t>
      </w:r>
    </w:p>
    <w:p>
      <w:pPr>
        <w:spacing w:after="0" w:line="175"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w:t>
      </w:r>
    </w:p>
    <w:p>
      <w:pPr>
        <w:spacing w:after="0" w:line="171"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In addition to the licensing and suitability assessment process performed by the DICJ, all of our gaming promoters (if any) undergo thorough internal vetting procedures. We conduct background checks and also conduct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69"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Such commission cap was confirmed by the Macau government in 2022. Any advantages or liberalities offered or provided, in Macau or abroad, directly or indirectly, to the gaming promoter by the concessionaire, a company in which the concession holds participation, or others with which the concessionaire is in a group relationship, shall be considered and calculated as commission and be</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920"/>
          </w:cols>
          <w:pgMar w:left="320" w:top="472" w:right="6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within such commission cap. The commission cap regulations impose fines, ranging from MOP2,000,000 (equivalent to approximately US$248,568) up to MOP5,000,000 (equivalent to approximately US$621,420) on concessionaires that do not comply with the cap and other fines, ranging from MOP600,000 (equivalent to approximately US$74,570) up to MOP1,500,000 (equivalent to approximately US$186,426)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175"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w:t>
      </w:r>
    </w:p>
    <w:p>
      <w:pPr>
        <w:spacing w:after="0" w:line="16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w:t>
      </w:r>
    </w:p>
    <w:p>
      <w:pPr>
        <w:spacing w:after="0" w:line="171"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920"/>
          </w:cols>
          <w:pgMar w:left="320" w:top="472" w:right="6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Credit Regulations</w:t>
      </w:r>
    </w:p>
    <w:p>
      <w:pPr>
        <w:spacing w:after="0" w:line="122"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Macau Law no. 5/2004 has legalized the extension of gaming credit to patrons or gaming promoters by concessionaires. Gaming promoters may also extend credit to patrons upon obtaining an authorization by a 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courts in Macau. This law is currently under review by the Macau government.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Illegal Gambling Crimes Regulations</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Macau government is currently considering the enactment of a new law to combat illegal gambling crimes. The proposed “Law to Combat Illegal Gaming Crimes” will replace the existing Illegal Gaming Law (Law no. 8/96/M). Among other things, the proposed new law clarifies that illegal gaming crimes include side betting activities, increases the penalties applicable to illegal gaming crimes (imprisonment of up to 8 years and fine of up to 360 days, i.e., MOP3,600,000), and prohibits the operation, promotion and organization of online gaming in Macau, even if the servers or IT equipment are located outside Macau. Furthermore, it proposes the introduction of several measures to enhance investigations, such as the ability of authorities to resort to undercover agents.</w:t>
      </w:r>
    </w:p>
    <w:p>
      <w:pPr>
        <w:spacing w:after="0" w:line="173" w:lineRule="exact"/>
        <w:rPr>
          <w:sz w:val="20"/>
          <w:szCs w:val="20"/>
          <w:color w:val="auto"/>
        </w:rPr>
      </w:pPr>
    </w:p>
    <w:p>
      <w:pPr>
        <w:jc w:val="both"/>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In addition to natural persons, legal entities are also subject to this proposed new law and, in the case of legal entities, are subject to a judicial dissolution penalty or daily fines ranging from MOP250 to MOP15,000 for a period of no less than 100 days to a maximum period of 1,200 days and representatives of legal entities may be jointly and severally responsible to pay such fines.</w:t>
      </w:r>
    </w:p>
    <w:p>
      <w:pPr>
        <w:spacing w:after="0" w:line="16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penalties described above, other sanctions which may be imposed include prohibition from attending certain establishments or places, prohibition or suspension to exercise certain profession or activity, deportation or prohibition from entering the Macau SAR in case of non-residents, and prohibition to enter casinos.</w:t>
      </w:r>
    </w:p>
    <w:p>
      <w:pPr>
        <w:spacing w:after="0" w:line="16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The draft law continues to cover other crimes related to gaming, such as the crimes of illegal concession of credit for gaming, fraudulent gaming and falsification of gaming chips.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proposed law is currently under review and approval by the Macau Legislative Assembly.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Access to Casinos and Gaming Areas Regulations</w:t>
      </w:r>
    </w:p>
    <w:p>
      <w:pPr>
        <w:spacing w:after="0" w:line="122" w:lineRule="exact"/>
        <w:rPr>
          <w:sz w:val="20"/>
          <w:szCs w:val="20"/>
          <w:color w:val="auto"/>
        </w:rPr>
      </w:pPr>
    </w:p>
    <w:p>
      <w:pPr>
        <w:jc w:val="both"/>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Smoking Regulations</w:t>
      </w:r>
    </w:p>
    <w:p>
      <w:pPr>
        <w:spacing w:after="0" w:line="122"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w:t>
      </w:r>
    </w:p>
    <w:p>
      <w:pPr>
        <w:spacing w:after="0" w:line="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880"/>
          </w:cols>
          <w:pgMar w:left="320" w:top="472" w:right="6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and Terrorism Financing Regulations</w:t>
      </w:r>
    </w:p>
    <w:p>
      <w:pPr>
        <w:spacing w:after="0" w:line="12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our compliance requirements with respect to identifying, reporting and preventing anti-money laundering and terrorism financing crimes at our casinos in Macau. Under these laws and regulations, we are required to:</w:t>
      </w:r>
    </w:p>
    <w:p>
      <w:pPr>
        <w:spacing w:after="0" w:line="80" w:lineRule="exact"/>
        <w:rPr>
          <w:sz w:val="20"/>
          <w:szCs w:val="20"/>
          <w:color w:val="auto"/>
        </w:rPr>
      </w:pPr>
    </w:p>
    <w:p>
      <w:pPr>
        <w:ind w:left="1240" w:right="400" w:hanging="530"/>
        <w:spacing w:after="0" w:line="295"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internal procedures and rules governing the prevention of anti-money laundering and terrorism financing crimes which are subject to prior approval from DICJ;</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evaluate the money laundering and terrorism financing risk inherent to gaming activities;</w:t>
      </w:r>
    </w:p>
    <w:p>
      <w:pPr>
        <w:spacing w:after="0" w:line="13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any customer who is in a stable business relationship with Melco Resorts Macau,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deal with any of our customers who fail to provide any information requested by 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on the identification of a customer for a period of five years;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regime for electronic transfers;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individual records of all transactions related to gaming which involve credit securities;</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of all electronic transactions for amounts equal to or exceeding MOP8,000 (equivalent to approximately US$994) in cases of occasional transactions and MOP120,000 (equivalent to approximately US$14,914) in cases of transactions that arose in the context of a continuous business relationship;</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Macau Finance Information Bureau if there is any sign of money laundering or financing of terrorism;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as compliance function and appoint compliance officers; and</w:t>
      </w:r>
    </w:p>
    <w:p>
      <w:pPr>
        <w:spacing w:after="0" w:line="131"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the Macau government by providing all required information and documentation requested in relation to anti-money laundering activities.</w:t>
      </w:r>
    </w:p>
    <w:p>
      <w:pPr>
        <w:spacing w:after="0" w:line="147"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Under Article 2 of Administrative Regulation no. 7/2006 (as amended pursuant to Administrative Regulation no. 17/2017) and the DICJ Instruction no. 1/2016 (as amended pursuant to DICJ Instruction no.1/2019), we are required to track and report transactions and granting of credit that are of MOP500,000 (equivalent to approximately US$62,142) or above. Pursuant to the legal requirements above, if the customer provides all required information, after submitting the reports, we may continue to deal with those customers that were reported to the DICJ and, in case of suspicious transactions, to the Macau Finance Information Bureau.</w:t>
      </w:r>
    </w:p>
    <w:p>
      <w:pPr>
        <w:spacing w:after="0" w:line="171"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w:t>
      </w:r>
    </w:p>
    <w:p>
      <w:pPr>
        <w:spacing w:after="0" w:line="162"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We have developed a comprehensive anti-money laundering policy and related procedures covering our anti-money laundering responsibilities, which have been approved by the DICJ, and has training programs in place to ensure that all relevant employees understand such anti-money laundering policy and procedures. We also use an integrated IT system to track and automatically generate significant cash transaction reports and, as permitted by the DICJ and the Macau Finance Information Bureau, submit those reports electronically.</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960"/>
          </w:cols>
          <w:pgMar w:left="320" w:top="473" w:right="6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Responsible Gaming Regulations</w:t>
      </w:r>
    </w:p>
    <w:p>
      <w:pPr>
        <w:spacing w:after="0" w:line="12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On October 18, 2019, the DICJ issued Instruction no. 4/2019, which came into effect on December 27, 2019, setting out measures for the implementation of responsible gaming principles.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73"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Law no. 16/2001, as amended in June 2022 pursuant to Law no. 7/2022, or the Macau Gaming Operations Law, also sets out responsible gaming obligations, including the obligation of the concessionaires to prepare a plan for the promotion of responsible gaming, as well as to adopt measures that allow the public, including tourists, to have sufficient information to assume a responsible, moderate and controlled posture towards gaming. These measures include providing players with information about responsible gaming behaviors, as well as about gaming dependency and addiction issues, including the information on responsible gaming;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gaming aimed at employees, as well as counseling services. Furthermore, the concessionaires must annually submit to the DICJ a report on the execution of the plan for the promotion of responsible gaming of such year, as well as a plan for the promotion of responsible gaming for the subsequent year.</w:t>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Control of Cross-border Transportation of Cash Regulations</w:t>
      </w:r>
    </w:p>
    <w:p>
      <w:pPr>
        <w:spacing w:after="0" w:line="12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US$14,914)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US$124) and not exceeding MOP500,000 (equivalent to approximately US$62,142)).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Operating in the Gaming Industry in Macau — Our gaming operations in Macau could be adversely affected by restrictions on the export of the Renminbi and any unfavorable fluctuations in the currency exchange rates of the Renminbi.”</w:t>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Prevention and Suppression of Corruption in External Trade Regulations</w:t>
      </w:r>
    </w:p>
    <w:p>
      <w:pPr>
        <w:spacing w:after="0" w:line="122" w:lineRule="exact"/>
        <w:rPr>
          <w:sz w:val="20"/>
          <w:szCs w:val="20"/>
          <w:color w:val="auto"/>
        </w:rPr>
      </w:pPr>
    </w:p>
    <w:p>
      <w:pPr>
        <w:ind w:left="300" w:right="34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940"/>
          </w:cols>
          <w:pgMar w:left="320" w:top="472" w:right="6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Asset Freezing Enforcement Regulations</w:t>
      </w:r>
    </w:p>
    <w:p>
      <w:pPr>
        <w:spacing w:after="0" w:line="122"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Regulations</w:t>
      </w:r>
    </w:p>
    <w:p>
      <w:pPr>
        <w:spacing w:after="0" w:line="12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Regulations</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47" w:lineRule="exact"/>
        <w:rPr>
          <w:sz w:val="20"/>
          <w:szCs w:val="20"/>
          <w:color w:val="auto"/>
        </w:rPr>
      </w:pPr>
    </w:p>
    <w:p>
      <w:pPr>
        <w:ind w:left="300" w:right="800" w:firstLine="960"/>
        <w:spacing w:after="0" w:line="267" w:lineRule="auto"/>
        <w:rPr>
          <w:sz w:val="20"/>
          <w:szCs w:val="20"/>
          <w:color w:val="auto"/>
        </w:rPr>
      </w:pPr>
      <w:r>
        <w:rPr>
          <w:rFonts w:ascii="Times New Roman" w:cs="Times New Roman" w:eastAsia="Times New Roman" w:hAnsi="Times New Roman"/>
          <w:sz w:val="17"/>
          <w:szCs w:val="17"/>
          <w:color w:val="auto"/>
        </w:rPr>
        <w:t>The applicable regime in Macau with regard to intellectual property rights is defined by two main laws. The Industrial Property Code (Decree-Law no. 97/99/M, as amended pursuant to Law no. 11/2001), covers (i) inventions meeting the patentability requirements;</w:t>
      </w:r>
    </w:p>
    <w:p>
      <w:pPr>
        <w:spacing w:after="0" w:line="1" w:lineRule="exact"/>
        <w:rPr>
          <w:sz w:val="20"/>
          <w:szCs w:val="20"/>
          <w:color w:val="auto"/>
        </w:rPr>
      </w:pPr>
    </w:p>
    <w:p>
      <w:pPr>
        <w:jc w:val="both"/>
        <w:ind w:left="300" w:right="300" w:hanging="8"/>
        <w:spacing w:after="0" w:line="260" w:lineRule="auto"/>
        <w:tabs>
          <w:tab w:leader="none" w:pos="55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and Operations — A failure to establish and protect our intellectual property rights could have an adverse effect on our business, financial condition and results of operations.”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Personal Information Regulations</w:t>
      </w:r>
    </w:p>
    <w:p>
      <w:pPr>
        <w:spacing w:after="0" w:line="12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Processing of personal information by our subsidiaries in Macau is subject to compliance with the Personal Data Protection Act (Law no. 8/2005), in the case of Melco Resorts Macau, any instructions issued by DICJ from time to time. The Office for Personal Data Protection, or GPDP, is the regulatory authority in Macau specially in charge of supervising and enforcing the Personal Data Protection Act. Breaches are subject to civil liability, administrative and criminal sanctions.</w:t>
      </w:r>
    </w:p>
    <w:p>
      <w:pPr>
        <w:spacing w:after="0" w:line="169"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The legal framework and the instructions issued by DICJ require that certain procedures must be adopted before collecting, processing and/or transferring personal information, including obtaining consent from the data subject and/or notifying or requesting authorization from the GPDP and/or DICJ, as applicable, prior to processing personal information.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Regulations</w:t>
      </w:r>
    </w:p>
    <w:p>
      <w:pPr>
        <w:spacing w:after="0" w:line="122"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Law no. 13/2019, the Cybersecurity Law came into effect on December 21, 2019 and is intended to protect networks, systems and data of public and private operators of critical infra-structures, among which operators of games of chance in casino are included.</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940"/>
          </w:cols>
          <w:pgMar w:left="320" w:top="472"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cybersecurity system is composed of a Cybersecurity Commission, a Cybersecurity Alert and Response Incident Centre (“CARIC”) and cybersecurity supervisory entities.</w:t>
      </w:r>
    </w:p>
    <w:p>
      <w:pPr>
        <w:spacing w:after="0" w:line="147"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Additional regulations have been enacted to further determine and detail how the above-mentioned obligations are to be fulfilled.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Labor Quotas Regulations</w:t>
      </w:r>
    </w:p>
    <w:p>
      <w:pPr>
        <w:spacing w:after="0" w:line="122" w:lineRule="exact"/>
        <w:rPr>
          <w:sz w:val="20"/>
          <w:szCs w:val="20"/>
          <w:color w:val="auto"/>
        </w:rPr>
      </w:pPr>
    </w:p>
    <w:p>
      <w:pPr>
        <w:jc w:val="both"/>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All businesses in Macau must apply to the Labor Affairs Bureau for labor quotas to import non-resident unskilled workers from the PRC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We have, through our subsidiaries, two main groups of labor quotas in Macau, one to import non-skilled workers from the PRC and the other to import non-skilled workers from all other countries. Melco Resorts Macau is not currently allowed to hire non-Macau resident dealers and supervisors under the Macau government’s policy.</w:t>
      </w:r>
    </w:p>
    <w:p>
      <w:pPr>
        <w:spacing w:after="0" w:line="173"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Minimum Salary Regulations</w:t>
      </w:r>
    </w:p>
    <w:p>
      <w:pPr>
        <w:spacing w:after="0" w:line="12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On April 27, 2020, Law no. 5/2020, with respect to minimum salary, was enacted. Such law came into effect on November 1, 2020. In accordance with such law, the monthly minimum salary in Macau is MOP6,656 (equivalent to approximately US$827) per month (excluding overtime, night and shift allowances and regular bonus related payments). The minimum salary requirement applies to all workers in Macau, except domestic helpers and special needs workers.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Land Regulations</w:t>
      </w:r>
    </w:p>
    <w:p>
      <w:pPr>
        <w:spacing w:after="0" w:line="12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Land in Macau is legally divided into plots. In most cases, private interests in real property located in Macau are obtained through long-term leases from the Macau government.</w:t>
      </w:r>
    </w:p>
    <w:p>
      <w:pPr>
        <w:spacing w:after="0" w:line="147"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940"/>
          </w:cols>
          <w:pgMar w:left="320" w:top="472" w:right="6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Distribution of Profits Regulations</w:t>
      </w:r>
    </w:p>
    <w:p>
      <w:pPr>
        <w:spacing w:after="0" w:line="12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Subsidiaries incorporated in Macau are required to set aside a minimum between 10% to 25% of the entity’s profit after tax to the legal reserve until the balance of the legal reserve reaches a level equivalent to between 25% to 50% of the entity’s share capital, in accordance with the provisions of the Macau Commercial Code. The legal reserve is not available for distribution to the shareholders of the subsidiaries. The appropriation of legal reserve is recorded in the subsidiaries’ financial statements in the year in which it is approved by the board of directors or the shareholders (as applicable) of the relevant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of December 31, 2023, the aggregate balance of the legal reserves of all of our Macau subsidiaries amounted to US$31.5 million.</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Philippines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Regulations</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Melco Philippine Parties and Philippine Parties are co-licensees of the Philippine License dated April 29, 2015 issued by PAGCOR (previously the Provisional License) for the development of an integrated casino, hotel, retail and entertainment complex within the Entertainment City, Manila. As one of the Philippine Licensees, Melco Resorts Leisure has been named as the special purpose entity to operate the casino business and act as the sole and exclusive representative of the Philippine Licensees for the purposes of the Philippine License. The Philippine License is one of the four licenses granted to various parties to develop integrated tourism resorts and establish and operate casinos in Entertainment City.</w:t>
      </w:r>
    </w:p>
    <w:p>
      <w:pPr>
        <w:spacing w:after="0" w:line="171"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71"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 CRM contains regulations and standards that the Entertainment City licensees, including City of Dreams Manila, should adhere to and observe. It should be read in conjunction with the Philippine License. It contains regulations on areas such as, but not limited to: casino layout, table games and electronic gaming machines, casino management systems,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revised from time to time to incorporate changes and revisions to the CRM proposed by any of the Entertainment City licensees and approved by PAGCOR. To date, the CRM is now on its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version.</w:t>
      </w:r>
    </w:p>
    <w:p>
      <w:pPr>
        <w:spacing w:after="0" w:line="55"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The ownership and operation of casino gaming facilities in the Philippines are subject to the regulatory supervision of PAGCOR. See “— Gaming Licenses — PAGCOR Licenses in the Philippines” below for more details.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Regulations in the Philippines</w:t>
      </w:r>
    </w:p>
    <w:p>
      <w:pPr>
        <w:spacing w:after="0" w:line="122"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Philippine AMLA criminalized money laundering and imposed certain requirements on customer identification, record keeping, and reporting of covered and suspicious transactions by covered persons as defined under the law.</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960"/>
          </w:cols>
          <w:pgMar w:left="320" w:top="472" w:right="6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Previously, City of Dreams Manila was covered by the Philippine AMLA only to a limited extent and was only required to report its foreign exchange transactions/money changer activities. However, with the new amendment to the existing Philippine AMLA, casinos are now included as covered persons subject to reporting and other requirements. Therefore, City of Dreams Manila, both in relation to its foreign exchange transactions/money changer activities, as well as its casino operations, is now required to report (i) transactions in cash or other equivalent monetary instrument involving a total amount in excess of PHP500,000 (equivalent to approximately US$8,998) within one (1) banking day, with respect to its foreign exchange transactions/money changer activities, and (ii) single casino cash transaction involving an amount in excess of PHP5,000,000 (equivalent to approximately US$89,980) or its equivalent in any other currency, with respect to its casino operations. Suspicious transactions, regardless of amount, are also required to be reported in connection with both its foreign exchange transactions/money changer activities and casino operations.</w:t>
      </w:r>
    </w:p>
    <w:p>
      <w:pPr>
        <w:spacing w:after="0" w:line="390"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The Anti-Money Laundering Council and PAGCOR have also recently released regulations and guidelines on compliance and we have adjusted our anti-money laundering policies for our Philippine operations to these new rules and regulations.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Environmental Laws</w:t>
      </w:r>
    </w:p>
    <w:p>
      <w:pPr>
        <w:spacing w:after="0" w:line="122"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Development projects that are classified by law as Environmentally Critical Projects within statutorily defined Environmentally Critical Areas are required to obtain an Environmental Compliance Certificate (“ECC”) prior to commencement.</w:t>
      </w:r>
    </w:p>
    <w:p>
      <w:pPr>
        <w:spacing w:after="0" w:line="147"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Environmental Management Bureau of the Department of Environment and Natural Resources issued an ECC to Belle Corporation for City of Dreams Manila. Under the terms of its Philippine Economic Zone Authority registration, Melco Resorts Leisure is required, prior to the start of commercial operations of City of Dreams Manila, to either: (a) apply for an ECC with the Environmental Management Bureau of the Department of Environment and Natural Resources and submit an approved copy of the ECC to the Philippine Economic Zone Authority within 15 days from its issuance, or (b) submit the ECC issued to Belle Corporation, as the same may be amended to reflect any changes made to City of Dreams Manila, for the review and approval by the Philippine Economic Zone Authority. Accordingly, Belle Corporation applied for an Amended ECC to reflect the changes made to City of Dreams Manila. The Environmental Management Bureau of the Department of Environment and Natural Resources issued the Amended ECC to Belle Corporation on July 31, 2014.</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Cyprus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Law and Regulations</w:t>
      </w:r>
    </w:p>
    <w:p>
      <w:pPr>
        <w:spacing w:after="0" w:line="122" w:lineRule="exact"/>
        <w:rPr>
          <w:sz w:val="20"/>
          <w:szCs w:val="20"/>
          <w:color w:val="auto"/>
        </w:rPr>
      </w:pPr>
    </w:p>
    <w:p>
      <w:pPr>
        <w:ind w:left="300" w:right="60" w:firstLine="960"/>
        <w:spacing w:after="0" w:line="260" w:lineRule="auto"/>
        <w:rPr>
          <w:sz w:val="20"/>
          <w:szCs w:val="20"/>
          <w:color w:val="auto"/>
        </w:rPr>
      </w:pPr>
      <w:r>
        <w:rPr>
          <w:rFonts w:ascii="Times New Roman" w:cs="Times New Roman" w:eastAsia="Times New Roman" w:hAnsi="Times New Roman"/>
          <w:sz w:val="17"/>
          <w:szCs w:val="17"/>
          <w:color w:val="auto"/>
        </w:rPr>
        <w:t>The Cyprus Casino Operations and Control Laws of 2015-2022 (as amended from time to time) (“the Law”) and Casino Operations and Control Law (General) Regulations 2016 provide the main regulatory framework for the establishment, operation, function, supervision and control of casinos operating in Cyprus. The Law established The Cyprus Gaming and Casino Supervision Commission, known as the Cyprus Gaming Commission, in 2015. The Law also provided for a gaming license to be granted to a single operator, which was granted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These are the only lawful and regulated casino operations in Cyprus. The Cyprus Gaming Commission also issues binding directions to Integrated Casino Resorts concerning its operations from time to time. Such directions issued by the Cyprus Gaming Commission in the past cover casino advertising and promotions, anti-money laundering and combating the financing of terrorism, casino layout, casino surveillance, conduct of casino games and rules for games, use of agents for referrals of casino customers and the gaming equipment technical standards and others.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960"/>
          </w:cols>
          <w:pgMar w:left="320" w:top="472" w:right="6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Law and Regulations</w:t>
      </w:r>
    </w:p>
    <w:p>
      <w:pPr>
        <w:spacing w:after="0" w:line="122"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Prevention and Suppression of Money Laundering Activities Laws of 2007 to 2022 (188(I)/2007) N. 98 (I)/2023 (“Cyprus AML Law”) as amended in March 2021 transposed the European Union’s Sixth AML Directive (“AMLD 6”) into national law of Cyprus. Amendments to the Cyprus AML Law were also made in March 2022 in order to provide further clarifications on the provisions of the AMLD 6. The amendments to the Cyprus AML Law mostly relate to the enforcement procedure and measures to be undertaken to better enforce, supervise and coordinate the EU’s rules in this area. Notably, a new article 55A provides for the exchange of information between competent authorities of member states as well as the introduction of a new article 61Z, which provides for the exchange of information with Europol. Additionally, in October 2023, new amendments were announced in relation to the Cyprus AML Law. Particularly, the newly introduced article 66 sets out the duties of the obliged entities, emphasizing their obligations to identify, assess and mitigate the risks related to money laundering and terrorist financing.</w:t>
      </w:r>
    </w:p>
    <w:p>
      <w:pPr>
        <w:spacing w:after="0" w:line="175"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The CGC’s anti-money laundering Direction requires the Company to implement compliance measures to meet obligations relating to the Company’s monitoring and control obligations and CGC reporting requirements. The principal objectives of the Cyprus AML Law are to prevent the laundering of proceeds of serious criminal offenses (“predicate offenses”), including terrorist financing and related activities, to detect and prosecute money laundering activities and to provide for the restraint and confiscation of illicit funds. The law makes money laundering or assisting in it a criminal offense and establishes a Financial Intelligence Unit (“FIU”).</w:t>
      </w:r>
    </w:p>
    <w:p>
      <w:pPr>
        <w:spacing w:after="0" w:line="171"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Casino operators are an obliged entity under the Cyprus AML Law. Integrated Casino Resorts is therefore required to have procedures in place for customer due diligence, recordkeeping and internal reporting and to appoint an appropriate person as money laundering compliance officer. The Cyprus AML Law also contains powers of MOKAS to confiscate the assets of persons who are convicted of a predicate offense and to restrain the assets of such persons and of persons who are reasonably suspected of involvement in money laundering activities. In addition, there are a number of regulations related to anti-corruption, anti-bribery, anti-money laundering and sanctions. The CGC also has supervisory powers for anti-money laundering and combating the financing of terrorism.</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On January 17, 2024, the Council of the European Union and European Parliament reached a provisional agreement on a new Anti-Money Laundering (“AML”) framework aimed at solidifying the EU’s commitment to addressing AML and terrorist financing risks through a harmonized regulatory framework, including:</w:t>
      </w:r>
    </w:p>
    <w:p>
      <w:pPr>
        <w:spacing w:after="0" w:line="70" w:lineRule="exact"/>
        <w:rPr>
          <w:sz w:val="20"/>
          <w:szCs w:val="20"/>
          <w:color w:val="auto"/>
        </w:rPr>
      </w:pPr>
    </w:p>
    <w:p>
      <w:pPr>
        <w:ind w:left="1240" w:right="440" w:hanging="530"/>
        <w:spacing w:after="0" w:line="29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formulation of a new AML Regulation (“AMLR”), introducing a unified and directly applicable ‘single rulebook’ across the EU, providing detailed and directly applicable AML rules throughout the EU;</w:t>
      </w:r>
    </w:p>
    <w:p>
      <w:pPr>
        <w:spacing w:after="0" w:line="55"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AMLD 6 as already enacted will be transferred to the AMLR, implementing measures at a national level, including specific obligations for enhanced due diligence by all obliged entities for transactions involving high-risk third countries;</w:t>
      </w:r>
    </w:p>
    <w:p>
      <w:pPr>
        <w:spacing w:after="0" w:line="55" w:lineRule="exact"/>
        <w:rPr>
          <w:rFonts w:ascii="Times New Roman" w:cs="Times New Roman" w:eastAsia="Times New Roman" w:hAnsi="Times New Roman"/>
          <w:sz w:val="17"/>
          <w:szCs w:val="17"/>
          <w:color w:val="auto"/>
        </w:rPr>
      </w:pPr>
    </w:p>
    <w:p>
      <w:pPr>
        <w:ind w:left="1240" w:right="80" w:hanging="530"/>
        <w:spacing w:after="0" w:line="263"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maximum limits for cash payments. Specifically, an EU-wide maximum limit of €10 000 was set for cash payments, in an attempt to further enhance the protective measures against money laundering and terrorist financing. Notably, member states will have the flexibility to impose a lower maximum limit. Moreover, AMLD 6 introduced reinforced rules concerning beneficial ownership registers, in an attempt to ensure the reliability of and access to beneficial ownership registers. In addition, FIUs will have reinforced powers, through having immediate and direct access to financial, administrative and law enforcement information. Profoundly, AMLD 6 aims to strengthen cooperation between FIUs and other competent authorities, such as the EU-wide Authority for AML and Countering the Financing of Terrorism (“AMLA”), Europol, Eurojust and the European Public Prosecutor’s Office; and</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920"/>
          </w:cols>
          <w:pgMar w:left="320" w:top="473" w:right="6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00" w:hanging="530"/>
        <w:spacing w:after="0" w:line="269"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political accord on the creation of the AMLA, which will have direct and indirect supervisory powers to oversee selected high-risk entities and assist national supervisors. The AMLA will reinforce the whistleblowing mechanism in the financial sector and have a supporting role with respect to the non-financial sector. The location of the AMLA is under consideration, with applications from member states being assessed.</w:t>
      </w:r>
    </w:p>
    <w:p>
      <w:pPr>
        <w:spacing w:after="0" w:line="169" w:lineRule="exact"/>
        <w:rPr>
          <w:sz w:val="20"/>
          <w:szCs w:val="20"/>
          <w:color w:val="auto"/>
        </w:rPr>
      </w:pPr>
    </w:p>
    <w:p>
      <w:pPr>
        <w:ind w:left="300" w:right="500" w:firstLine="960"/>
        <w:spacing w:after="0" w:line="276" w:lineRule="auto"/>
        <w:rPr>
          <w:sz w:val="20"/>
          <w:szCs w:val="20"/>
          <w:color w:val="auto"/>
        </w:rPr>
      </w:pPr>
      <w:r>
        <w:rPr>
          <w:rFonts w:ascii="Times New Roman" w:cs="Times New Roman" w:eastAsia="Times New Roman" w:hAnsi="Times New Roman"/>
          <w:sz w:val="17"/>
          <w:szCs w:val="17"/>
          <w:color w:val="auto"/>
        </w:rPr>
        <w:t>The provisional agreement will be finalized and presented to EU member states’ representatives in the Committee of Permanent Representatives and the European Parliament for approval. After the approval, the agreement will need to be formally adopted by the Council and Parliament before entered into force.</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EU’s General Data Protection Regulation</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EU’s General Data Protection Regulation 2016/679 (“GDPR”), which came into force on May 25, 2018, is the EU’s data protection regulation which aims primarily to give control to individuals over their personal data and imposes strict requirements on organizations’ processing individuals’ personal data. It places a strong emphasis on the protection of personal data during international transfers outside the EU and European Economic Area (“EEA”), requiring organizations to employ adequate safeguards or relying on other GDPR-approved transfer mechanisms to ensure that the transferred data receives a level of protection equivalent to that within the EU or EEA. Established within the EU, our operations in Cyprus are subject to the GDPR requirements. We have therefore developed and implemented a strategy that encompasses regular staff training, data protection impact assessments and the establishment of policies and procedures which regulate the organization’s activities and aim to protect all personal data that is collected, processed and maintained by all business units.</w:t>
      </w:r>
    </w:p>
    <w:p>
      <w:pPr>
        <w:spacing w:after="0" w:line="175" w:lineRule="exact"/>
        <w:rPr>
          <w:sz w:val="20"/>
          <w:szCs w:val="20"/>
          <w:color w:val="auto"/>
        </w:rPr>
      </w:pPr>
    </w:p>
    <w:p>
      <w:pPr>
        <w:ind w:left="300" w:right="20" w:firstLine="960"/>
        <w:spacing w:after="0" w:line="265" w:lineRule="auto"/>
        <w:rPr>
          <w:sz w:val="20"/>
          <w:szCs w:val="20"/>
          <w:color w:val="auto"/>
        </w:rPr>
      </w:pPr>
      <w:r>
        <w:rPr>
          <w:rFonts w:ascii="Times New Roman" w:cs="Times New Roman" w:eastAsia="Times New Roman" w:hAnsi="Times New Roman"/>
          <w:sz w:val="17"/>
          <w:szCs w:val="17"/>
          <w:color w:val="auto"/>
        </w:rPr>
        <w:t>An external Data Protection Officer has been appointed for our Cyprus operations, in line with the GDPR. In addition to the implementation of various policies and procedures, a number of physical and technical safeguards have been adopted, in an effort to ensure the protection of all personal data our Cyprus operations maintain. There are open channels for communication with data subjects, allowing them to exercise their rights under the GDPR. Additionally, we have put in place processes in our Cyprus operations to facilitate compliance with the GDPR requirements governing international data transfers, in an effort to ensure that any cross-border data transfer incorporates the necessary safeguards and mechanisms.</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Environmental Laws</w:t>
      </w:r>
    </w:p>
    <w:p>
      <w:pPr>
        <w:spacing w:after="0" w:line="122" w:lineRule="exact"/>
        <w:rPr>
          <w:sz w:val="20"/>
          <w:szCs w:val="20"/>
          <w:color w:val="auto"/>
        </w:rPr>
      </w:pPr>
    </w:p>
    <w:p>
      <w:pPr>
        <w:ind w:left="300" w:right="140" w:firstLine="960"/>
        <w:spacing w:after="0" w:line="262" w:lineRule="auto"/>
        <w:rPr>
          <w:sz w:val="20"/>
          <w:szCs w:val="20"/>
          <w:color w:val="auto"/>
        </w:rPr>
      </w:pPr>
      <w:r>
        <w:rPr>
          <w:rFonts w:ascii="Times New Roman" w:cs="Times New Roman" w:eastAsia="Times New Roman" w:hAnsi="Times New Roman"/>
          <w:sz w:val="17"/>
          <w:szCs w:val="17"/>
          <w:color w:val="auto"/>
        </w:rPr>
        <w:t>The European Union’s Directive on the Assessment of the Effects of Certain Plans and Programmes on the Environment provides for a high level of protection of the environment with a view to contributing to the integration of environmental considerations for the preparation and adoption of plans and programs promoting sustainable development. This aims to ensure that an Environmental Impact Assessment is conducted on certain plans and programs which are likely to have significant effects on the environment., including those in the tourism sector. The Directive was transposed into Cyprus law in 2005 by the Environmental Impact Assessment from Certain Plans and/or Programmes Law 102(I)/2005, which is enforced by the Cyprus Department of Environment. To comply with the requirements of the environmental law, an Environmental Impact Assessment was conducted for the development of the City of Dreams Mediterranean project which, inter alia, includes the study of impacts on the nearby environment.</w:t>
      </w: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Applicable Laws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Foreign Corrupt Practices Act</w:t>
      </w:r>
    </w:p>
    <w:p>
      <w:pPr>
        <w:spacing w:after="0" w:line="122" w:lineRule="exact"/>
        <w:rPr>
          <w:sz w:val="20"/>
          <w:szCs w:val="20"/>
          <w:color w:val="auto"/>
        </w:rPr>
      </w:pPr>
    </w:p>
    <w:p>
      <w:pPr>
        <w:jc w:val="both"/>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FCPA prohibits our Company and our employees and agents from offering or giving money or any other item of value to win or retain business or to influence any act or decision of any foreign official. The Code of Business Conduct and Ethics includes specific FCPA related provisions in Section IV and VIII B. To</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960"/>
          </w:cols>
          <w:pgMar w:left="320" w:top="472" w:right="6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7"/>
          <w:szCs w:val="17"/>
          <w:color w:val="auto"/>
        </w:rPr>
        <w:t>further supplement the Code of Business Conduct and Ethics,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Licenses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Regime in Macau</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Macau government conducted an international tender process for gaming concessions in Macau in 2022, and granted six gaming concessions to SJM, MGM Grand, Galaxy, Venetian Macau Limited (“VML”),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VML, respectively. Our subsidiary, Melco Resorts Macau,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ours. Upon the completion of the tender process for new concessions, Melco Resorts Macau was granted with a new gaming concession by the Macau government for a period of 10 years, effective from January 1, 2023 until December 31, 2032, and entered into the respective Concession Contract on December 16, 2022.</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3"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All concessionaires must pay a special gaming tax of 35% of gross gaming revenues, defined as all gaming revenues derived from casino or gaming areas, plus an annual gaming premium of:</w:t>
      </w:r>
    </w:p>
    <w:p>
      <w:pPr>
        <w:spacing w:after="0" w:line="55" w:lineRule="exact"/>
        <w:rPr>
          <w:sz w:val="20"/>
          <w:szCs w:val="20"/>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 million (equivalent to approximately US$3.7 million) per annum fixed premium;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MOP300,000 (equivalent to approximately US$37,285) per annum per VIP gaming table;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MOP150,000 (equivalent to approximately US$18,643) per annum per mass market gaming table;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MOP1,000 (equivalent to approximately US$124) per annum per electric or mechanical gaming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subject to a minimum annual payment of an amount required for the operation of 500 gaming tables and 1,000 electronic gaming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machines.</w:t>
      </w:r>
    </w:p>
    <w:p>
      <w:pPr>
        <w:spacing w:after="0" w:line="205"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A special premium may be due by Melco Resorts Macau in the event the average gross gaming revenue of Melco Resorts Macau’s gaming tables does not reach the annual minimum of MOP7,000,000 (equivalent to approximately US$869,988) and the average gross gaming revenue of the gaming machines does not reach the annual minimum of MOP300,000 (equivalent to approximately US$37,285). The amount of the special premium is equivalent to the difference between the amount of the special gaming tax paid by Melco Resorts Macau and the amount that would be paid under the annual minimum set average gross gaming revenue for gaming tables and gaming machines.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Contract in Macau</w:t>
      </w:r>
    </w:p>
    <w:p>
      <w:pPr>
        <w:spacing w:after="0" w:line="12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The Concession Contract in Macau provides for the terms and conditions of the concession granted to Melco Resorts Macau with expiration on December 31, 2032. Melco Resorts Macau, pursuant to a legal restriction applicable to all concessionaires, does not have the right to grant a subconcession or transfer the operation to third parties.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960"/>
          </w:cols>
          <w:pgMar w:left="320" w:top="472" w:right="6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On December 16, 2022, Melco Resorts Macau was granted the right to operate games of chance in casinos in Macau under a new gaming concession effective from January 1, 2023 until the expiration of the concession on December 31, 2032.</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1"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Gaming and Non-Gaming Investment Obligations. </w:t>
      </w:r>
      <w:r>
        <w:rPr>
          <w:rFonts w:ascii="Times New Roman" w:cs="Times New Roman" w:eastAsia="Times New Roman" w:hAnsi="Times New Roman"/>
          <w:sz w:val="17"/>
          <w:szCs w:val="17"/>
          <w:color w:val="auto"/>
        </w:rPr>
        <w:t>The Concession Contract requires us to make a minimum investment in Macau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MOP11,823.7 million (equivalent to approximately US$1.47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 million (equivalent to approximately US$1.24 billion) will be applied to non-gaming related projects, with the balance applied to gaming related projects. Melco Resorts Macau has undertaken to carry out incremental additional non-gaming investment in the amount of approximately 20% of its initial non-gaming investment, or MOP2,003.0 million (equivalent to approximately US$248.9 million), in the event Macau’s annual gross gaming revenue reaches MOP180.0 billion (equivalent to approximately US$22.37 billion), which occurred in 2023.</w:t>
      </w:r>
    </w:p>
    <w:p>
      <w:pPr>
        <w:spacing w:after="0" w:line="17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minimum investment amount is without prejudice to the activation of the mechanism for top-up investment, including investment projects related to gaming and non-gaming in areas such as international visitors, conventions and exhibitions, entertainment shows, sports events, culture and art, health and well-being, thematic entertainment, city of gastronomy, community tourism, maritime tourism, and others. If, after the completion of the execution of the investment plan under the Concession Contract, the total amount of expenses made by the concessionaire, directly or, with approval from the Macau government, indirectly, is lower than the global amount and the amount committed at the time of activation of the Incremental Investment Trigger, the concessionaire undertakes to use the remaining amount on projects correlated to its activity to be designated by the concessionaire and accepted by the Macau government and/or on projects that are designated by the Macau government with significant public benefit to Macau.</w:t>
      </w:r>
    </w:p>
    <w:p>
      <w:pPr>
        <w:spacing w:after="0" w:line="388"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 and the amount committed at the time of activation of the Incremental Investment Trigger.</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w:t>
      </w:r>
    </w:p>
    <w:p>
      <w:pPr>
        <w:spacing w:after="0" w:line="171" w:lineRule="exact"/>
        <w:rPr>
          <w:sz w:val="20"/>
          <w:szCs w:val="20"/>
          <w:color w:val="auto"/>
        </w:rPr>
      </w:pPr>
    </w:p>
    <w:p>
      <w:pPr>
        <w:ind w:left="300" w:right="40" w:firstLine="9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Payments. </w:t>
      </w:r>
      <w:r>
        <w:rPr>
          <w:rFonts w:ascii="Times New Roman" w:cs="Times New Roman" w:eastAsia="Times New Roman" w:hAnsi="Times New Roman"/>
          <w:sz w:val="17"/>
          <w:szCs w:val="17"/>
          <w:color w:val="auto"/>
        </w:rPr>
        <w:t>Concession premiums and taxes, computed in various ways depending upon the type of gaming or activity involved,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annual amount</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940"/>
          </w:cols>
          <w:pgMar w:left="320" w:top="472"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69" w:lineRule="auto"/>
        <w:rPr>
          <w:sz w:val="20"/>
          <w:szCs w:val="20"/>
          <w:color w:val="auto"/>
        </w:rPr>
      </w:pPr>
      <w:r>
        <w:rPr>
          <w:rFonts w:ascii="Times New Roman" w:cs="Times New Roman" w:eastAsia="Times New Roman" w:hAnsi="Times New Roman"/>
          <w:sz w:val="17"/>
          <w:szCs w:val="17"/>
          <w:color w:val="auto"/>
        </w:rPr>
        <w:t>equivalent to 2% of the gross gaming revenues to a public fund that has as purposes the promotion, development or study of cultural, social, economic, educational, scientific, academic and philanthropic actions. Furthermore, we are also obligated to contribute to Macau an amount equivalent to 3% of the gross gaming revenues for urban development, tourism promotion and the social security of Macau. We are required to collect and pay, through withholding, statutory taxes on commissions or other remunerations paid to gaming promoters.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Termination Rights. </w:t>
      </w:r>
      <w:r>
        <w:rPr>
          <w:rFonts w:ascii="Times New Roman" w:cs="Times New Roman" w:eastAsia="Times New Roman" w:hAnsi="Times New Roman"/>
          <w:sz w:val="17"/>
          <w:szCs w:val="17"/>
          <w:color w:val="auto"/>
        </w:rPr>
        <w:t>The Macau government has the right to unilaterally terminate Melco Resorts Macau’s concession in the event</w:t>
      </w:r>
    </w:p>
    <w:p>
      <w:pPr>
        <w:spacing w:after="0" w:line="34"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7"/>
          <w:szCs w:val="17"/>
          <w:color w:val="auto"/>
        </w:rPr>
        <w:t>of non-compliance by us with our basic obligations under the concession and applicable Macau laws. Upon termination, all of our casino premises and gaming equipment, would revert or be transferred to the Macau government automatically without compensation to us and we would cease to generate any revenues from these operations. In many of these instances, the Concession Contract does not provide a specific cure period within which any such events may be cured and, instead, we may be dependent on consultations and negotiations with the Macau government to give us an opportunity to remedy any such default. Melco Resorts Macau is not granted with explicit rights of veto, or of prior consultation. The Macau government may be able to unilaterally rescind the Concession Contract upon the following termination events:</w:t>
      </w:r>
    </w:p>
    <w:p>
      <w:pPr>
        <w:spacing w:after="0" w:line="83" w:lineRule="exact"/>
        <w:rPr>
          <w:sz w:val="20"/>
          <w:szCs w:val="20"/>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gaming without permission or operation of business which does not fall within the business scope of the concession;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abandonment of approved business or suspension of operations of our gaming business in Macau without reasonable grounds;</w:t>
      </w:r>
    </w:p>
    <w:p>
      <w:pPr>
        <w:spacing w:after="0" w:line="131"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all or part of Melco Resorts Macau’s operation in Macau in violation of the relevant laws and administrative regulations governing the operation of games of chance in casino in Macau and without Macau government approval;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taxes, premiums, levies or other amounts payable to the Macau government;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or failure to resume operations following the temporary assumption of operations by the Macau government;</w:t>
      </w:r>
    </w:p>
    <w:p>
      <w:pPr>
        <w:spacing w:after="0" w:line="131" w:lineRule="exact"/>
        <w:rPr>
          <w:rFonts w:ascii="Times New Roman" w:cs="Times New Roman" w:eastAsia="Times New Roman" w:hAnsi="Times New Roman"/>
          <w:sz w:val="17"/>
          <w:szCs w:val="17"/>
          <w:color w:val="auto"/>
        </w:rPr>
      </w:pPr>
    </w:p>
    <w:p>
      <w:pPr>
        <w:ind w:left="1240" w:right="1260" w:hanging="530"/>
        <w:spacing w:after="0" w:line="295"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opposition to the supervision and inspection by the Macau government and failure to comply with decisions and recommendations of the Macau government, especially those of the DICJ, applicable to us;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provide or supplement the guarantee deposit or the guarantees specified in the concession within the prescribed period;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insolvency of Melco Resorts Macau;</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fraudulent activity harming public interest;</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repeated violation of the applicable rules for carrying out games of chance in casino or damage to the fairness of games of chance in casino;</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systematic non-compliance with the Macau Gaming Operations Law’s or Concession Contract’s obligations; or</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the investment amount and the respective criteria provided for in the Concession Contract, within the deadline set out by the Secretary for Economy and Finance.</w:t>
      </w:r>
    </w:p>
    <w:p>
      <w:pPr>
        <w:spacing w:after="0" w:line="147" w:lineRule="exact"/>
        <w:rPr>
          <w:sz w:val="20"/>
          <w:szCs w:val="20"/>
          <w:color w:val="auto"/>
        </w:rPr>
      </w:pPr>
    </w:p>
    <w:p>
      <w:pPr>
        <w:ind w:left="300" w:right="400" w:firstLine="960"/>
        <w:spacing w:after="0" w:line="269" w:lineRule="auto"/>
        <w:rPr>
          <w:sz w:val="20"/>
          <w:szCs w:val="20"/>
          <w:color w:val="auto"/>
        </w:rPr>
      </w:pPr>
      <w:r>
        <w:rPr>
          <w:rFonts w:ascii="Times New Roman" w:cs="Times New Roman" w:eastAsia="Times New Roman" w:hAnsi="Times New Roman"/>
          <w:sz w:val="17"/>
          <w:szCs w:val="17"/>
          <w:color w:val="auto"/>
        </w:rPr>
        <w:t>In addition, the Macau government may, from the eighth year of the Concession, redeem the Concession by notice to Melco Resorts Macau at least one year in advance. Pursuant to such redemption, the Macau government would assume all rights and obligations of Melco Resorts Macau resulting from business legally and validly conducted by Melco Resorts Macau before the date of the redemption notice and Melco Resorts Macau would have a right to obtain reasonable and fair compensation under applicable Macau law.</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940"/>
          </w:cols>
          <w:pgMar w:left="320" w:top="472" w:right="6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Ownership and Capitalization. Set out below are the key terms in relation to ownership and capitalization under the Concession Contract:</w:t>
      </w:r>
    </w:p>
    <w:p>
      <w:pPr>
        <w:spacing w:after="0" w:line="131" w:lineRule="exact"/>
        <w:rPr>
          <w:sz w:val="20"/>
          <w:szCs w:val="20"/>
          <w:color w:val="auto"/>
        </w:rPr>
      </w:pPr>
    </w:p>
    <w:p>
      <w:pPr>
        <w:ind w:left="1240" w:right="200" w:hanging="530"/>
        <w:spacing w:after="0" w:line="26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and net asset value of Melco Resorts Macau cannot be less than MOP5,000,000,000 (equivalent to approximately US$621,419,999) and, to guarantee its performance of certain of its legal and contractual obligations, including labor obligations, Melco Resorts Macau must maintain a guarantee issued by a Macau SAR bank in favor of the Macau SAR in the amount of MOP1,000,000,000 (equivalent to approximately US$124,284,000) until 180 days after the earlier of the expiration or termination of the Concession;</w:t>
      </w:r>
    </w:p>
    <w:p>
      <w:pPr>
        <w:spacing w:after="0" w:line="79" w:lineRule="exact"/>
        <w:rPr>
          <w:rFonts w:ascii="Times New Roman" w:cs="Times New Roman" w:eastAsia="Times New Roman" w:hAnsi="Times New Roman"/>
          <w:sz w:val="17"/>
          <w:szCs w:val="17"/>
          <w:color w:val="auto"/>
        </w:rPr>
      </w:pPr>
    </w:p>
    <w:p>
      <w:pPr>
        <w:ind w:left="1240" w:right="640" w:hanging="530"/>
        <w:spacing w:after="0" w:line="295"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Melco Resorts Macau must be a permanent resident of the Macau SAR and must hold at least 15% of the registered share capital of Melco Resorts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acquires voting rights in Melco Resorts Macau will be subject to authorization from the Macau government;</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7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will be required to take the necessary measures to ensure that any person who directly or indirectly acquires more than 5% of the shares in Melco Resorts Macau would be subject to authorization from the Macau government, except when such acquisition is wholly made through the shares of publicly-listed companies tradable at a stock exchange;</w:t>
      </w:r>
    </w:p>
    <w:p>
      <w:pPr>
        <w:spacing w:after="0" w:line="70" w:lineRule="exact"/>
        <w:rPr>
          <w:rFonts w:ascii="Times New Roman" w:cs="Times New Roman" w:eastAsia="Times New Roman" w:hAnsi="Times New Roman"/>
          <w:sz w:val="17"/>
          <w:szCs w:val="17"/>
          <w:color w:val="auto"/>
        </w:rPr>
      </w:pPr>
    </w:p>
    <w:p>
      <w:pPr>
        <w:ind w:left="1240" w:right="440" w:hanging="530"/>
        <w:spacing w:after="0" w:line="27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or indirectly acquires more than 5% of the shares in Melco Resorts Macau will be required to report the acquisition to the Macau government (except when such acquisition is wholly made through shares tradable on a stock exchange as a publicly-listed company);</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government’s prior approval would be required for any recapitalization plan of Melco Resorts Macau;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 Macau could require the increase of Melco Resorts Macau’s share capital, if deemed necessary.</w:t>
      </w:r>
    </w:p>
    <w:p>
      <w:pPr>
        <w:spacing w:after="0" w:line="221" w:lineRule="exact"/>
        <w:rPr>
          <w:sz w:val="20"/>
          <w:szCs w:val="20"/>
          <w:color w:val="auto"/>
        </w:rPr>
      </w:pPr>
    </w:p>
    <w:p>
      <w:pPr>
        <w:ind w:left="300" w:right="28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Others. </w:t>
      </w:r>
      <w:r>
        <w:rPr>
          <w:rFonts w:ascii="Times New Roman" w:cs="Times New Roman" w:eastAsia="Times New Roman" w:hAnsi="Times New Roman"/>
          <w:sz w:val="17"/>
          <w:szCs w:val="17"/>
          <w:color w:val="auto"/>
        </w:rPr>
        <w:t>In addition, the Concession Contract contains various general covenants and obligations and other provisions, including special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duties of cooperation, special duties of information, and execution of our investment obligations.</w:t>
      </w:r>
    </w:p>
    <w:p>
      <w:pPr>
        <w:spacing w:after="0" w:line="144"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Transfers of property and credit rights of Melco Resorts Macau exceeding MOP100,000,000 (equivalent to approximately US$12,428,400) and loan agreements or similar arrangements executed by Melco Resorts Macau as borrower or creditor equal to or exceeding that amount are each subject to approval by the Macau SAR government, except for those loan agreements related to credit granted for gaming purposes. The issue of debt securities by Melco Resorts Macau is also subject to approval by the Macau government and the Concession prohibits Melco Resorts Macau from being listed on a stock exchange. The Concession requires that prior notice be given to the Macau government of financial decisions relating to the internal movement of funds of Melco Resorts Macau exceeding 50% of its registered capital, financial decisions relating to salaries, remuneration or benefits of employees, among others, exceeding 10% of its registered capital and other financial decisions exceeding 10% of its registered capital.</w:t>
      </w:r>
    </w:p>
    <w:p>
      <w:pPr>
        <w:spacing w:after="0" w:line="173"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The Concession Contract provides for Melco Resorts Macau’s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automatically revert or be transferred to the Macau SAR without compensation.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PAGCOR Licenses in the Philippines</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The Philippine License issued by PAGCOR authorizes the Philippine Licensees, through Melco Resorts Leisure, to establish and operate a casino in the Philippines for both local and foreign patrons who are at least 21 years of age.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960"/>
          </w:cols>
          <w:pgMar w:left="320" w:top="472" w:right="6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general, the Philippine License imposes certain obligations such as, but not limited to, the following:</w:t>
      </w:r>
    </w:p>
    <w:p>
      <w:pPr>
        <w:spacing w:after="0" w:line="131" w:lineRule="exact"/>
        <w:rPr>
          <w:sz w:val="20"/>
          <w:szCs w:val="20"/>
          <w:color w:val="auto"/>
        </w:rPr>
      </w:pPr>
    </w:p>
    <w:p>
      <w:pPr>
        <w:ind w:left="1240" w:hanging="530"/>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monthly license fees to PAGCOR;</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debt-to-equity ratio (based on calculation as agreed with PAGCOR) for each of the Philippine Licensees of no greater than 70:30;</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95.0% of the total employees of City of Dreams Manila must be Philippine citizens;</w:t>
      </w:r>
    </w:p>
    <w:p>
      <w:pPr>
        <w:spacing w:after="0" w:line="131" w:lineRule="exact"/>
        <w:rPr>
          <w:rFonts w:ascii="Times New Roman" w:cs="Times New Roman" w:eastAsia="Times New Roman" w:hAnsi="Times New Roman"/>
          <w:sz w:val="17"/>
          <w:szCs w:val="17"/>
          <w:color w:val="auto"/>
        </w:rPr>
      </w:pPr>
    </w:p>
    <w:p>
      <w:pPr>
        <w:ind w:left="1240" w:right="1240" w:hanging="530"/>
        <w:spacing w:after="0" w:line="295"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certain casino revenues must be remitted to a foundation devoted to the restoration of cultural heritage and 5.0% of certain non-gaming revenues to PAGCOR;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 of only the authorized casino games approved by PAGCOR.</w:t>
      </w:r>
    </w:p>
    <w:p>
      <w:pPr>
        <w:spacing w:after="0" w:line="223"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See “Item 3. Key Information — D. Risk Factors — Risks Relating to Operating in the Gaming Industry in the Philippines — MRP’s gaming operations are dependent on the Philippine License issued by PAGCOR.”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License in Cyprus</w:t>
      </w:r>
    </w:p>
    <w:p>
      <w:pPr>
        <w:spacing w:after="0" w:line="122" w:lineRule="exact"/>
        <w:rPr>
          <w:sz w:val="20"/>
          <w:szCs w:val="20"/>
          <w:color w:val="auto"/>
        </w:rPr>
      </w:pPr>
    </w:p>
    <w:p>
      <w:pPr>
        <w:ind w:left="300" w:right="200" w:firstLine="960"/>
        <w:spacing w:after="0" w:line="269" w:lineRule="auto"/>
        <w:rPr>
          <w:sz w:val="20"/>
          <w:szCs w:val="20"/>
          <w:color w:val="auto"/>
        </w:rPr>
      </w:pPr>
      <w:r>
        <w:rPr>
          <w:rFonts w:ascii="Times New Roman" w:cs="Times New Roman" w:eastAsia="Times New Roman" w:hAnsi="Times New Roman"/>
          <w:sz w:val="17"/>
          <w:szCs w:val="17"/>
          <w:color w:val="auto"/>
        </w:rPr>
        <w:t>Under the Cyprus License, Integrated Casino Resorts is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The Cyprus License imposes certain requirements on Integrated Casino Resorts and their service providers.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Cyprus License is also subject to suspension or termination upon the occurrence of certain events. The requirements imposed by the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Cyprus License include, among others:</w:t>
      </w:r>
    </w:p>
    <w:p>
      <w:pPr>
        <w:spacing w:after="0" w:line="113" w:lineRule="exact"/>
        <w:rPr>
          <w:sz w:val="20"/>
          <w:szCs w:val="20"/>
          <w:color w:val="auto"/>
        </w:rPr>
      </w:pPr>
    </w:p>
    <w:p>
      <w:pPr>
        <w:ind w:left="1240" w:right="20" w:hanging="530"/>
        <w:spacing w:after="0" w:line="263" w:lineRule="auto"/>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 annual license fee of EUR2.5 million (equivalent to approximately US$2.8 million) per year for the first four-year period commencing from the date of grant of the Cyprus License on June 26, 2017 and an annual license fee of EUR5.0 million (equivalent to approximately US$5.5 million) per year for the second four-year period as annual license fees for the operation of the temporary casino and City of Dreams Mediterranean to the government of Cyprus. Upon completion of the above eight-year period and for each four-year period thereafter, the government of Cyprus may review the annual license fee payable for each four-year term, provided that the annual license fee payable per year shall be no less than EUR5.0 million (equivalent to approximately US$5.5 million) and subject to a maximum percentage increase.</w:t>
      </w:r>
    </w:p>
    <w:p>
      <w:pPr>
        <w:spacing w:after="0" w:line="81" w:lineRule="exact"/>
        <w:rPr>
          <w:rFonts w:ascii="Times New Roman" w:cs="Times New Roman" w:eastAsia="Times New Roman" w:hAnsi="Times New Roman"/>
          <w:sz w:val="17"/>
          <w:szCs w:val="17"/>
          <w:color w:val="auto"/>
        </w:rPr>
      </w:pPr>
    </w:p>
    <w:p>
      <w:pPr>
        <w:ind w:left="1240" w:hanging="530"/>
        <w:spacing w:after="0" w:line="269" w:lineRule="auto"/>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annual license fee of EUR1.0 million (equivalent to approximately US$1.1 million) per year for the satellite casino in Nicosia since its commencement of operations in 2018 and annual license fee of EUR0.5 million (equivalent to approximately US$0.6 million) per year for each of the satellite casinos in Larnaca (which ceased operation in June 2020), Ayia Napa and Paphos since their operations commenced in 2018, 2019 and 2020, respectively.</w:t>
      </w:r>
    </w:p>
    <w:p>
      <w:pPr>
        <w:spacing w:after="0" w:line="77"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 monthly casino tax of an amount equal to 15% of the gross gaming revenue, such percentage not to be increased during the initial 15-year exclusivity period under the Cyprus License.</w:t>
      </w:r>
    </w:p>
    <w:p>
      <w:pPr>
        <w:spacing w:after="0" w:line="147" w:lineRule="exact"/>
        <w:rPr>
          <w:sz w:val="20"/>
          <w:szCs w:val="20"/>
          <w:color w:val="auto"/>
        </w:rPr>
      </w:pPr>
    </w:p>
    <w:p>
      <w:pPr>
        <w:jc w:val="both"/>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See “Item 3. Key Information — D. Risk Factors — Risks Relating to Operating in the Gaming Industry in Cyprus — Cyprus’ gaming operations are dependent on the Cyprus License issued by CGC and any failure to comply with the terms of the Cyprus License could have a material adverse effect on our business, financial condition and results of operations.”</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900"/>
          </w:cols>
          <w:pgMar w:left="320" w:top="473" w:right="6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Tax</w:t>
      </w:r>
    </w:p>
    <w:p>
      <w:pPr>
        <w:spacing w:after="0" w:line="120"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certain subsidiaries are subject to Hong Kong profits tax of 16.5% on profits arising from our activities conducted in Hong Kong.</w:t>
      </w:r>
    </w:p>
    <w:p>
      <w:pPr>
        <w:spacing w:after="0" w:line="169"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the British Virgin Islands are not subject to tax in the British Virgin Islands, but certain subsidiaries incorporated in the British Virgin Islands are subject to Hong Kong profits tax of 16.5% on profits arising from our activities conducted in Hong Kong and Macau complementary tax of 12% on profits earned in or derived from its activities conducted in Macau.</w:t>
      </w:r>
    </w:p>
    <w:p>
      <w:pPr>
        <w:spacing w:after="0" w:line="162" w:lineRule="exact"/>
        <w:rPr>
          <w:sz w:val="20"/>
          <w:szCs w:val="20"/>
          <w:color w:val="auto"/>
        </w:rPr>
      </w:pPr>
    </w:p>
    <w:p>
      <w:pPr>
        <w:ind w:left="300" w:right="140" w:firstLine="960"/>
        <w:spacing w:after="0" w:line="260" w:lineRule="auto"/>
        <w:rPr>
          <w:sz w:val="20"/>
          <w:szCs w:val="20"/>
          <w:color w:val="auto"/>
        </w:rPr>
      </w:pPr>
      <w:r>
        <w:rPr>
          <w:rFonts w:ascii="Times New Roman" w:cs="Times New Roman" w:eastAsia="Times New Roman" w:hAnsi="Times New Roman"/>
          <w:sz w:val="17"/>
          <w:szCs w:val="17"/>
          <w:color w:val="auto"/>
        </w:rPr>
        <w:t>Our subsidiaries incorporated in Macau are subject to Macau complementary tax of up to 12% on profits earned in or derived from their activities conducted in Macau. Melco Resorts Macau applied for and was granted the benefit of a corporate tax holiday on Macau complementary tax (but not gaming tax) from 2017 through 2021. Melco Resorts Macau was further granted such benefit for the period from January 1, 2022 to December 31, 2022. Melco Resorts Macau continues to benefit from the Macau Complementary Tax exemption on gaming profits for the period from January 1, 2023 to December 31, 2027 pursuant to a Dispatch of the Macau Chief Executive dated January 29, 2024. The non-gaming profits of Melco Resorts Macau remain subject to the Macau Complementary Tax. In addition, the Macau government granted one of our subsidiaries in Macau the complementary tax exemption until 2021 on profits generated from income received from Melco Resorts Macau, to the extent that such income is derived from Studio City gaming operations and has been subject to gaming tax. We have applied for an extension of the Macau Complementary Tax exemption for the period from January 1, 2022 to December 31, 2022 and further for the period from January 1, 2023 to December 31, 2027 but we cannot assure you that such extensions will be granted. The dividend distributions of such subsidiary to its shareholders continue to be subject to complementary tax. We remain subject to Macau complementary tax on our non-gaming profits.</w:t>
      </w:r>
    </w:p>
    <w:p>
      <w:pPr>
        <w:spacing w:after="0" w:line="180"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For the five-year period from 2017 through 2021, an annual payment of MOP18.9 million (equivalent to approximately US$2.3 million) is payable by Melco Resorts Macau, with respect to tax due for dividend distributions to the shareholders of Melco Resorts Macau from gaming profits, whether such dividends are actually distributions by Melco Resorts Macau or not, or whether Melco Resorts Macau has distributable profits in the relevant year. For the period from January 1, 2022 to June 26, 2022, a payment of MOP4 million (equivalent to approximately US$0.5 million) was payable by Melco Resorts Macau. In March 2023, Melco Resorts Macau received an extension of the agreement with the Macau government for an amount of MOP4.2 million (equivalent to approximately US$0.5 million) as payment for the period from June 27, 2022 to December 31, 2022. Upon the payment of such payment amounts, the shareholders of Melco Resorts Macau will not be liable to pay any other tax in Macau for dividend distributions received from gaming profits. In February 2024, Melco Resorts Macau entered into an agreement with the Macau government for an annual payment for the period from 2023 through 2025. However, we cannot assure you that the same arrangement will be applied beyond such period or, in the event a similar arrangement is adopted, whether we will be required to pay a higher annual sum.</w:t>
      </w:r>
    </w:p>
    <w:p>
      <w:pPr>
        <w:spacing w:after="0" w:line="174"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Melco Resorts Macau is subject to Macau gaming tax based on gross gaming revenue in Macau. These gaming taxes are an assessment on Melco Resorts Macau’s gaming revenue and are recorded as casino expense.</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The Macau government granted to Altira Resorts in 2007, and COD Resorts, in 2011 and 2013, the declaration of utility purposes benefit in respect of Altira Macau, The Countdown, Nüwa and Grand Hyatt Macau hotel, pursuant to which they are entitled to a property tax holiday, for a period of 12 years, on any immovable property that they own or is operated by them. Under such declaration of utility purposes benefit, they will also be allowed to double the maximum rates applicable regarding depreciation and reintegration for the purposes of</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940"/>
          </w:cols>
          <w:pgMar w:left="320" w:top="473" w:right="6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700"/>
        <w:spacing w:after="0" w:line="295" w:lineRule="auto"/>
        <w:rPr>
          <w:sz w:val="20"/>
          <w:szCs w:val="20"/>
          <w:color w:val="auto"/>
        </w:rPr>
      </w:pPr>
      <w:r>
        <w:rPr>
          <w:rFonts w:ascii="Times New Roman" w:cs="Times New Roman" w:eastAsia="Times New Roman" w:hAnsi="Times New Roman"/>
          <w:sz w:val="17"/>
          <w:szCs w:val="17"/>
          <w:color w:val="auto"/>
        </w:rPr>
        <w:t>assessing the Macau complementary tax. The transfer of the declaration of utility purpose to COD Resorts and Altira Resorts was requested on November 8, 2017 and was duly approved by the Macau government.</w:t>
      </w:r>
    </w:p>
    <w:p>
      <w:pPr>
        <w:spacing w:after="0" w:line="147"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Hotels was transferred from Studio City Hotels to Studio City Developments Limited, the owner of the Studio City property. In July 2023, the Macau government granted the declaration of touristic utility purpose to Studio City Developments Limited pursuant to which Studio City Developments Limited is entitled to the property tax holiday and is allowed to double the maximum rates applicable to depreciation and reintegration for the purposes of assessment of the Macau complementary tax.</w:t>
      </w:r>
    </w:p>
    <w:p>
      <w:pPr>
        <w:spacing w:after="0" w:line="175"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Philippines, on March 26, 2021, the Corporate Recovery and Tax Incentives for Enterprises (“CREATE”) was signed and took effect on April 11, 2021. CREATE reduced the minimum corporate income tax from 2% to 1% for the period from July 1, 2020 to June 30, 2023 and the corporate income tax rate from 30% to 25% starting July 1, 2020. Certain of our subsidiaries are liable for VAT on certain transactions. For gaming-related transactions in our Philippines operations, Melco Resorts Leisure currently enjoys exemptions from national, local, direct and indirect taxes, including VAT, in the Philippines pursuant to the PAGCOR charter and is subject to license fees which are inclusive of the 5% franchise tax payable to PAGCOR based on gross gaming revenue in the Philippines, in lieu of all other taxes.</w:t>
      </w:r>
    </w:p>
    <w:p>
      <w:pPr>
        <w:spacing w:after="0" w:line="173"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The franchise tax and license fees are an assessment on Melco Resorts Leisure’s gaming revenue and are recorded as casino expense in the consolidated statements of operations. 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69"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In 2022, the Philippine BIR issued Revenue Memorandum Circular No. 32-2022, which sought to impose 12% VAT on gaming revenue. While Melco Resorts Leisure and the other integrated resorts submitted a joint letter to the BIR challenging the imposition of VAT on gaming transactions, there is no assurance that we will prevail on any challenge and any assessment of VAT on our gaming revenue could have a material adverse effect on our business, financial condition and results of operations.</w:t>
      </w:r>
    </w:p>
    <w:p>
      <w:pPr>
        <w:spacing w:after="0" w:line="169"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subsidiaries incorporated in Cyprus are subject to Cyprus corporate income tax of 12.5% on profit earned in or derived from Cyprus and abroad. Our gaming revenues in Cyprus are exempt from VAT while certain of our subsidiaries are subject to VAT on certain non-gaming transactions. Pursuant to the Cyprus License, a casino tax of 15% is imposed on gross gaming revenues in Cyprus. These casino taxes are recorded as a casino expense in the consolidated statements of operations.</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120"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We are a Cayman Islands holding company for the following principal businesses and developments: (1) 100% economic interest in our Macau gaming concession holder, Melco Resorts Macau, which, directly or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940"/>
          </w:cols>
          <w:pgMar w:left="320" w:top="472" w:right="6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indirectly through its subsidiary, is the operator of our gaming and non-gaming businesses in various properties in Macau; (2) a majority equity and economic interest in SCI, the holding company of Studio City; (3) a majority equity and economic interest in MRP, the holding company of City of Dreams Manila; and (4) a majority equity and economic interest in ICR Cyprus, the holding company of our current operations in Cyprus including City of Dreams Mediterranean and three satellite casinos in Nicosia, Ayia Napa and Paphos. Our operations are conducted by our subsidiaries. Investors may never directly hold equity interests in our operating subsidiaries.</w:t>
      </w:r>
    </w:p>
    <w:p>
      <w:pPr>
        <w:spacing w:after="0" w:line="171"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following diagram illustrates our organizational structure, including the place of formation, ownership interest and affiliation of our significant subsidiaries, as of 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121285</wp:posOffset>
            </wp:positionV>
            <wp:extent cx="7015480" cy="530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5480" cy="530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820" w:right="180" w:hanging="528"/>
        <w:spacing w:after="0" w:line="269" w:lineRule="auto"/>
        <w:tabs>
          <w:tab w:leader="none" w:pos="8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1,329,679,067 shares outstanding as of March 15, 2024. The 1,329,679,067 shares outstanding include shares held by our depositary bank to facilitate the administration and operation of our share incentive plans. Such shares represent 1.39% of the Company’s outstanding shares as of March 15, 2024. For a description of our share incentive plans, see “Item 6. Directors, Senior Management and Employees — E. Share Ownership — Share Incentive Plans.”</w:t>
      </w:r>
    </w:p>
    <w:p>
      <w:pPr>
        <w:spacing w:after="0" w:line="77" w:lineRule="exact"/>
        <w:rPr>
          <w:rFonts w:ascii="Times New Roman" w:cs="Times New Roman" w:eastAsia="Times New Roman" w:hAnsi="Times New Roman"/>
          <w:sz w:val="17"/>
          <w:szCs w:val="17"/>
          <w:color w:val="auto"/>
        </w:rPr>
      </w:pPr>
    </w:p>
    <w:p>
      <w:pPr>
        <w:ind w:left="820" w:right="100" w:hanging="528"/>
        <w:spacing w:after="0" w:line="276" w:lineRule="auto"/>
        <w:tabs>
          <w:tab w:leader="none" w:pos="8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50% of the equity interests of these companies are owned by Studio City Holdings Five Limited, a wholly-owned subsidiary of SCI. The 50% interest held by Studio City Holdings Five Limited in various Studio City companies incorporated in the British Virgin Islands is non-voting.</w:t>
      </w:r>
    </w:p>
    <w:p>
      <w:pPr>
        <w:spacing w:after="0" w:line="70"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0.02% of the equity interests are owned by Studio City Holdings Five Limited.</w:t>
      </w:r>
    </w:p>
    <w:p>
      <w:pPr>
        <w:sectPr>
          <w:pgSz w:w="11900" w:h="16838" w:orient="portrait"/>
          <w:cols w:equalWidth="0" w:num="1">
            <w:col w:w="10920"/>
          </w:cols>
          <w:pgMar w:left="320" w:top="472" w:right="659" w:bottom="1440" w:gutter="0" w:footer="0" w:header="0"/>
        </w:sect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920"/>
          </w:cols>
          <w:pgMar w:left="320" w:top="472" w:right="6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820" w:hanging="528"/>
        <w:spacing w:after="0"/>
        <w:tabs>
          <w:tab w:leader="none" w:pos="8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5% of the equity interests are owned by MCO Nominee Two Limited.</w:t>
      </w:r>
    </w:p>
    <w:p>
      <w:pPr>
        <w:spacing w:after="0" w:line="131"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0.089% of the equity interests are owned by Melco International.</w:t>
      </w:r>
    </w:p>
    <w:p>
      <w:pPr>
        <w:spacing w:after="0" w:line="223"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See “Item 7. Major Shareholders and Related Party Transactions — A. Major Shareholders” for more information regarding the beneficial ownership of Melco International in our Company and “Exhibit 8.1 — List of Significant Subsidiaries.”</w:t>
      </w: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25"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See “Item 4. Information on the Company — B. Business Overview,” “Item 5. Operating and Financial Review and Prospects — B. Liquidity and Capital Resources — Cash Flows — Investing Activities” and “— Other Financing and Liquidity Matters” for information regarding our material tangible property, plant and equipment.</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20" w:lineRule="exact"/>
        <w:rPr>
          <w:sz w:val="20"/>
          <w:szCs w:val="20"/>
          <w:color w:val="auto"/>
        </w:rPr>
      </w:pPr>
    </w:p>
    <w:p>
      <w:pPr>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We are a holding company and, through our subsidiaries, develop, own and operate integrated resort facilities in Asia and Europe.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3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primary business segments consist of:</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w:t>
      </w:r>
    </w:p>
    <w:p>
      <w:pPr>
        <w:spacing w:after="0" w:line="120"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In 2023, City of Dreams had an average of approximately 430 gaming tables and approximately 628 gaming machines. Morpheus offers approximately 783 rooms, suites and villas. Nüwa, which was under renovation since early 2020 and re-opened at the end of March 2021 offers approximately 286 guest rooms and the Grand Hyatt Macau hotel offers approximately 763 guest rooms. The Countdown is expected to undergo renovations as part of its rebranding. In addition, City of Dreams includes approximately 41 restaurants and bars,</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900"/>
          </w:cols>
          <w:pgMar w:left="320" w:top="472" w:right="6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approximately 162 retail outlets, a wet stage performance theater, recreation and leisure facilities, including health and fitness clubs, swimming pools, spas and salons and banquet and meeting facilities. The wet stage performance theater with approximately 2,000 seats features The House of Dancing Water which has been temporarily closed since June 2020 and is expected to re-open in late 2024. The Para nightclub offers approximately 2,232 square meters (equivalent to approximately 24,025 square feet) of live entertainment space. City of Dreams targets premium market and rolling chip patrons from regional markets across Asia.</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 the years ended December 31, 2023, 2022 and 2021, operating revenues generated from City of Dreams amounted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US$1,930.5 million, US$559.7 million and US$1,146.9 million, representing 51.1%, 41.5% and 57.0% of our total operating revenues, respectively.</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Altira Macau</w:t>
      </w:r>
    </w:p>
    <w:p>
      <w:pPr>
        <w:spacing w:after="0" w:line="120"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In 2023, Altira Macau had an average of approximately 44 gaming tables and 141 gaming machines operated under the brand Mocha at Altira Macau. In addition, Altira Macau had approximately 216 hotel rooms as of December 31, 2023 and features several fine dining and casual restaurants and recreation and leisure facilities. Starting in the third quarter of 2021, Altira Macau was strategically repositioned to cater to the premium mass and mass segments and shut down VIP rolling chip operations. For the years ended December 31, 2023, 2022 and 2021, operating revenues generated from Altira Macau amounted to US$110.8 million, US$32.6 million and US$56.2 million, representing 2.9%, 2.4% and 2.8% of our total operating revenues, respectively.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Studio City</w:t>
      </w:r>
    </w:p>
    <w:p>
      <w:pPr>
        <w:spacing w:after="0" w:line="120"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Studio City is a large-scale cinematically-themed integrated resort located in Cotai, with gaming facilities, luxury hotel offerings and various entertainment, retail and food and beverage outlets to attract a diverse range of customers in Asia, with a current focus on the mass market segment and complemented with VIP rolling chip operations. The SC ADSs are listed on the New York Stock Exchange, and we owned approximately 54.9% of SCI’s total issued and outstanding shares as of March 15, 2024. In 2023, Studio City had an average of approximately 246 gaming tables and 661 gaming machines. For the years ended December 31, 2023, 2022 and 2021, operating revenues generated from Studio City amounted to US$958.4 million, US$176.0 million and US$372.3 million, representing 25.4%, 13.0% and 18.5% of our total operating revenues, respectively.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Mocha and Other</w:t>
      </w:r>
    </w:p>
    <w:p>
      <w:pPr>
        <w:spacing w:after="0" w:line="120" w:lineRule="exact"/>
        <w:rPr>
          <w:sz w:val="20"/>
          <w:szCs w:val="20"/>
          <w:color w:val="auto"/>
        </w:rPr>
      </w:pPr>
    </w:p>
    <w:p>
      <w:pPr>
        <w:jc w:val="both"/>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Effective from June 27, 2022, the Grand Dragon Casino, a casino on Taipa Island, Macau, which focuses on mass market table games and which was previously reported under the Corporate and Other segment, has been included in the Mocha and Other segment as a result of the change of terms of the right-to-use agreement for the Grand Dragon Casino.</w:t>
      </w:r>
    </w:p>
    <w:p>
      <w:pPr>
        <w:spacing w:after="0" w:line="16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2023, Mocha Clubs had an average of approximately 874 gaming machines in operation (excluding approximately 141 gaming machines at Altira Macau). Mocha Clubs focus primarily on general mass market patrons, including day-trip customers, outside the conventional casino setting. Grand Dragon Casino had an average of approximately 17 gaming tables in 2023. For the years ended December 31, 2023, 2022 and 2021, operating revenues generated from Mocha and Other amounted to US$117.7 million, US$76.4 million and US$85.0 million, representing 3.1%, 5.7% and 4.2% of our total operating revenues, respectively.</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Corporate and Other</w:t>
      </w:r>
    </w:p>
    <w:p>
      <w:pPr>
        <w:spacing w:after="0" w:line="120"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Corporate and Other primarily includes general corporate costs, Grand Dragon Casino (included in Mocha and Other segment effective from June 27, 2022) and our ski resort in Japan (disposed in late December</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900"/>
          </w:cols>
          <w:pgMar w:left="320" w:top="472" w:right="6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spacing w:after="0" w:line="295" w:lineRule="auto"/>
        <w:rPr>
          <w:sz w:val="20"/>
          <w:szCs w:val="20"/>
          <w:color w:val="auto"/>
        </w:rPr>
      </w:pPr>
      <w:r>
        <w:rPr>
          <w:rFonts w:ascii="Times New Roman" w:cs="Times New Roman" w:eastAsia="Times New Roman" w:hAnsi="Times New Roman"/>
          <w:sz w:val="17"/>
          <w:szCs w:val="17"/>
          <w:color w:val="auto"/>
        </w:rPr>
        <w:t>2022). For the years ended December 31, 2023, 2022 and 2021, operating revenues generated from Corporate and Other amounted to US$3.4 million, US$17.6 million and US$30.8 million, representing 0.1%, 1.3% and 1.5% of our total operating revenues, respectively.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Philippines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 Manila</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In 2023, City of Dreams Manila had an average of approximately 2,297 gaming machines and 267 gaming tables. City of Dreams Manila also includes three branded hotel towers, several entertainment venues and features a wide selection of regional and international food and beverage offerings as well as extended retail shops. For the years ended December 31, 2023, 2022 and 2021, operating revenues generated from City of Dreams Manila amounted to US$495.1 million, US$396.4 million and US$268.6 million, representing 13.1%, 29.4% and 13.3% of our total operating revenues, respectively.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Cyprus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 Mediterranean and Other</w:t>
      </w:r>
    </w:p>
    <w:p>
      <w:pPr>
        <w:spacing w:after="0" w:line="120"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Effective from June 12, 2023, with the soft opening of City of Dreams Mediterranean, the Cyprus Operations segment which previously included the operation of the temporary casino before its closure on June 9, 2023 and the licensed satellite casinos in Cyprus, has been renamed to City of Dreams Mediterranean and Other segment which includes the operation of City of Dreams Mediterranean and the licensed satellite casinos in Cyprus. We currently operate and manage City of Dreams Mediterranean in Limassol and three satellite casinos in Nicosia, Ayia Napa and Paphos in Cyprus. In 2023, our facilities in Cyprus had an average of approximately 35 gaming tables and 453 gaming machines before the closure of the temporary casino and the City of Dreams Mediterranean opening. With the increased offering following the resort opening, our facilities in Cyprus had an average of approximately 103 gaming tables and 902 gaming machines, with an average of approximately 99 gaming tables and 744 gaming machines being operated under City of Dreams Mediterranean in the second half of 2023. In addition, City of Dreams Mediterranean had approximately 500 guest rooms and suites as of December 31, 2023 and features a variety of premium dining outlets and luxury retail. For the years ended December 31, 2023, 2022 and 2021, operating revenues generated from our operations in Cyprus amounted to US$159.4 million, US$91.3 million and US$52.6 million, representing 4.2%, 6.8% and 2.6% of our total operating revenues, respectively.</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Summary of Financial Results</w:t>
      </w:r>
    </w:p>
    <w:p>
      <w:pPr>
        <w:spacing w:after="0" w:line="120" w:lineRule="exact"/>
        <w:rPr>
          <w:sz w:val="20"/>
          <w:szCs w:val="20"/>
          <w:color w:val="auto"/>
        </w:rPr>
      </w:pPr>
    </w:p>
    <w:p>
      <w:pPr>
        <w:ind w:left="300" w:right="140" w:firstLine="960"/>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2023, our total operating revenues were US$3.78 billion, an increase of 179.7% from US$1.35 billion for the year ended December 31, 2022. Net loss attributable to Melco Resorts &amp; Entertainment Limited for the year ended December 31, 2023 was US$326.9 million, as compared to net loss of US$930.5 million for the year ended December 31, 2022. The change was primarily attributable to better performance in all gaming segments as well as non-gaming operations as a result of the earlier than expected relaxation of COVID-19 related restrictions in Macau in January 2023 and the openings of City of Dreams Mediterranean and Studio City Phase 2, as well as the launch of residency concerts at Studio City during the year, and no remaining amortization of gaming subconcession, partially offset by higher interest expense, net of amounts capitalized, depreciation and amortization expenses due to the openings of Studio City Phase 2 and City of Dreams Mediterranean and the amortization expenses on intangible assets arising from the Macau gaming concession and the Cyprus gaming license as well as asset impairments of US$207.6 million in Altira Macau under property charges and other in 2023.</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4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6"/>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436"/>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6"/>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r>
      <w:tr>
        <w:trPr>
          <w:trHeight w:val="137"/>
        </w:trPr>
        <w:tc>
          <w:tcPr>
            <w:tcW w:w="4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3,775,247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1,349,977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2,012,356</w:t>
            </w:r>
          </w:p>
        </w:tc>
        <w:tc>
          <w:tcPr>
            <w:tcW w:w="120" w:type="dxa"/>
            <w:vAlign w:val="bottom"/>
            <w:shd w:val="clear" w:color="auto" w:fill="CCEEFF"/>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(3,710,288)</w:t>
            </w:r>
          </w:p>
        </w:tc>
        <w:tc>
          <w:tcPr>
            <w:tcW w:w="480" w:type="dxa"/>
            <w:vAlign w:val="bottom"/>
          </w:tcPr>
          <w:p>
            <w:pPr>
              <w:spacing w:after="0"/>
              <w:rPr>
                <w:sz w:val="18"/>
                <w:szCs w:val="18"/>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(2,093,082)</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(2,589,807)</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64,959</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(743,105)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(577,451)</w:t>
            </w:r>
          </w:p>
        </w:tc>
      </w:t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(326,920)</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(930,526)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(811,751)</w:t>
            </w:r>
          </w:p>
        </w:tc>
      </w:tr>
      <w:tr>
        <w:trPr>
          <w:trHeight w:val="334"/>
        </w:trPr>
        <w:tc>
          <w:tcPr>
            <w:tcW w:w="4600" w:type="dxa"/>
            <w:vAlign w:val="bottom"/>
          </w:tcPr>
          <w:p>
            <w:pPr>
              <w:spacing w:after="0"/>
              <w:rPr>
                <w:sz w:val="24"/>
                <w:szCs w:val="24"/>
                <w:color w:val="auto"/>
              </w:rPr>
            </w:pPr>
          </w:p>
        </w:tc>
        <w:tc>
          <w:tcPr>
            <w:tcW w:w="148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Our results of operations and financial position for the years presented are not fully comparable for the following reasons:</w:t>
      </w:r>
    </w:p>
    <w:p>
      <w:pPr>
        <w:spacing w:after="0" w:line="131" w:lineRule="exact"/>
        <w:rPr>
          <w:sz w:val="20"/>
          <w:szCs w:val="20"/>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14, 2021, Studio City Finance issued US$750.0 million in aggregate principal amount of the First 2029 Studio City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21, 2021, Melco Resorts Finance issued US$250.0 million in aggregate principal of the Additional 2029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20, 2021, Studio City Finance issued US$350.0 million in aggregate principal amount of the Additional 2029 Studio City Notes.</w:t>
      </w:r>
    </w:p>
    <w:p>
      <w:pPr>
        <w:spacing w:after="0" w:line="131" w:lineRule="exact"/>
        <w:rPr>
          <w:rFonts w:ascii="Times New Roman" w:cs="Times New Roman" w:eastAsia="Times New Roman" w:hAnsi="Times New Roman"/>
          <w:sz w:val="17"/>
          <w:szCs w:val="17"/>
          <w:color w:val="auto"/>
        </w:rPr>
      </w:pPr>
    </w:p>
    <w:p>
      <w:pPr>
        <w:ind w:left="1240" w:right="700" w:hanging="530"/>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2021, MCO Nominee One drew down HK$1.18 billion (equivalent to US$149.8 million) in aggregate on a net basis under the 2020 Credit Facilities.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16, 2022, Studio City Company issued US$350.0 million in aggregate principal amount of the 2027 Studio City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4, 2022, the maturity date of the 2015 Credit Facilities was extended to December 31, 2022 pursuant to an extension request letter.</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63"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16, 2022, MCO Nominee One received confirmation that the majority of lenders of 2020 Credit Facilities agreement dated April 29, 2020 consented and agreed to a waiver extension of the financial condition covenants contained therein, being the interest cover ratio (the ratio of consolidated EBITDA to consolidated net finance charges), the senior leverage ratio (the ratio of consolidated total debt to consolidated EBITDA) and the total leverage ratio (the ratio of consolidated total debt to consolidated EBITDA). The existing waiver remains valid in respect of the relevant periods ending on the December 31, 2022 test date, and the waiver extension granted extends that waiver for all relevant periods to and including the March 31, 2024 test date. MCO Nominee One paid a customary fee to all consenting lenders in relation to such consent and such consent has become effective upon receipt of the consent fee by the facility agent.</w:t>
      </w:r>
    </w:p>
    <w:p>
      <w:pPr>
        <w:spacing w:after="0" w:line="81" w:lineRule="exact"/>
        <w:rPr>
          <w:rFonts w:ascii="Times New Roman" w:cs="Times New Roman" w:eastAsia="Times New Roman" w:hAnsi="Times New Roman"/>
          <w:sz w:val="17"/>
          <w:szCs w:val="17"/>
          <w:color w:val="auto"/>
        </w:rPr>
      </w:pPr>
    </w:p>
    <w:p>
      <w:pPr>
        <w:ind w:left="1240" w:right="340" w:hanging="530"/>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16, 2022, the maturity date of the 2015 Credit Facilities was extended to June 24, 2024 pursuant to an extension request letter.</w:t>
      </w:r>
    </w:p>
    <w:p>
      <w:pPr>
        <w:spacing w:after="0" w:line="55" w:lineRule="exact"/>
        <w:rPr>
          <w:rFonts w:ascii="Times New Roman" w:cs="Times New Roman" w:eastAsia="Times New Roman" w:hAnsi="Times New Roman"/>
          <w:sz w:val="17"/>
          <w:szCs w:val="17"/>
          <w:color w:val="auto"/>
        </w:rPr>
      </w:pPr>
    </w:p>
    <w:p>
      <w:pPr>
        <w:ind w:left="1240" w:right="640" w:hanging="530"/>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2022, MCO Nominee One drew down US$820.0 million and HK$5.31 billion (equivalent to US$679.8 million) in aggregate on a net basis under the 2020 Credit Facilities.</w:t>
      </w:r>
    </w:p>
    <w:p>
      <w:pPr>
        <w:spacing w:after="0" w:line="55" w:lineRule="exact"/>
        <w:rPr>
          <w:rFonts w:ascii="Times New Roman" w:cs="Times New Roman" w:eastAsia="Times New Roman" w:hAnsi="Times New Roman"/>
          <w:sz w:val="17"/>
          <w:szCs w:val="17"/>
          <w:color w:val="auto"/>
        </w:rPr>
      </w:pPr>
    </w:p>
    <w:p>
      <w:pPr>
        <w:ind w:left="1240" w:right="20" w:hanging="530"/>
        <w:spacing w:after="0" w:line="269"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 2023, we recognized an intangible asset and financial liability of US$239.6 million, representing the right to use and operate the gaming and gaming support areas comprising the Altira casino, City of Dreams Casino and Studio City Casino, and related gaming equipment and utensils, the right to conduct games of fortunes and chance in Macau and the unconditional obligation to make payments under the Concession Contract.</w:t>
      </w:r>
    </w:p>
    <w:p>
      <w:pPr>
        <w:spacing w:after="0" w:line="77" w:lineRule="exact"/>
        <w:rPr>
          <w:rFonts w:ascii="Times New Roman" w:cs="Times New Roman" w:eastAsia="Times New Roman" w:hAnsi="Times New Roman"/>
          <w:sz w:val="17"/>
          <w:szCs w:val="17"/>
          <w:color w:val="auto"/>
        </w:rPr>
      </w:pPr>
    </w:p>
    <w:p>
      <w:pPr>
        <w:ind w:left="1240" w:right="660" w:hanging="530"/>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we repurchased 40,373,076 ordinary shares from Melco Leisure for an aggregate purchase price of approximately US$169.8 million.</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6, 2023, we opened an indoor water park and the Epic Tower, at Studio City Phase 2.</w:t>
      </w:r>
    </w:p>
    <w:p>
      <w:pPr>
        <w:spacing w:after="0" w:line="131" w:lineRule="exact"/>
        <w:rPr>
          <w:rFonts w:ascii="Times New Roman" w:cs="Times New Roman" w:eastAsia="Times New Roman" w:hAnsi="Times New Roman"/>
          <w:sz w:val="17"/>
          <w:szCs w:val="17"/>
          <w:color w:val="auto"/>
        </w:rPr>
      </w:pPr>
    </w:p>
    <w:p>
      <w:pPr>
        <w:ind w:left="1240" w:right="80" w:hanging="530"/>
        <w:spacing w:after="0" w:line="276"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28, 2023, we recognized an intangible asset of US$73.9 million and financial liability of US$73.1 million representing the right under the Cyprus License and the unconditional obligation to pay a minimum annual license fee for City of Dreams Mediterranean and an aggregate annual license fee for three operating satellite casinos during the term of the Cyprus License from June 28, 2023.</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10, 2023, City of Dreams Mediterranean officially opened to the public, after a soft opening in June.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8, 2023, we opened W Macau at Studio City Phase 2.</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940"/>
          </w:cols>
          <w:pgMar w:left="320" w:top="473" w:right="6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500" w:hanging="530"/>
        <w:spacing w:after="0" w:line="295"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28, 2023, Studio City Finance settled the 2025 Studio City Notes Tender Offer for the aggregate principal amount of US$100.0 million of the 2025 Studio City Notes.</w:t>
      </w:r>
    </w:p>
    <w:p>
      <w:pPr>
        <w:spacing w:after="0" w:line="55"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MCO Nominee One repaid US$820.0 million and HK$206.0 million (equivalent to US$29.6 million) in aggregate on a net basis along with accrued interest under the 2020 Credit Facilities.</w:t>
      </w:r>
    </w:p>
    <w:p>
      <w:pPr>
        <w:spacing w:after="0" w:line="147"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Our operations in 2023 benefited from the relaxation of travel restrictions and quarantine requirements as well as the opening of Studio City Phase 2. According to the DSEC, visitor arrivals to Macau increased by 395% on a year-over-year basis in 2023 as compared to 2022 while, according to the DICJ, gross gaming revenues in Macau rose by 334% on a year-over-year basis in 2023. However, visitor arrivals in 2023 were still 28% lower than in 2019, and gross gaming revenues in 2023 were still 37% lower than in 2019. As we derive a significant majority of our revenues from our business and operations in Macau, our business has been materially and adversely affected by the COVID-19 pandemic.</w:t>
      </w:r>
    </w:p>
    <w:p>
      <w:pPr>
        <w:spacing w:after="0" w:line="171"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While quarantine-free travel within Greater China has resumed and pandemic measures in Macau, the Philippines and Cyprus have been lifted, negative impacts on the PRC economy and nearby Asian regions, the Philippines and Cyprus are still being experienced. The pace of recovery from COVID-19 is highly uncertain and will depend on the impact of potentially higher unemployment rates, declines in income levels and loss of personal wealth resulting from COVID-19 outbreaks and there is no guarantee that travel and consumer sentiment will rebound quickly or at all.</w:t>
      </w:r>
    </w:p>
    <w:p>
      <w:pPr>
        <w:spacing w:after="0" w:line="169"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The COVID-19 outbreak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w:t>
      </w:r>
    </w:p>
    <w:p>
      <w:pPr>
        <w:spacing w:after="0" w:line="16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Given the uncertainty around the pace of recovery from COVID-19 and the extent of any future COVID-19 outbreaks and government responses to any such outbreaks, we cannot reasonably estimate the impact to our future results of operations, cash flows and financial condition. See “Item 3. Key Information — Risk Factors — Risks Relating to Our Business and Operations — We continue to recover from the impact of, and disruptions caused by, COVID-19 on our operations, and the pace of recovery may continue to materially affect our business, prospects,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Key Performance Indicators (KPIs)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our casino operations, including table games and gaming machines:</w:t>
      </w:r>
    </w:p>
    <w:p>
      <w:pPr>
        <w:spacing w:after="0" w:line="129" w:lineRule="exact"/>
        <w:rPr>
          <w:sz w:val="20"/>
          <w:szCs w:val="20"/>
          <w:color w:val="auto"/>
        </w:rPr>
      </w:pPr>
    </w:p>
    <w:p>
      <w:pPr>
        <w:ind w:left="1240" w:hanging="530"/>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volume: </w:t>
      </w:r>
      <w:r>
        <w:rPr>
          <w:rFonts w:ascii="Times New Roman" w:cs="Times New Roman" w:eastAsia="Times New Roman" w:hAnsi="Times New Roman"/>
          <w:sz w:val="17"/>
          <w:szCs w:val="17"/>
          <w:color w:val="auto"/>
        </w:rPr>
        <w:t>the amount of non-negotiable chips wagered and lost by the rolling chip market segment.</w:t>
      </w:r>
    </w:p>
    <w:p>
      <w:pPr>
        <w:spacing w:after="0" w:line="131" w:lineRule="exact"/>
        <w:rPr>
          <w:rFonts w:ascii="Times New Roman" w:cs="Times New Roman" w:eastAsia="Times New Roman" w:hAnsi="Times New Roman"/>
          <w:sz w:val="17"/>
          <w:szCs w:val="17"/>
          <w:color w:val="auto"/>
        </w:rPr>
      </w:pPr>
    </w:p>
    <w:p>
      <w:pPr>
        <w:ind w:left="1240" w:hanging="530"/>
        <w:spacing w:after="0" w:line="277"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win rate: </w:t>
      </w:r>
      <w:r>
        <w:rPr>
          <w:rFonts w:ascii="Times New Roman" w:cs="Times New Roman" w:eastAsia="Times New Roman" w:hAnsi="Times New Roman"/>
          <w:sz w:val="17"/>
          <w:szCs w:val="17"/>
          <w:color w:val="auto"/>
        </w:rPr>
        <w:t>rolling chip table games win (calculated before discounts, commissions, non-discretionary incentives (including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point-loyalty programs) and allocating casino revenues related to goods and services provided to gaming patrons on a complimentary basis) as a percentage of rolling chip volume.</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drop: </w:t>
      </w:r>
      <w:r>
        <w:rPr>
          <w:rFonts w:ascii="Times New Roman" w:cs="Times New Roman" w:eastAsia="Times New Roman" w:hAnsi="Times New Roman"/>
          <w:sz w:val="17"/>
          <w:szCs w:val="17"/>
          <w:color w:val="auto"/>
        </w:rPr>
        <w:t>the amount of table games drop in the mass market table games segment.</w:t>
      </w:r>
    </w:p>
    <w:p>
      <w:pPr>
        <w:spacing w:after="0" w:line="131" w:lineRule="exact"/>
        <w:rPr>
          <w:rFonts w:ascii="Times New Roman" w:cs="Times New Roman" w:eastAsia="Times New Roman" w:hAnsi="Times New Roman"/>
          <w:sz w:val="17"/>
          <w:szCs w:val="17"/>
          <w:color w:val="auto"/>
        </w:rPr>
      </w:pPr>
    </w:p>
    <w:p>
      <w:pPr>
        <w:ind w:left="1240" w:hanging="530"/>
        <w:spacing w:after="0" w:line="277"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hold percentage: </w:t>
      </w:r>
      <w:r>
        <w:rPr>
          <w:rFonts w:ascii="Times New Roman" w:cs="Times New Roman" w:eastAsia="Times New Roman" w:hAnsi="Times New Roman"/>
          <w:sz w:val="17"/>
          <w:szCs w:val="17"/>
          <w:color w:val="auto"/>
        </w:rPr>
        <w:t>mass market table games win (calculated before discounts, commissions, non-discretionary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incentives (including our point-loyalty programs) and allocating casino revenues related to goods and services provided to gaming patrons on a complimentary basis) as a percentage of mass market table games drop.</w:t>
      </w:r>
    </w:p>
    <w:p>
      <w:pPr>
        <w:spacing w:after="0" w:line="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880"/>
          </w:cols>
          <w:pgMar w:left="320" w:top="472" w:right="6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1240" w:right="60" w:hanging="530"/>
        <w:spacing w:after="0" w:line="277"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Table games win: </w:t>
      </w:r>
      <w:r>
        <w:rPr>
          <w:rFonts w:ascii="Times New Roman" w:cs="Times New Roman" w:eastAsia="Times New Roman" w:hAnsi="Times New Roman"/>
          <w:sz w:val="17"/>
          <w:szCs w:val="17"/>
          <w:color w:val="auto"/>
        </w:rPr>
        <w:t>the amount of wagers won net of wagers lost on gaming tables that is retained and recorded as casino revenues. 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games win is calculated before discounts, commissions, non-discretionary incentives (including our point-loyalty programs) and allocating casino revenues related to goods and services provided to gaming patrons on a complimentary basis.</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handle: </w:t>
      </w:r>
      <w:r>
        <w:rPr>
          <w:rFonts w:ascii="Times New Roman" w:cs="Times New Roman" w:eastAsia="Times New Roman" w:hAnsi="Times New Roman"/>
          <w:sz w:val="17"/>
          <w:szCs w:val="17"/>
          <w:color w:val="auto"/>
        </w:rPr>
        <w:t>the total amount wagered in gaming machines.</w:t>
      </w:r>
    </w:p>
    <w:p>
      <w:pPr>
        <w:spacing w:after="0" w:line="131" w:lineRule="exact"/>
        <w:rPr>
          <w:rFonts w:ascii="Times New Roman" w:cs="Times New Roman" w:eastAsia="Times New Roman" w:hAnsi="Times New Roman"/>
          <w:sz w:val="17"/>
          <w:szCs w:val="17"/>
          <w:color w:val="auto"/>
        </w:rPr>
      </w:pPr>
    </w:p>
    <w:p>
      <w:pPr>
        <w:ind w:left="1240" w:right="300" w:hanging="530"/>
        <w:spacing w:after="0" w:line="277"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win rate: </w:t>
      </w:r>
      <w:r>
        <w:rPr>
          <w:rFonts w:ascii="Times New Roman" w:cs="Times New Roman" w:eastAsia="Times New Roman" w:hAnsi="Times New Roman"/>
          <w:sz w:val="17"/>
          <w:szCs w:val="17"/>
          <w:color w:val="auto"/>
        </w:rPr>
        <w:t>gaming machine win (calculated before non-discretionary incentives (including our point-loyalty programs)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allocating casino revenues related to goods and services provided to gaming patrons on a complimentary basis) expressed as a percentage of gaming machine handle.</w:t>
      </w:r>
    </w:p>
    <w:p>
      <w:pPr>
        <w:spacing w:after="0" w:line="16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combined expected rolling chip win rate across our properties is in the range of 2.85% to 3.15%.</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our hotel operations:</w:t>
      </w:r>
    </w:p>
    <w:p>
      <w:pPr>
        <w:spacing w:after="0" w:line="129" w:lineRule="exact"/>
        <w:rPr>
          <w:sz w:val="20"/>
          <w:szCs w:val="20"/>
          <w:color w:val="auto"/>
        </w:rPr>
      </w:pPr>
    </w:p>
    <w:p>
      <w:pPr>
        <w:ind w:left="1240" w:right="20" w:hanging="530"/>
        <w:spacing w:after="0" w:line="298" w:lineRule="auto"/>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daily rate: </w:t>
      </w:r>
      <w:r>
        <w:rPr>
          <w:rFonts w:ascii="Times New Roman" w:cs="Times New Roman" w:eastAsia="Times New Roman" w:hAnsi="Times New Roman"/>
          <w:sz w:val="17"/>
          <w:szCs w:val="17"/>
          <w:color w:val="auto"/>
        </w:rPr>
        <w:t>calculated by dividing total room revenues including complimentary rooms (less service charges, if any) by total rooms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occupied, including complimentary rooms, i.e., average price of occupied rooms per day.</w:t>
      </w:r>
    </w:p>
    <w:p>
      <w:pPr>
        <w:spacing w:after="0" w:line="5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Occupancy rate: </w:t>
      </w: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131" w:lineRule="exact"/>
        <w:rPr>
          <w:rFonts w:ascii="Times New Roman" w:cs="Times New Roman" w:eastAsia="Times New Roman" w:hAnsi="Times New Roman"/>
          <w:sz w:val="17"/>
          <w:szCs w:val="17"/>
          <w:color w:val="auto"/>
        </w:rPr>
      </w:pPr>
    </w:p>
    <w:p>
      <w:pPr>
        <w:ind w:left="1240" w:right="600" w:hanging="530"/>
        <w:spacing w:after="0" w:line="298" w:lineRule="auto"/>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44"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16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Tables games and gaming machines that were not in operation due to government mandated closures or social distancing measures in relation to COVID-19 outbreaks have been excluded. Room statistics also exclude rooms that were temporarily closed or provided to the staff members due to COVID-19 outbreaks.</w:t>
      </w:r>
    </w:p>
    <w:p>
      <w:pPr>
        <w:spacing w:after="0" w:line="265" w:lineRule="exact"/>
        <w:rPr>
          <w:sz w:val="20"/>
          <w:szCs w:val="20"/>
          <w:color w:val="auto"/>
        </w:rPr>
      </w:pPr>
    </w:p>
    <w:p>
      <w:pPr>
        <w:ind w:left="300" w:right="4960"/>
        <w:spacing w:after="0" w:line="386" w:lineRule="auto"/>
        <w:rPr>
          <w:sz w:val="20"/>
          <w:szCs w:val="20"/>
          <w:color w:val="auto"/>
        </w:rPr>
      </w:pPr>
      <w:r>
        <w:rPr>
          <w:rFonts w:ascii="Times New Roman" w:cs="Times New Roman" w:eastAsia="Times New Roman" w:hAnsi="Times New Roman"/>
          <w:sz w:val="17"/>
          <w:szCs w:val="17"/>
          <w:b w:val="1"/>
          <w:bCs w:val="1"/>
          <w:color w:val="auto"/>
        </w:rPr>
        <w:t xml:space="preserve">Year Ended December 31, 2023 Compared to Year Ended December 31, 2022 </w:t>
      </w:r>
      <w:r>
        <w:rPr>
          <w:rFonts w:ascii="Times New Roman" w:cs="Times New Roman" w:eastAsia="Times New Roman" w:hAnsi="Times New Roman"/>
          <w:sz w:val="17"/>
          <w:szCs w:val="17"/>
          <w:b w:val="1"/>
          <w:bCs w:val="1"/>
          <w:i w:val="1"/>
          <w:iCs w:val="1"/>
          <w:color w:val="auto"/>
        </w:rPr>
        <w:t>Revenues</w:t>
      </w:r>
    </w:p>
    <w:p>
      <w:pPr>
        <w:ind w:left="300" w:right="20" w:firstLine="960"/>
        <w:spacing w:after="0" w:line="268" w:lineRule="auto"/>
        <w:rPr>
          <w:sz w:val="20"/>
          <w:szCs w:val="20"/>
          <w:color w:val="auto"/>
        </w:rPr>
      </w:pPr>
      <w:r>
        <w:rPr>
          <w:rFonts w:ascii="Times New Roman" w:cs="Times New Roman" w:eastAsia="Times New Roman" w:hAnsi="Times New Roman"/>
          <w:sz w:val="17"/>
          <w:szCs w:val="17"/>
          <w:color w:val="auto"/>
        </w:rPr>
        <w:t>Our total operating revenues for the year ended December 31, 2023 were US$3.78 billion, an increase of US$2.43 billion, or 179.7%, from US$1.35 billion for the year ended December 31, 2022. The increase in total operating revenues was primarily attributable to the improved performance in all gaming segments and non-gaming operations following the earlier than expected relaxation of COVID-19 related restrictions in Macau in January 2023 and the openings of City of Dreams Mediterranean and Studio City Phase 2, as well as the launch of residency concerts at Studio City during the year.</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960"/>
          </w:cols>
          <w:pgMar w:left="320" w:top="472" w:right="6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Our total operating revenues for the year ended December 31, 2023 consisted of US$3.08 billion of casino revenues, representing 81.5% of our total operating revenues, and US$697.9 million of non-casino revenues. Our total operating revenues for the year ended December 31, 2022 consisted of US$1.08 billion of casino revenues, representing 79.7% of our total operating revenues, and US$273.6 million of non-casino revenues.</w:t>
      </w:r>
    </w:p>
    <w:p>
      <w:pPr>
        <w:spacing w:after="0" w:line="160" w:lineRule="exact"/>
        <w:rPr>
          <w:sz w:val="20"/>
          <w:szCs w:val="20"/>
          <w:color w:val="auto"/>
        </w:rPr>
      </w:pPr>
    </w:p>
    <w:p>
      <w:pPr>
        <w:ind w:left="300" w:right="2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Casino revenues for the year ended December 31, 2023 were US$3.08 billion, representing a US$2.00 billion, or 185.9%, increase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casino revenues of US$1.08 billion for the year ended December 31, 2022, primarily due to improved performance in all gaming segments.</w:t>
      </w:r>
    </w:p>
    <w:p>
      <w:pPr>
        <w:spacing w:after="0" w:line="142" w:lineRule="exact"/>
        <w:rPr>
          <w:sz w:val="20"/>
          <w:szCs w:val="20"/>
          <w:color w:val="auto"/>
        </w:rPr>
      </w:pPr>
    </w:p>
    <w:p>
      <w:pPr>
        <w:ind w:left="300" w:right="12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Altira Macau. </w:t>
      </w:r>
      <w:r>
        <w:rPr>
          <w:rFonts w:ascii="Times New Roman" w:cs="Times New Roman" w:eastAsia="Times New Roman" w:hAnsi="Times New Roman"/>
          <w:sz w:val="17"/>
          <w:szCs w:val="17"/>
          <w:color w:val="auto"/>
        </w:rPr>
        <w:t>In the mass market table games segment, drop was US$488.2 million for the year ended December 31, 2023, representing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increase of 293.6% from US$124.0 million for the year ended December 31, 2022. The mass market table games hold percentage was 22.7% for the year ended December 31, 2023, increasing from 19.6% for the year ended December 31, 2022. Average net win per gaming machine per day was US$224 for the year ended December 31, 2023, an increase of US$108, or 92.6%, from US$116 for the year ended December 31, 2022.</w:t>
      </w:r>
    </w:p>
    <w:p>
      <w:pPr>
        <w:spacing w:after="0" w:line="166"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City of Dreams. </w:t>
      </w:r>
      <w:r>
        <w:rPr>
          <w:rFonts w:ascii="Times New Roman" w:cs="Times New Roman" w:eastAsia="Times New Roman" w:hAnsi="Times New Roman"/>
          <w:sz w:val="17"/>
          <w:szCs w:val="17"/>
          <w:color w:val="auto"/>
        </w:rPr>
        <w:t>City of Dreams’ rolling chip volume for the year ended December 31, 2023 of US$19.42 billion represented an increase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US$15.04 billion, or 343.5%, from US$4.38 billion for the year ended December 31, 2022. The rolling chip win rate was 2.61% for the year ended December 31, 2023, which decreased from 3.85% for the year ended December 31, 2022. Our expected range was 2.85% to 3.15%. In the mass market table games segment, drop was US$5.02 billion for the year ended December 31, 2023, which represented an increase of US$3.83 billion, or 322.6%, from US$1.19 billion for the year ended December 31, 2022. The mass market table games hold percentage was 30.9% for the year ended December 31, 2023, increasing from 30.5% for the year ended December 31, 2022. Average net win per gaming machine per day was US$464 for the year ended December 31, 2023, an increase of US$324, or 232.1%, from US$140 for the year ended December 31, 2022.</w:t>
      </w:r>
    </w:p>
    <w:p>
      <w:pPr>
        <w:spacing w:after="0" w:line="173"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i w:val="1"/>
          <w:iCs w:val="1"/>
          <w:color w:val="auto"/>
        </w:rPr>
        <w:t>Mocha and Other</w:t>
      </w:r>
      <w:r>
        <w:rPr>
          <w:rFonts w:ascii="Times New Roman" w:cs="Times New Roman" w:eastAsia="Times New Roman" w:hAnsi="Times New Roman"/>
          <w:sz w:val="17"/>
          <w:szCs w:val="17"/>
          <w:color w:val="auto"/>
        </w:rPr>
        <w:t>. Effective from June 27, 2022, the Grand Dragon Casino, a casino on Taipa Island, Macau, which focuses on mass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table games and was previously reported under the Corporate and Other segment, has been included in the Mocha and Other segment as a result of the change of terms of the right-to-use agreement for the Grand Dragon Casino. In the mass market table games segment, drop was US$176.1 million for the year ended December 31, 2023, an increase from US$39.2 million for the year ended December 31, 2022. The mass market table games hold percentage was 17.0% for the year ended December 31, 2023, decreasing from 20.1% for the year ended December 31, 2022. Average net win per gaming machine per day for the year ended December 31, 2023 was US$291, an increase of US$82, or 38.9%, from US$209 for the year ended December 31, 2022.</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Studio City. </w:t>
      </w:r>
      <w:r>
        <w:rPr>
          <w:rFonts w:ascii="Times New Roman" w:cs="Times New Roman" w:eastAsia="Times New Roman" w:hAnsi="Times New Roman"/>
          <w:sz w:val="17"/>
          <w:szCs w:val="17"/>
          <w:color w:val="auto"/>
        </w:rPr>
        <w:t>Studio City Casino’s rolling chip volume was US$2.79 billion for the year ended December 31, 2023, an increase from</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US$0.84 billion for the year ended December 31, 2022. The rolling chip win rate was 1.65% for the year ended December 31, 2023, which decreased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from 2.56% for the year ended December 31, 2022. Our expected range was 2.85% to 3.15%. In the mass market table games segment, drop was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US$2.87 billion for the year ended December 31, 2023, an increase from US$0.46 billion for the year ended December 31, 2022. The mass market table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games hold percentage was 27.3% for the year ended December 31, 2023, representing a decrease from 28.5% for the year ended December 31, 2022.</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Average net win per gaming machine per day was US$343 for the year ended December 31, 2023, an increase of US$268, or 357.0%, from US$75 for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year ended December 31, 2022.</w:t>
      </w:r>
    </w:p>
    <w:p>
      <w:pPr>
        <w:spacing w:after="0" w:line="20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City of Dreams Manila. </w:t>
      </w:r>
      <w:r>
        <w:rPr>
          <w:rFonts w:ascii="Times New Roman" w:cs="Times New Roman" w:eastAsia="Times New Roman" w:hAnsi="Times New Roman"/>
          <w:sz w:val="17"/>
          <w:szCs w:val="17"/>
          <w:color w:val="auto"/>
        </w:rPr>
        <w:t>City of Dreams Manila’s rolling chip volume for the year ended December 31, 2023 was US$1.97 billion,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a decrease of US$0.91 billion, or 31.5%, from US$2.87 billion for the year ended December 31, 2022. The rolling chip win rate was 4.70% for the year ended December 31, 2023, an increase from 2.17% for the year ended December 31, 2022. Our expected range was 2.85% to 3.15%. In the mass market table games segment, drop was US$784.0 million for the year ended December 31, 2023, representing an increase of US$176.8 million, or 29.1%, from US$607.1 million for the year ended December 31, 2022. The mass market table games hold percentage was 30.3% for the year ended December 31,</w:t>
      </w: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960"/>
          </w:cols>
          <w:pgMar w:left="320" w:top="472" w:right="6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340"/>
        <w:spacing w:after="0" w:line="295" w:lineRule="auto"/>
        <w:rPr>
          <w:sz w:val="20"/>
          <w:szCs w:val="20"/>
          <w:color w:val="auto"/>
        </w:rPr>
      </w:pPr>
      <w:r>
        <w:rPr>
          <w:rFonts w:ascii="Times New Roman" w:cs="Times New Roman" w:eastAsia="Times New Roman" w:hAnsi="Times New Roman"/>
          <w:sz w:val="17"/>
          <w:szCs w:val="17"/>
          <w:color w:val="auto"/>
        </w:rPr>
        <w:t>2023, representing a decrease from 30.9% for the year ended December 31, 2022. Average net win per gaming machine per day was US$248 for the year ended December 31, 2023, an increase of US$16, or 7.0%, from US$232 for the year ended December 31, 2022.</w:t>
      </w:r>
    </w:p>
    <w:p>
      <w:pPr>
        <w:spacing w:after="0" w:line="145"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City of Dreams Mediterranean and Other. </w:t>
      </w:r>
      <w:r>
        <w:rPr>
          <w:rFonts w:ascii="Times New Roman" w:cs="Times New Roman" w:eastAsia="Times New Roman" w:hAnsi="Times New Roman"/>
          <w:sz w:val="17"/>
          <w:szCs w:val="17"/>
          <w:color w:val="auto"/>
        </w:rPr>
        <w:t>Effective from June 12, 2023, with the soft opening of City of Dreams Mediterranean,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Cyprus Operations segment which previously included the operation of the temporary casino before its closure on June 9, 2023 and the licensed satellite casinos in Cyprus, has been renamed to City of Dreams Mediterranean and Other segment which includes the operation of City of Dreams Mediterranean and the licensed satellite casinos in Cyprus. City of Dreams Mediterranean officially opened to the public on July 10, 2023, after the soft opening in June. The Company continues to operate three satellite casinos in Cyprus in conjunction with City of Dreams Mediterranean. Rolling chip volume for the year ended December 31, 2023 was US$10.9 million, which increased from US$5.2 million for the year ended December 31, 2022. The rolling chip win rate was negative 6.17% for the year ended December 31, 2023, a decrease from a rolling chip win rate of 7.09% for the year ended December 31, 2022. Our expected range was 2.85% to 3.15%. The significant fluctuation on the rolling chip win rate resulted from low gaming volumes in the rolling chip segment. In the mass market table games segment, drop was US$274.1 million for the year ended December 31, 2023, representing an increase of US$138.8 million, or 102.6%, from US$135.3 million for the year ended December 31, 2022. The mass market table games hold percentage was 21.5% for the year ended December 31, 2023, representing an increase from 20.5% for the year ended December 31, 2022. Average net win per gaming machine per day was US$350 for the year ended December 31, 2023, a decrease of US$44, or 11.2%, from US$394 for the year ended December 31, 2022.</w:t>
      </w:r>
    </w:p>
    <w:p>
      <w:pPr>
        <w:spacing w:after="0" w:line="386" w:lineRule="exact"/>
        <w:rPr>
          <w:sz w:val="20"/>
          <w:szCs w:val="20"/>
          <w:color w:val="auto"/>
        </w:rPr>
      </w:pPr>
    </w:p>
    <w:p>
      <w:pPr>
        <w:jc w:val="both"/>
        <w:ind w:left="300" w:right="1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Room revenues (including complimentary rooms) for the year ended December 31, 2023 were US$338.2 million, representing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US$221.7 million, or 190.2%, from room revenues (including complimentary rooms) of US$116.6 million for the year ended December 31, 2022. The increase was primarily due to openings of new hotels at our properties as well as increased occupancy as a result of a year-over-year increase in inbound tourism to Macau.</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average daily rate, occupancy rate and REVPAR of each property are as follows:</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5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5840" w:type="dxa"/>
            <w:vAlign w:val="bottom"/>
          </w:tcPr>
          <w:p>
            <w:pPr>
              <w:spacing w:after="0"/>
              <w:rPr>
                <w:sz w:val="11"/>
                <w:szCs w:val="11"/>
                <w:color w:val="auto"/>
              </w:rPr>
            </w:pPr>
          </w:p>
        </w:tc>
        <w:tc>
          <w:tcPr>
            <w:tcW w:w="860" w:type="dxa"/>
            <w:vAlign w:val="bottom"/>
          </w:tcPr>
          <w:p>
            <w:pPr>
              <w:jc w:val="right"/>
              <w:ind w:right="358"/>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jc w:val="right"/>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282"/>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1"/>
                <w:szCs w:val="11"/>
                <w:color w:val="auto"/>
              </w:rPr>
            </w:pPr>
          </w:p>
        </w:tc>
        <w:tc>
          <w:tcPr>
            <w:tcW w:w="560" w:type="dxa"/>
            <w:vAlign w:val="bottom"/>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1"/>
                <w:szCs w:val="11"/>
                <w:color w:val="auto"/>
              </w:rPr>
            </w:pPr>
          </w:p>
        </w:tc>
      </w:tr>
      <w:tr>
        <w:trPr>
          <w:trHeight w:val="137"/>
        </w:trPr>
        <w:tc>
          <w:tcPr>
            <w:tcW w:w="5840" w:type="dxa"/>
            <w:vAlign w:val="bottom"/>
            <w:tcBorders>
              <w:bottom w:val="single" w:sz="8" w:color="CCEEFF"/>
            </w:tcBorders>
          </w:tcPr>
          <w:p>
            <w:pPr>
              <w:spacing w:after="0"/>
              <w:rPr>
                <w:sz w:val="11"/>
                <w:szCs w:val="11"/>
                <w:color w:val="auto"/>
              </w:rPr>
            </w:pPr>
          </w:p>
        </w:tc>
        <w:tc>
          <w:tcPr>
            <w:tcW w:w="162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Average daily rate (US$)</w:t>
            </w:r>
          </w:p>
        </w:tc>
        <w:tc>
          <w:tcPr>
            <w:tcW w:w="34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Occupancy rate</w:t>
            </w:r>
          </w:p>
        </w:tc>
        <w:tc>
          <w:tcPr>
            <w:tcW w:w="48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gridSpan w:val="2"/>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REVPAR (US$)</w:t>
            </w:r>
          </w:p>
        </w:tc>
        <w:tc>
          <w:tcPr>
            <w:tcW w:w="60" w:type="dxa"/>
            <w:vAlign w:val="bottom"/>
            <w:tcBorders>
              <w:bottom w:val="single" w:sz="8" w:color="CCEEFF"/>
            </w:tcBorders>
          </w:tcPr>
          <w:p>
            <w:pPr>
              <w:spacing w:after="0"/>
              <w:rPr>
                <w:sz w:val="11"/>
                <w:szCs w:val="11"/>
                <w:color w:val="auto"/>
              </w:rPr>
            </w:pPr>
          </w:p>
        </w:tc>
      </w:tr>
      <w:tr>
        <w:trPr>
          <w:trHeight w:val="20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8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136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87%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118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shd w:val="clear" w:color="auto" w:fill="CCEEFF"/>
          </w:tcPr>
          <w:p>
            <w:pPr>
              <w:spacing w:after="0"/>
              <w:rPr>
                <w:sz w:val="17"/>
                <w:szCs w:val="17"/>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86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201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86%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173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60" w:type="dxa"/>
            <w:vAlign w:val="bottom"/>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City</w:t>
            </w:r>
          </w:p>
        </w:tc>
        <w:tc>
          <w:tcPr>
            <w:tcW w:w="8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153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90%</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137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shd w:val="clear" w:color="auto" w:fill="CCEEFF"/>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86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177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97%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171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167</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8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359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58%</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N/A</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bl>
    <w:p>
      <w:pPr>
        <w:spacing w:after="0" w:line="189"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Food, beverage and others. </w:t>
      </w:r>
      <w:r>
        <w:rPr>
          <w:rFonts w:ascii="Times New Roman" w:cs="Times New Roman" w:eastAsia="Times New Roman" w:hAnsi="Times New Roman"/>
          <w:sz w:val="17"/>
          <w:szCs w:val="17"/>
          <w:color w:val="auto"/>
        </w:rPr>
        <w:t>Food, beverage and other revenues (including complimentary food and beverage and entertainment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2023 included food and beverage revenues of US$208.9 million and entertainment, retail and other revenues of US$150.8 million. Food, beverage and other revenues (including complimentary food and beverage and entertainment services) for the year ended December 31, 2022 included food and beverage revenues of US$85.5 million and entertainment, retail and other revenues of US$71.5 million. The increase of US$202.7 million in food, beverage and other revenues from the year ended December 31, 2022 to the year ended December 31, 2023 was primarily due to new offerings, such as the opening of the indoor waterpark and the launch of residency concerts at Studio City, as well as the increase in business activities as a result of a year-over-year increase in inbound tourism to Macau.</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 and expenses</w:t>
      </w:r>
    </w:p>
    <w:p>
      <w:pPr>
        <w:spacing w:after="0" w:line="122" w:lineRule="exact"/>
        <w:rPr>
          <w:sz w:val="20"/>
          <w:szCs w:val="20"/>
          <w:color w:val="auto"/>
        </w:rPr>
      </w:pPr>
    </w:p>
    <w:p>
      <w:pPr>
        <w:ind w:left="300" w:right="1080" w:firstLine="960"/>
        <w:spacing w:after="0" w:line="295" w:lineRule="auto"/>
        <w:rPr>
          <w:sz w:val="20"/>
          <w:szCs w:val="20"/>
          <w:color w:val="auto"/>
        </w:rPr>
      </w:pPr>
      <w:r>
        <w:rPr>
          <w:rFonts w:ascii="Times New Roman" w:cs="Times New Roman" w:eastAsia="Times New Roman" w:hAnsi="Times New Roman"/>
          <w:sz w:val="17"/>
          <w:szCs w:val="17"/>
          <w:color w:val="auto"/>
        </w:rPr>
        <w:t>Total operating costs and expenses were US$3.71 billion for the year ended December 31, 2023, representing an increase of US$1.62 billion, or 77.3%, from US$2.09 billion for the year ended December 31, 2022.</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960"/>
          </w:cols>
          <w:pgMar w:left="320" w:top="472"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Casino expenses increased by US$1.12 billion, or 122.9%, to US$2.03 billion for the year ended December 31, 2023 from</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US$0.91 billion for the year ended December 31, 2022, primarily due to an increase in gaming taxes, which increased as a result of increased gaming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volumes and associated higher group-wide revenues, higher complimentaries to gaming customers, higher marketing and promotional expenses as well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higher payroll expenses.</w:t>
      </w:r>
    </w:p>
    <w:p>
      <w:pPr>
        <w:spacing w:after="0" w:line="203" w:lineRule="exact"/>
        <w:rPr>
          <w:sz w:val="20"/>
          <w:szCs w:val="20"/>
          <w:color w:val="auto"/>
        </w:rPr>
      </w:pPr>
    </w:p>
    <w:p>
      <w:pPr>
        <w:jc w:val="both"/>
        <w:ind w:left="30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Room expenses, which represent the costs of operating the hotel facilities were US$87.6 million and US$46.2 million for the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31, 2023 and 2022, respectively. The increase was primarily due to the openings of new hotels at our properties as well as the increased occupancy, which was in-line with higher room revenues for the year ended December 31, 2023.</w:t>
      </w:r>
    </w:p>
    <w:p>
      <w:pPr>
        <w:spacing w:after="0" w:line="160" w:lineRule="exact"/>
        <w:rPr>
          <w:sz w:val="20"/>
          <w:szCs w:val="20"/>
          <w:color w:val="auto"/>
        </w:rPr>
      </w:pPr>
    </w:p>
    <w:p>
      <w:pPr>
        <w:ind w:left="300" w:right="30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Food, beverage and others. </w:t>
      </w:r>
      <w:r>
        <w:rPr>
          <w:rFonts w:ascii="Times New Roman" w:cs="Times New Roman" w:eastAsia="Times New Roman" w:hAnsi="Times New Roman"/>
          <w:sz w:val="17"/>
          <w:szCs w:val="17"/>
          <w:color w:val="auto"/>
        </w:rPr>
        <w:t>Food, beverage and other expenses were US$240.2 million and US$104.4 million for the years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and 2022, respectively. The increase was in-line with higher food, beverage and other revenues for the year ended December 31, 2023.</w:t>
      </w:r>
    </w:p>
    <w:p>
      <w:pPr>
        <w:spacing w:after="0" w:line="160" w:lineRule="exact"/>
        <w:rPr>
          <w:sz w:val="20"/>
          <w:szCs w:val="20"/>
          <w:color w:val="auto"/>
        </w:rPr>
      </w:pPr>
    </w:p>
    <w:p>
      <w:pPr>
        <w:ind w:left="300" w:right="4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increased by US$64.9 million, or 15.3%, to US$488.1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2023 from US$423.2 million for the year ended December 31, 2022, primarily due to an increase in payroll expenses, utilities, maintenance costs, marketing expenses and other general and administrative expenses to support ramp up operations in 2023.</w:t>
      </w:r>
    </w:p>
    <w:p>
      <w:pPr>
        <w:spacing w:after="0" w:line="160" w:lineRule="exact"/>
        <w:rPr>
          <w:sz w:val="20"/>
          <w:szCs w:val="20"/>
          <w:color w:val="auto"/>
        </w:rPr>
      </w:pPr>
    </w:p>
    <w:p>
      <w:pPr>
        <w:jc w:val="both"/>
        <w:ind w:left="300" w:right="36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Payments to the Philippine Parties. </w:t>
      </w:r>
      <w:r>
        <w:rPr>
          <w:rFonts w:ascii="Times New Roman" w:cs="Times New Roman" w:eastAsia="Times New Roman" w:hAnsi="Times New Roman"/>
          <w:sz w:val="17"/>
          <w:szCs w:val="17"/>
          <w:color w:val="auto"/>
        </w:rPr>
        <w:t>Payments to the Philippine Parties increased to US$42.5 million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from US$28.9 million for the year ended December 31, 2022, due to the improved performance in gaming operations and resulting increase in revenues from gaming operations in City of Dreams Manila.</w:t>
      </w:r>
    </w:p>
    <w:p>
      <w:pPr>
        <w:spacing w:after="0" w:line="160" w:lineRule="exact"/>
        <w:rPr>
          <w:sz w:val="20"/>
          <w:szCs w:val="20"/>
          <w:color w:val="auto"/>
        </w:rPr>
      </w:pPr>
    </w:p>
    <w:p>
      <w:pPr>
        <w:ind w:left="300" w:right="1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Pre-opening costs. </w:t>
      </w:r>
      <w:r>
        <w:rPr>
          <w:rFonts w:ascii="Times New Roman" w:cs="Times New Roman" w:eastAsia="Times New Roman" w:hAnsi="Times New Roman"/>
          <w:sz w:val="17"/>
          <w:szCs w:val="17"/>
          <w:color w:val="auto"/>
        </w:rPr>
        <w:t>Pre-opening costs were US$44.0 million and US$15.6 million for the years ended December 31,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Such costs relate primarily to personnel training, rental, marketing, advertising and administrative costs in connection with new or start-up operations. Pre-opening costs for both years ended December 31, 2023 and 2022 were mainly for Studio City Phase 2 and City of Dreams Mediterranean which were opened in 2023.</w:t>
      </w:r>
    </w:p>
    <w:p>
      <w:pPr>
        <w:spacing w:after="0" w:line="166" w:lineRule="exact"/>
        <w:rPr>
          <w:sz w:val="20"/>
          <w:szCs w:val="20"/>
          <w:color w:val="auto"/>
        </w:rPr>
      </w:pPr>
    </w:p>
    <w:p>
      <w:pPr>
        <w:ind w:left="300" w:right="20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Development costs. </w:t>
      </w:r>
      <w:r>
        <w:rPr>
          <w:rFonts w:ascii="Times New Roman" w:cs="Times New Roman" w:eastAsia="Times New Roman" w:hAnsi="Times New Roman"/>
          <w:sz w:val="17"/>
          <w:szCs w:val="17"/>
          <w:color w:val="auto"/>
        </w:rPr>
        <w:t>Development costs were US$1.2 million for the year ended December 31, 2023, which predominantly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and promotion costs as well as professional and consultancy fees for corporate business development. There were no development costs for the year ended December 31, 2022.</w:t>
      </w:r>
    </w:p>
    <w:p>
      <w:pPr>
        <w:spacing w:after="0" w:line="160" w:lineRule="exact"/>
        <w:rPr>
          <w:sz w:val="20"/>
          <w:szCs w:val="20"/>
          <w:color w:val="auto"/>
        </w:rPr>
      </w:pPr>
    </w:p>
    <w:p>
      <w:pPr>
        <w:ind w:left="300" w:right="32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Amortization of gaming subconcession. </w:t>
      </w:r>
      <w:r>
        <w:rPr>
          <w:rFonts w:ascii="Times New Roman" w:cs="Times New Roman" w:eastAsia="Times New Roman" w:hAnsi="Times New Roman"/>
          <w:sz w:val="17"/>
          <w:szCs w:val="17"/>
          <w:color w:val="auto"/>
        </w:rPr>
        <w:t>The gaming subconcession was fully amortized in 2022. Amortization expense for our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subconcession, which was recognized on a straight-line basis, was US$32.8 million for the year ended December 31, 2022.</w:t>
      </w:r>
    </w:p>
    <w:p>
      <w:pPr>
        <w:spacing w:after="0" w:line="142" w:lineRule="exact"/>
        <w:rPr>
          <w:sz w:val="20"/>
          <w:szCs w:val="20"/>
          <w:color w:val="auto"/>
        </w:rPr>
      </w:pPr>
    </w:p>
    <w:p>
      <w:pPr>
        <w:ind w:left="300" w:right="8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Amortization of land use rights. </w:t>
      </w:r>
      <w:r>
        <w:rPr>
          <w:rFonts w:ascii="Times New Roman" w:cs="Times New Roman" w:eastAsia="Times New Roman" w:hAnsi="Times New Roman"/>
          <w:sz w:val="17"/>
          <w:szCs w:val="17"/>
          <w:color w:val="auto"/>
        </w:rPr>
        <w:t>Amortization expenses for the land use rights continued to be recognized on a straight-line basis and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US$22.7 million for both years ended December 31, 2023 and 2022.</w:t>
      </w:r>
    </w:p>
    <w:p>
      <w:pPr>
        <w:spacing w:after="0" w:line="142" w:lineRule="exact"/>
        <w:rPr>
          <w:sz w:val="20"/>
          <w:szCs w:val="20"/>
          <w:color w:val="auto"/>
        </w:rPr>
      </w:pPr>
    </w:p>
    <w:p>
      <w:pPr>
        <w:ind w:left="300" w:right="8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expenses increased by US$54.2 million, or 11.6%, to US$520.7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2023 from US$466.5 million for the year ended December 31, 2022. The increase was primarily due to the openings of Studio City Phase 2 and City of Dreams Mediterranean during 2023, and the amortization expenses on the intangible assets arising from the Macau gaming concession and the Cyprus gaming license.</w:t>
      </w:r>
    </w:p>
    <w:p>
      <w:pPr>
        <w:spacing w:after="0" w:line="166" w:lineRule="exact"/>
        <w:rPr>
          <w:sz w:val="20"/>
          <w:szCs w:val="20"/>
          <w:color w:val="auto"/>
        </w:rPr>
      </w:pPr>
    </w:p>
    <w:p>
      <w:pPr>
        <w:ind w:left="300" w:right="18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Property charges and other. </w:t>
      </w:r>
      <w:r>
        <w:rPr>
          <w:rFonts w:ascii="Times New Roman" w:cs="Times New Roman" w:eastAsia="Times New Roman" w:hAnsi="Times New Roman"/>
          <w:sz w:val="17"/>
          <w:szCs w:val="17"/>
          <w:color w:val="auto"/>
        </w:rPr>
        <w:t>Property charges and other for the year ended December 31, 2023 were US$228.4 million, which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the asset impairments in Altira Macau, the litigation claims related to junket player deposits and the costs incurred as a result of departmental restructuring, partially offset with the gain on disposal from lands in Japan. In 2023, we recognized an impairment in long-lived assets of US$207.6 million to reflect the significant decrease in the market value of Altira Macau. The change in market</w:t>
      </w:r>
    </w:p>
    <w:p>
      <w:pPr>
        <w:spacing w:after="0" w:line="1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960"/>
          </w:cols>
          <w:pgMar w:left="320" w:top="472" w:right="6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value reflects a change in forecasted performance of Altira Macau given the latest market conditions and lingering disruptions to the business caused by COVID-19 and the earlier cessation of arrangements with gaming promoters in Macau. Property charges and other for the year ended December 31, 2022 were US$40.0 million, which primarily included the litigation claims related to junket player deposits and the costs incurred as a result of department restructuring and asset impairments.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Non-operating expenses, net</w:t>
      </w:r>
    </w:p>
    <w:p>
      <w:pPr>
        <w:spacing w:after="0" w:line="122" w:lineRule="exact"/>
        <w:rPr>
          <w:sz w:val="20"/>
          <w:szCs w:val="20"/>
          <w:color w:val="auto"/>
        </w:rPr>
      </w:pPr>
    </w:p>
    <w:p>
      <w:pPr>
        <w:ind w:left="300" w:right="620" w:firstLine="960"/>
        <w:spacing w:after="0" w:line="295" w:lineRule="auto"/>
        <w:rPr>
          <w:sz w:val="20"/>
          <w:szCs w:val="20"/>
          <w:color w:val="auto"/>
        </w:rPr>
      </w:pPr>
      <w:r>
        <w:rPr>
          <w:rFonts w:ascii="Times New Roman" w:cs="Times New Roman" w:eastAsia="Times New Roman" w:hAnsi="Times New Roman"/>
          <w:sz w:val="17"/>
          <w:szCs w:val="17"/>
          <w:color w:val="auto"/>
        </w:rPr>
        <w:t>Net non-operating expenses consist of interest income, interest expense, net of amounts capitalized, other financing costs, foreign exchange gains, net, gain on extinguishment of debt and other non-operating income, net.</w:t>
      </w:r>
    </w:p>
    <w:p>
      <w:pPr>
        <w:spacing w:after="0" w:line="147"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Interest income was US$23.3 million for the year ended December 31, 2023, as compared to US$26.5 million for the year ended December 31, 2022. The decrease in interest income was primarily due to lower interest from the US$200.0 million loan to Melco International as a result of the early repayment in January 2023, partially offset by higher bank interest income.</w:t>
      </w:r>
    </w:p>
    <w:p>
      <w:pPr>
        <w:spacing w:after="0" w:line="162"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Interest expense was US$492.4 million (net of amounts capitalized of US$25.9 million) for the year ended December 31, 2023, compared to US$376.7 million (net of amounts capitalized of US$63.9 million) for the year ended December 31, 2022. The increase in interest expense (net of amounts capitalization) of US$115.7 million was primarily due to higher interest expense of US$51.3 million on 2020 Credit Facilities as a result of the drawdowns in the second half of 2022, and interest expense of US$23.4 million on financial liability related to the Macau gaming concession and the Cyprus gaming license intangible assets, as well as lower amounts capitalized.</w:t>
      </w:r>
    </w:p>
    <w:p>
      <w:pPr>
        <w:spacing w:after="0" w:line="171"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Other financing costs for the year ended December 31, 2023 amounted to US$4.4 million, compared to US$6.4 million for the year ended December 31, 2022. The decrease in other financing costs was primarily due to the decrease in loan commitment fees as a result of the drawdowns from the 2020 Credit Facilities in the second half of 2022.</w:t>
      </w:r>
    </w:p>
    <w:p>
      <w:pPr>
        <w:spacing w:after="0" w:line="162"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Other income, net for the year ended December 31, 2023 amounted to US$2.7 million, compared to US$3.9 million for the year ended December 31, 2022.</w:t>
      </w:r>
    </w:p>
    <w:p>
      <w:pPr>
        <w:spacing w:after="0" w:line="147" w:lineRule="exact"/>
        <w:rPr>
          <w:sz w:val="20"/>
          <w:szCs w:val="20"/>
          <w:color w:val="auto"/>
        </w:rPr>
      </w:pPr>
    </w:p>
    <w:p>
      <w:pPr>
        <w:ind w:left="300" w:right="400" w:firstLine="960"/>
        <w:spacing w:after="0" w:line="276" w:lineRule="auto"/>
        <w:rPr>
          <w:sz w:val="20"/>
          <w:szCs w:val="20"/>
          <w:color w:val="auto"/>
        </w:rPr>
      </w:pPr>
      <w:r>
        <w:rPr>
          <w:rFonts w:ascii="Times New Roman" w:cs="Times New Roman" w:eastAsia="Times New Roman" w:hAnsi="Times New Roman"/>
          <w:sz w:val="17"/>
          <w:szCs w:val="17"/>
          <w:color w:val="auto"/>
        </w:rPr>
        <w:t>Gain on extinguishment of debt for the year ended December 31, 2023 was US$1.6 million, resulting from the tender offer and repurchases of 2025 Studio City Notes during the year ended December 31, 2023. There was no gain on extinguishment of debt for the year ended December 31, 2022.</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Income tax expense for the year ended December 31, 2023 was primarily attributable to the Hong Kong profits tax expense for the year of US$11.6 million and a lump sum tax payable of US$5.7 million in lieu of Macau Complementary Tax otherwise due by Melco Resorts Macau’s shareholders on dividends distributable to them by Melco Resorts Macau, partially offset by a deferred tax benefit of US$4.1 million. The effective tax rate for the year ended December 31, 2023 was (3.34)%, as compared to (0.48)%, for the year ended December 31, 2022. Such rates differ from the statutory Macau Complementary Tax rate of 12%, where the Company’s majority operations are located, primarily due to the effects of expired tax losses, expenses for which no income tax benefit is receivable, income for which no income tax expense is payable, changes in valuation allowances, profits generated by gaming operations being exempted from Philippine Corporate Income Tax and different tax rates of subsidiaries operating in other jurisdictions for the relevant years together with the effect of profits generated by gaming operations being exempted from Macau Complementary Tax for the year ended December 31, 2023; and the effect of tax losses that cannot be carried forward for the year ended December 31, 2022.</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900"/>
          </w:cols>
          <w:pgMar w:left="320" w:top="473" w:right="6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Our management currently does not expect to realize significant income tax benefits associated with net operating loss carryforwards and other deferred tax assets generated by our Macau, Philippine and Cyprus operations. However, to the extent that the financial results of our Macau, Philippine and Cyprus operations improve and it becomes more likely than not that the deferred tax assets are realizable, we will be able to reduce the valuation allowance related to the net operating losses and other deferred tax assets.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noncontrolling interests</w:t>
      </w:r>
    </w:p>
    <w:p>
      <w:pPr>
        <w:spacing w:after="0" w:line="122"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net loss attributable to noncontrolling interests was US$88.4 million for the year ended December 31, 2023, compared to a net loss attributable to noncontrolling interests of US$166.6 million for the year ended December 31, 2022. For the year ended December 31, 2023, such net loss represented the share of Studio City’s expenses of US$68.7 million, City of Dreams Mediterranean and Other’s expenses of US$20.1 million, partially offset by City of Dreams Manila’s income of US$0.4 million attributable to the respective minority shareholders.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Melco Resorts &amp; Entertainment Limited</w:t>
      </w:r>
    </w:p>
    <w:p>
      <w:pPr>
        <w:spacing w:after="0" w:line="122"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As a result of the foregoing, we had net loss attributable to Melco Resorts &amp; Entertainment Limited of US$326.9 million for the year ended December 31, 2023, compared to net loss attributable to Melco Resorts &amp; Entertainment Limited of US$930.5 million for the year ended December 31, 2022.</w:t>
      </w:r>
    </w:p>
    <w:p>
      <w:pPr>
        <w:spacing w:after="0" w:line="16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For a discussion of our results of operations for the year ended December 31, 2022 compared with the year ended December 31, 2021, see “Item 5. Operating and Financial Review and Prospects — A. Operating Results — Year Ended December 31, 2022 Compared to Year Ended December 31, 2021” of our annual report on Form 20-F for the fiscal year ended December 31, 2022, filed with the SEC on March 31, 2023.</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Adjusted Property EBITDA and Adjusted EBITDA</w:t>
      </w:r>
    </w:p>
    <w:p>
      <w:pPr>
        <w:spacing w:after="0" w:line="120"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Adjusted Property EBITDA is net income/loss before interest, taxes, depreciation, amortization, pre-opening costs, development costs, property charges and other, share-based compensation, payments to the Philippine Parties, land rent to Belle Corporation, Corporate and Other expenses and other non-operating income and expenses. We recorded Adjusted Property EBITDA of US$1.04 billion for the year ended December 31, 2023, compared to Adjusted Property EBITDA of US$0.6 million and Adjusted Property EBITDA of US$235.1 million for the years ended December 31, 2022 and 2021, respectively. City of Dreams, Studio City, Mocha and Other, City of Dreams Manila and City of Dreams Mediterranean and Other recorded Adjusted EBITDA of US$576.3 million, US$206.8 million, US$27.3 million, US$205.5 million and US$27.5 million, respectively, while Altira Macau recorded negative Adjusted EBITDA of US$1.3 million for the year ended December 31, 2023. Mocha and Other, City of Dreams Manila and Cyprus Operations recorded Adjusted Property EBITDA of US$10.3 million, US$146.9 million and US$23.7 million, respectively, while Altira Macau, City of Dreams and Studio City recorded negative Adjusted Property EBITDA of US$43.0 million, US$32.2 million and US$105.2 million, respectively, for the year ended December 31, 2022. Altira Macau and Studio City recorded negative Adjusted Property EBITDA of US$54.0 million and US$20.5 million, respectively, while City of Dreams, Mocha Clubs, City of Dreams Manila and Cyprus Operations recorded Adjusted Property EBITDA of US$202.0 million, US$17.1 million, US$89.0 million and US$1.6 million, respectively, for the year ended December 31, 2021.</w:t>
      </w:r>
    </w:p>
    <w:p>
      <w:pPr>
        <w:spacing w:after="0" w:line="177" w:lineRule="exact"/>
        <w:rPr>
          <w:sz w:val="20"/>
          <w:szCs w:val="20"/>
          <w:color w:val="auto"/>
        </w:rPr>
      </w:pPr>
    </w:p>
    <w:p>
      <w:pPr>
        <w:jc w:val="both"/>
        <w:ind w:left="300" w:right="300" w:firstLine="960"/>
        <w:spacing w:after="0" w:line="269" w:lineRule="auto"/>
        <w:rPr>
          <w:sz w:val="20"/>
          <w:szCs w:val="20"/>
          <w:color w:val="auto"/>
        </w:rPr>
      </w:pPr>
      <w:r>
        <w:rPr>
          <w:rFonts w:ascii="Times New Roman" w:cs="Times New Roman" w:eastAsia="Times New Roman" w:hAnsi="Times New Roman"/>
          <w:sz w:val="17"/>
          <w:szCs w:val="17"/>
          <w:color w:val="auto"/>
        </w:rPr>
        <w:t>Adjusted EBITDA is net income/loss before interest, taxes, depreciation, amortization, pre-opening costs, development costs, property charges and other, share-based compensation, payments to the Philippine Parties, land rent to Belle Corporation and other non-operating income and expenses. We recorded Adjusted EBITDA of US$961.8 million for the year ended December 31, 2023, compared to negative Adjusted EBITDA of US$62.6 million for the year ended December 31, 2022 and Adjusted EBITDA of US$165.0 million for the year ended December 31, 2021.</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940"/>
          </w:cols>
          <w:pgMar w:left="320" w:top="472" w:right="6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Adjusted EBITDA and Adjusted Property EBITDA are presented exclusively as supplemental disclosures because management believes they are widely used to measure the performance, and as a basis for valuation, of gaming companies. Management uses Adjusted EBITDA and Adjusted Property EBITDA to measure the operating performance of our segments and to compare the operating performance of our properties with those of our competitors.</w:t>
      </w:r>
    </w:p>
    <w:p>
      <w:pPr>
        <w:spacing w:after="0" w:line="169"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and Adjusted Property EBITDA should not be considered as alternatives to operating income/loss as indicators of the Company’s performance, as alternatives to cash flows from operating activities as measures of liquidity, or as alternatives to any other measure determined in accordance with U.S. GAAP. Unlike net income/loss, Adjusted EBITDA and Adjusted Property EBITDA do not include depreciation and amortization or interest expense and, therefore, do not reflect current or future capital expenditures or the cost of capital. The Company recognizes these limitations and uses Adjusted EBITDA and Adjusted Property EBITDA as only two of several comparative tools, together with U.S. GAAP measurements, to assist in the evaluation of operating performance.</w:t>
      </w:r>
    </w:p>
    <w:p>
      <w:pPr>
        <w:spacing w:after="0" w:line="178"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The use of Adjusted Property EBITDA and Adjusted EBITDA has material limitations as an analytical tool, as Adjusted Property EBITDA and Adjusted EBITDA do not include all items that impact our net income/loss. Investors are encouraged to review the reconciliation of the historical non-GAAP financial measure to its most directly comparable GAAP financial measure.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Reconciliation of Net Loss Attributable to Melco Resorts &amp; Entertainment Limited to Adjusted EBITDA and Adjusted Property EBITDA</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4"/>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right"/>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(326,920)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(930,526)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$(811,751)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(88,410)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(166,641)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(144,713)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(415,330)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(1,097,167)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(956,464)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5,236</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other non-operating expenses,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348,826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521,939</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579,847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71,809</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costs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Pre-opening costs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15,585</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rent to Belle Corporation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Payments to the Philippine Parties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(62,578)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 expenses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Property EBITDA</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1,042,064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$ 235,099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jc w:val="right"/>
              <w:ind w:right="293"/>
              <w:spacing w:after="0"/>
              <w:rPr>
                <w:sz w:val="20"/>
                <w:szCs w:val="20"/>
                <w:color w:val="auto"/>
              </w:rPr>
            </w:pPr>
            <w:r>
              <w:rPr>
                <w:rFonts w:ascii="Times New Roman" w:cs="Times New Roman" w:eastAsia="Times New Roman" w:hAnsi="Times New Roman"/>
                <w:sz w:val="17"/>
                <w:szCs w:val="17"/>
                <w:color w:val="auto"/>
              </w:rPr>
              <w:t>131</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2"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120"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We have relied and intend to rely on our cash generated from our operations and our debt and equity financings to meet our financing needs and repay our indebtedness, as the case may be.</w:t>
      </w:r>
    </w:p>
    <w:p>
      <w:pPr>
        <w:spacing w:after="0" w:line="147"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As of December 31, 2023, we held cash and cash equivalents and restricted cash (mainly being cash collateral for concession-related guarantees issued to the Macau Government and security under credit facilities) of US$1.31 billion and US$125.1 million, respectively. Major currencies in which our cash and bank balances (including restricted cash) were held as of December 31, 2023 were the U.S. dollar, H.K. dollar, Euro, Philippine peso and Pataca.</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As of December 31, 2023, we had the following bank credit facilities available for future drawdown, subject to satisfaction of certain conditions precedent: (1) HK$6.63 billion (equivalent to US$848.5 million) of the revolving credit facility under the 2020 Credit Facilities; (2) the HK$1.0 million (equivalent to US$0.1 million) of the revolving credit facility under the 2015 Credit Facilities; (3) the HK$233.0 million (equivalent to US$29.8 million) revolving credit facility under the 2028 Studio City Senior Secured Credit Facility; and (4) the PHP2.35 billion (equivalent to US$42.3 million) bank credit facility of MRP. We have been able to meet our working 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 We may from time to time seek to retire or purchase our outstanding debt through open market purchases, tender offers, privately-negotiated transactions or otherwise. Such purchases,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years presented.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173"/>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jc w:val="right"/>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622,690</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(619,434)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(48,513)</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(806,107)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(674,551)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(1,129,124)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1,783,285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tcPr>
          <w:p>
            <w:pPr>
              <w:spacing w:after="0"/>
              <w:rPr>
                <w:sz w:val="18"/>
                <w:szCs w:val="18"/>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(22,602)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including those classified within assets held for sale</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(552,621)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335,142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(102,221)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1,653,315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1,755,770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cash equivalents and restricted cash at end of year, including</w:t>
            </w: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those classified within assets held for sale</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1,653,549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Less: cash and cash equivalents classified within assets held for sale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1,988,457</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1,653,315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jc w:val="right"/>
              <w:ind w:right="333"/>
              <w:spacing w:after="0"/>
              <w:rPr>
                <w:sz w:val="20"/>
                <w:szCs w:val="20"/>
                <w:color w:val="auto"/>
              </w:rPr>
            </w:pPr>
            <w:r>
              <w:rPr>
                <w:rFonts w:ascii="Times New Roman" w:cs="Times New Roman" w:eastAsia="Times New Roman" w:hAnsi="Times New Roman"/>
                <w:sz w:val="17"/>
                <w:szCs w:val="17"/>
                <w:color w:val="auto"/>
              </w:rPr>
              <w:t>132</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2" w:right="7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2" w:lineRule="exact"/>
        <w:rPr>
          <w:sz w:val="20"/>
          <w:szCs w:val="20"/>
          <w:color w:val="auto"/>
        </w:rPr>
      </w:pPr>
    </w:p>
    <w:p>
      <w:pPr>
        <w:jc w:val="both"/>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62"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was US$622.7 million for the year ended December 31, 2023, compared to net cash used in operating activities of US$619.4 million for the year ended December 31, 2022. The change was primarily due to better performance of operations as described in the foregoing section and decreased working capital for operations.</w:t>
      </w:r>
    </w:p>
    <w:p>
      <w:pPr>
        <w:spacing w:after="0" w:line="162"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Net cash used in operating activities was US$619.4 million for the year ended December 31, 2022, compared to net cash used in operating activities of US$268.8 million for the year ended December 31, 2021. The change was primarily due to softer performance of operations and increased working capital for operations.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2"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US$48.5 million for the year ended December 31, 2023, compared to net cash used in investing activities of US$806.1 million for the year ended December 31, 2022. The change was primarily due to the repayment of loan to an affiliated company and decreased payments for capitalized construction costs and acquisition of property and equipment during the year ended December 31, 2023. Net cash used in investing activities for the year ended December 31, 2023 mainly included payments for capitalized construction costs and acquisition of property and equipment of US$257.0 million and payments for intangible and other assets of US$6.9 million, partially offset by proceeds from loan repayment from an affiliated company of US$200.0 million and proceeds from sale of assets held for sale of US$14.8 million.</w:t>
      </w:r>
    </w:p>
    <w:p>
      <w:pPr>
        <w:spacing w:after="0" w:line="17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Net cash used in investing activities was US$806.1 million for the year ended December 31, 2022, compared to net cash used in investing activities of US$674.6 million for the year ended December 31, 2021. The change was primarily due to loan to an affiliated company during the year ended December 31, 2022. Net cash used in investing activities for the year ended December 31, 2022 mainly included payments for capitalized construction costs and acquisition of property and equipment of US$609.6 million, payment of loan to an affiliated company of US$200.0 million and payments for intangible and other assets of US$12.5 million, partially offset by proceeds from sale of assets held for sale of US$15.6 million.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payments for capitalized construction costs and acquisition of property and equipment were US$257.0 million and</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US$609.6 million for the years ended December 31, 2023 and 2022, respectively. Such expenditures were mainly associated with our development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projects, as well as enhancement to our integrated resort offerings.</w:t>
      </w:r>
    </w:p>
    <w:p>
      <w:pPr>
        <w:spacing w:after="0" w:line="205"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We expect to incur significant capital expenditures for the ongoing enhancement and maintenance of our Macau properties, City of Dreams Manila and City of Dreams Mediterranean. We intend to finance these projects through our operating cash flow and existing cash balances as well as equity or debt financings. See “— Other Financing and Liquidity Matters” below for more information.</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900"/>
          </w:cols>
          <w:pgMar w:left="320" w:top="472" w:right="6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our capital expenditures incurred by segment on an accrual basis for the years ended December 31, 2023, 2022 and 2021.</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bottom w:val="single" w:sz="8" w:color="auto"/>
            </w:tcBorders>
            <w:gridSpan w:val="2"/>
          </w:tcPr>
          <w:p>
            <w:pPr>
              <w:jc w:val="center"/>
              <w:ind w:left="398"/>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Mocha and Other</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1,704</w:t>
            </w:r>
          </w:p>
        </w:tc>
        <w:tc>
          <w:tcPr>
            <w:tcW w:w="4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Altira 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6,123</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21,684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52,520</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Studio City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429,362</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505,783</w:t>
            </w:r>
          </w:p>
        </w:tc>
        <w:tc>
          <w:tcPr>
            <w:tcW w:w="60" w:type="dxa"/>
            <w:vAlign w:val="bottom"/>
            <w:shd w:val="clear" w:color="auto" w:fill="CCEEFF"/>
          </w:tcPr>
          <w:p>
            <w:pPr>
              <w:spacing w:after="0"/>
              <w:rPr>
                <w:sz w:val="18"/>
                <w:szCs w:val="18"/>
                <w:color w:val="auto"/>
              </w:rPr>
            </w:pPr>
          </w:p>
        </w:tc>
      </w:tr>
      <w:tr>
        <w:trPr>
          <w:trHeight w:val="215"/>
        </w:trPr>
        <w:tc>
          <w:tcPr>
            <w:tcW w:w="5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Sub-total</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104,193</w:t>
            </w:r>
          </w:p>
        </w:tc>
        <w:tc>
          <w:tcPr>
            <w:tcW w:w="5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456,053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565,794</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 Manila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4,986</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22,912</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108,214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131,419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186,361</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5,956</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60" w:type="dxa"/>
            <w:vAlign w:val="bottom"/>
            <w:shd w:val="clear" w:color="auto" w:fill="CCEEFF"/>
          </w:tcPr>
          <w:p>
            <w:pPr>
              <w:spacing w:after="0"/>
              <w:rPr>
                <w:sz w:val="18"/>
                <w:szCs w:val="18"/>
                <w:color w:val="auto"/>
              </w:rPr>
            </w:pPr>
          </w:p>
        </w:tc>
      </w:tr>
      <w:tr>
        <w:trPr>
          <w:trHeight w:val="215"/>
        </w:trPr>
        <w:tc>
          <w:tcPr>
            <w:tcW w:w="5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252,490</w:t>
            </w:r>
          </w:p>
        </w:tc>
        <w:tc>
          <w:tcPr>
            <w:tcW w:w="5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598,414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782,150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capital expenditures for the year ended December 31, 2023 decreased from that for the year ended December 31, 2022 was primarily</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due to the completion of construction of Studio City Phase 2 and City of Dreams Mediterranean. Our capital expenditures for the year ended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2022 decreased from that for the year ended December 31, 2021 was primarily due to the decrease in capital expenditures on construction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projects in Studio City and City of Dreams Mediterranean.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Net cash used in financing activities of US$1.13 billion for the year ended December 31, 2023 was primarily due to (i) the repayments of outstanding revolving credit facility under the 2020 Credit Facilities of US$2.10 billion, (ii) settlement of the 2025 Studio City Notes Tender Offer of US$97.5 million, (iii) repurchase of shares of US$169.8 million, where were offset in part by (iv) the proceeds from the drawdown of the revolving credit facility under the 2020 Credit Facilities of US$1.25 billion.</w:t>
      </w:r>
    </w:p>
    <w:p>
      <w:pPr>
        <w:spacing w:after="0" w:line="169"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Net cash provided by financing activities of US$1.78 billion for the year ended December 31, 2022 was primarily due to (i) the proceeds from drawdown of the revolving credit facility under the 2020 Credit Facilities of US$1.50 billion and (ii) the proceeds from the issuance of the 2027 Studio City Notes of US$350.0 million, which priced at 100.0% of the principal amount, (iii) net proceeds from issuance of shares of subsidiaries of US$134.1 million, which were offset in part by (iv) repurchase of shares of US$189.2 million and (v) the payments of deferred financing costs of US$8.0 million.</w:t>
      </w:r>
    </w:p>
    <w:p>
      <w:pPr>
        <w:spacing w:after="0" w:line="171"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Net cash provided by financing activities of US$821.7 million for the year ended December 31, 2021 was primarily due to (i) the proceeds from the issuance of the First 2029 Studio City Notes in an aggregate principal amount of US$750.0 million, (ii) the proceeds from the issuance of the Additional 2029 Studio City Notes of US$355.3 million, which priced at 101.5% of the principal amount, (iii) the proceeds from the issuance of the Additional 2029 Senior Notes of US$258.1 million, which priced at 103.250% of the principal amount, and (iv) the drawdown of the revolving credit facility under the 2020 Credit Facilities of US$399.7 million in December 2021, which were offset in part by (v) the payment of 2024 Studio City Notes Tender Offer of US$347.1 million in aggregate principal, (vi) the redemption of the remaining 2024 Studio City Notes of US$252.9 million in aggregate principal outstanding, (vii) the repayment of outstanding revolving credit facility under the 2020 Credit Facility of US$249.9 million, (viii) repurchase of shares of US$52.0 million and (ix) the payments of deferred financing costs of US$37.4 million.</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920"/>
          </w:cols>
          <w:pgMar w:left="320" w:top="472" w:right="6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20"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We enter into loan facilities and issue notes through our subsidiaries. The following table presents a summary of our gross indebtedness as of December 31, 2023:</w:t>
      </w:r>
    </w:p>
    <w:p>
      <w:pPr>
        <w:spacing w:after="0" w:line="15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8"/>
        </w:trPr>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r>
      <w:tr>
        <w:trPr>
          <w:trHeight w:val="137"/>
        </w:trPr>
        <w:tc>
          <w:tcPr>
            <w:tcW w:w="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40" w:type="dxa"/>
            <w:vAlign w:val="bottom"/>
          </w:tcPr>
          <w:p>
            <w:pPr>
              <w:spacing w:after="0"/>
              <w:rPr>
                <w:sz w:val="11"/>
                <w:szCs w:val="1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2029</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1,150,000</w:t>
            </w:r>
          </w:p>
        </w:tc>
      </w:tr>
      <w:tr>
        <w:trPr>
          <w:trHeight w:val="20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2029</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Studio City Notes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1,100,000</w:t>
            </w: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1,000,000</w:t>
            </w:r>
          </w:p>
        </w:tc>
      </w:tr>
      <w:tr>
        <w:trPr>
          <w:trHeight w:val="20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2028</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850,000</w:t>
            </w: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2027</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r>
      <w:tr>
        <w:trPr>
          <w:trHeight w:val="20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2026</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Notes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397,000</w:t>
            </w:r>
          </w:p>
        </w:tc>
      </w:tr>
      <w:tr>
        <w:trPr>
          <w:trHeight w:val="20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2028</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Studio City Notes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2027</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Notes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350,000</w:t>
            </w:r>
          </w:p>
        </w:tc>
      </w:tr>
      <w:tr>
        <w:trPr>
          <w:trHeight w:val="20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2020</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Facilities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1,052,515</w:t>
            </w:r>
          </w:p>
        </w:tc>
      </w:tr>
      <w:tr>
        <w:trPr>
          <w:trHeight w:val="20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2015</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Facilities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128</w:t>
            </w:r>
          </w:p>
        </w:tc>
      </w:tr>
      <w:tr>
        <w:trPr>
          <w:trHeight w:val="215"/>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2028</w:t>
            </w: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Studio City Senior Secured Credit Facility</w:t>
            </w:r>
          </w:p>
        </w:tc>
        <w:tc>
          <w:tcPr>
            <w:tcW w:w="1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0" w:type="dxa"/>
            <w:vAlign w:val="bottom"/>
          </w:tcPr>
          <w:p>
            <w:pPr>
              <w:spacing w:after="0"/>
              <w:rPr>
                <w:sz w:val="18"/>
                <w:szCs w:val="18"/>
                <w:color w:val="auto"/>
              </w:rPr>
            </w:pPr>
          </w:p>
        </w:tc>
      </w:tr>
      <w:tr>
        <w:trPr>
          <w:trHeight w:val="209"/>
        </w:trPr>
        <w:tc>
          <w:tcPr>
            <w:tcW w:w="3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7,499,771</w:t>
            </w:r>
          </w:p>
        </w:tc>
      </w:tr>
      <w:tr>
        <w:trPr>
          <w:trHeight w:val="20"/>
        </w:trPr>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Major changes in our indebtedness during the year ended and subsequent to December 31, 2023 are summarized below.</w:t>
      </w:r>
    </w:p>
    <w:p>
      <w:pPr>
        <w:spacing w:after="0" w:line="22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During the year ended December 31, 2023, MCO Nominee One repaid US$820.0 million and HK$206.0 million (equivalent to US$29.6 million) in aggregate on a net basis along with accrued interest under the 2020 Credit Facilities.</w:t>
      </w:r>
    </w:p>
    <w:p>
      <w:pPr>
        <w:spacing w:after="0" w:line="147"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On June 29, 2023, the 2020 Credit Facilities were amended and restated to amend the facility agreement provisions such that borrowings under the 2020 Credit Facilities denominated in U.S. dollars should bear interest at the term Secured Overnight Financing Rate plus an applicable credit adjustment spread ranging from 0.06% to 0.20% per annum and a margin ranging from 1.00% to 2.00% per annum as adjusted in accordance with the leverage ratio in respect of MCO Nominee One and certain of its specified subsidiaries. The amendment became effective on June 29, 2023 (the “Effective Date”). Prior to the Effective Date of the 2023 Amendment and Restatement, borrowings under the 2020 Credit Facilities denominated in U.S. dollars bore interest at the London Interbank Offered Rate plus a margin ranging from 1.00% to 2.00% per annum as adjusted in accordance with the leverage ratio in respect of MCO Nominee One and certain of its specified subsidiaries.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On November 9, 2023, Studio City Finance initiated the 2025 Studio City Notes Tender Offer. The 2025 Studio City Notes Tender Offer expired on December 8, 2023. An aggregate principal amount of US$317.5 million of the 2025 Studio City Notes was tendered on November 22, 2023, the early tender date. On November 24, 2023, Studio City Finance announced that it would amend the 2025 Studio City Notes Tender Offer to increase the aggregate principal amount of the 2025 Studio City Notes from US$75.0 million to US$100.0 million. Studio City Finance accepted for purchase the 2025 Studio City Notes that were validly tendered (and not validly withdrawn) pursuant to the tender offer for a combined aggregate principal amount equal to US$100.0 million. Settlement of such purchase took place on November 28, 2023.</w:t>
      </w:r>
    </w:p>
    <w:p>
      <w:pPr>
        <w:spacing w:after="0" w:line="17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For further details of the above indebtedness, see note 11 to the consolidated financial statements included elsewhere in this annual report, which includes information regarding the type of debt facilities used, the extent to which borrowings are at fixed rates, the maturity profile of debt, the currency and interest rate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940"/>
          </w:cols>
          <w:pgMar w:left="320" w:top="473"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9" w:lineRule="auto"/>
        <w:rPr>
          <w:sz w:val="20"/>
          <w:szCs w:val="20"/>
          <w:color w:val="auto"/>
        </w:rPr>
      </w:pPr>
      <w:r>
        <w:rPr>
          <w:rFonts w:ascii="Times New Roman" w:cs="Times New Roman" w:eastAsia="Times New Roman" w:hAnsi="Times New Roman"/>
          <w:sz w:val="17"/>
          <w:szCs w:val="17"/>
          <w:color w:val="auto"/>
        </w:rPr>
        <w:t>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interest rate risk and foreign exchange risk exposure.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Financing and Liquidity Matters</w:t>
      </w:r>
    </w:p>
    <w:p>
      <w:pPr>
        <w:spacing w:after="0" w:line="120"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may obtain financing in the form of, among other things, equity or debt, including additional bank loans or high yield, mezzanine or other debt, or rely on our operating cash flow to fund the maintenance, enhancement and development of our projects. We expect to have significant capital expenditures in the future as we continue to maintain, enhance and develop our properties in Macau, the Philippines and Cyprus as well as pursue potential growth opportunities in existing and new jurisdictions.</w:t>
      </w:r>
    </w:p>
    <w:p>
      <w:pPr>
        <w:spacing w:after="0" w:line="169"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We have relied, and intend in the future to rely, on our operating cash flow and different forms of financing to meet our funding needs and repay our indebtedness, as the case may be.</w:t>
      </w:r>
    </w:p>
    <w:p>
      <w:pPr>
        <w:spacing w:after="0" w:line="147"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operations and expansion plans. Such activities may include refinancing existing debt, monetizing assets, sale-and-leaseback transactions or other similar activities.</w:t>
      </w:r>
    </w:p>
    <w:p>
      <w:pPr>
        <w:spacing w:after="0" w:line="169" w:lineRule="exact"/>
        <w:rPr>
          <w:sz w:val="20"/>
          <w:szCs w:val="20"/>
          <w:color w:val="auto"/>
        </w:rPr>
      </w:pPr>
    </w:p>
    <w:p>
      <w:pPr>
        <w:ind w:left="300" w:right="680" w:firstLine="960"/>
        <w:spacing w:after="0" w:line="295" w:lineRule="auto"/>
        <w:rPr>
          <w:sz w:val="20"/>
          <w:szCs w:val="20"/>
          <w:color w:val="auto"/>
        </w:rPr>
      </w:pPr>
      <w:r>
        <w:rPr>
          <w:rFonts w:ascii="Times New Roman" w:cs="Times New Roman" w:eastAsia="Times New Roman" w:hAnsi="Times New Roman"/>
          <w:sz w:val="17"/>
          <w:szCs w:val="17"/>
          <w:color w:val="auto"/>
        </w:rPr>
        <w:t>In March 2022, SCI completed a US$300 million private placement of shares. The net proceeds from this private placement were approximately US$299.2 million, of which US$134.9 million was from noncontrolling interests.</w:t>
      </w:r>
    </w:p>
    <w:p>
      <w:pPr>
        <w:spacing w:after="0" w:line="147"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Our material cash requirements arise from the development and continuous enhancement of our Macau properties, City of Dreams Manila and City of Dreams Mediterranean, as well as the payment of interest expenses and repayment of principal relating to our indebtedness. We are also required to comply with the investment plan which forms part of the gaming concession contract in Macau in the amount of MOP11,823.7 million (equivalent to approximately US$1.47 billion), of which MOP10,008.0 million (equivalent to approximately US$1.24 billion) is to be invested in non-gaming projects per the terms of the concession contract, and incremental additional non-gaming investment in the amount of approximately 20% of our initial non-gaming investment, or MOP2,003.0 million (equivalent to approximately US$248.9 million), in the event the Incremental Investment Trigger is triggered. As Macau’s annual gross gaming revenue exceeded MOP180.0 billion (equivalent to approximately US$22.37 billion) in 2023, the Incremental Investment Trigger was triggered in 2023, thereby increasing our non-gaming investment by MOP2,003.0 million (equivalent to approximately US$248.9 million), with the overall investment amount increased to MOP13,826.7 million (equivalent to approximately US$1.72 billion) to be carried out by December 2032. As of December 31, 2023, the total investment in gaming and non-gaming related projects carried out was in the aggregate amount of MOP1,331.0 million (equivalent to approximately US$165.4 million).</w:t>
      </w:r>
    </w:p>
    <w:p>
      <w:pPr>
        <w:spacing w:after="0" w:line="180" w:lineRule="exact"/>
        <w:rPr>
          <w:sz w:val="20"/>
          <w:szCs w:val="20"/>
          <w:color w:val="auto"/>
        </w:rPr>
      </w:pPr>
    </w:p>
    <w:p>
      <w:pPr>
        <w:ind w:left="300" w:right="120" w:firstLine="960"/>
        <w:spacing w:after="0" w:line="261" w:lineRule="auto"/>
        <w:rPr>
          <w:sz w:val="20"/>
          <w:szCs w:val="20"/>
          <w:color w:val="auto"/>
        </w:rPr>
      </w:pPr>
      <w:r>
        <w:rPr>
          <w:rFonts w:ascii="Times New Roman" w:cs="Times New Roman" w:eastAsia="Times New Roman" w:hAnsi="Times New Roman"/>
          <w:sz w:val="17"/>
          <w:szCs w:val="17"/>
          <w:color w:val="auto"/>
        </w:rPr>
        <w:t>Cash from financings and operations is primarily retained by our operating subsidiaries for the purposes of funding our operating activities, capital expenditures and investing activities. Cash from financing and operations within our group is primarily transferred between our subsidiaries through intercompany loan arrangements or equity capital contributions. In 2023, excluding cash transferred for the purpose of the settlement of intragroup charges for operating activities, cash transferred to our holding company, Melco Resorts &amp; Entertainment Limited, from its subsidiaries for loan or advances amounted to US$158.0 million and repayment of advances of US$75.0 million, respectively, while cash transferred from our holding company to its subsidiaries in the form of advances amounted to US$528.8 million and repayments of loans or advances amounted to US$270.6 million, respectively. In addition, cash transferred to our holding company from its subsidiary for transfer of intangible assets amounted to US$519.0 million. No dividend payments were made in 2023 as no dividend was declared by our Macau operating subsidiary in 2023, and no dividend payments were made to our shareholders in 2023, including holders of our ordinary shares with an address of record known to us to be in the United States (which includes all holders of our ADRs, which are traded on Nasdaq in the United</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960"/>
          </w:cols>
          <w:pgMar w:left="320" w:top="472" w:right="6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7"/>
          <w:szCs w:val="17"/>
          <w:color w:val="auto"/>
        </w:rPr>
        <w:t>States). See also “Item 4. Information on the Company — B. Business Overview — Tax”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Melco Resorts Macau must notify the Macau Chief Executive five business days in advance of any decision related to internal funds transfer in an amount greater than MOP2.5 billion (equivalent to approximately US$310.7 million), seek Macau government consent to grant or receive any loan in the amount of MOP100 million (equivalent to approximately US$12.4 million) and our subsidiaries incorporated in Macau are required to set aside a specified amount of the entity’s profit after tax as a legal reserve which is not distributable to the shareholders of such subsidiaries and authorization is required in the Philippines for inward and outward transfers of Philippine pesos above a certain amount. See “Item 4. Information on the Company — B. Business Overview — Regulations — Macau Regulations — Restrictions on Distribution of Profits Regulations” and “Item 10. Additional Information — D. Exchange Controls.”</w:t>
      </w:r>
    </w:p>
    <w:p>
      <w:pPr>
        <w:spacing w:after="0" w:line="178"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2023, we had capital commitments mainly for the construction and acquisition of property and equipment for Studio City and City of Dreams totaling US$51.9 million. In addition, we have contingent liabilities arising in the ordinary course of business. For further details for our commitments and contingencies, see note 21 to the consolidated financial statements included elsewhere in this annual report.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long-term indebtedness and other contractual obligations as of December 31, 2023 are summarized below.</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More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than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7"/>
          </w:tcPr>
          <w:p>
            <w:pPr>
              <w:jc w:val="right"/>
              <w:ind w:right="680"/>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 US$)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Long-term debt obligations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b w:val="1"/>
                <w:bCs w:val="1"/>
                <w:i w:val="1"/>
                <w:iCs w:val="1"/>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93"/>
              </w:rPr>
              <w:t>2029</w:t>
            </w:r>
          </w:p>
        </w:tc>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2029</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93"/>
              </w:rPr>
              <w:t>2020</w:t>
            </w:r>
          </w:p>
        </w:tc>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7"/>
              </w:rPr>
              <w:t>1,052.6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2025</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1,000.0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2028 Senior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850.0</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 Senior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2026 Senior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Studio City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 Studio City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 Studio City Note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93"/>
              </w:rPr>
              <w:t>2015</w:t>
            </w:r>
          </w:p>
        </w:tc>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2028</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Senior Secured Credit Facility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Fixed interest payments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364.7</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Variable interest payments</w:t>
            </w:r>
            <w:r>
              <w:rPr>
                <w:rFonts w:ascii="Times New Roman" w:cs="Times New Roman" w:eastAsia="Times New Roman" w:hAnsi="Times New Roman"/>
                <w:sz w:val="24"/>
                <w:szCs w:val="24"/>
                <w:color w:val="auto"/>
                <w:vertAlign w:val="superscript"/>
              </w:rPr>
              <w:t>(2)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Finance leases</w:t>
            </w:r>
            <w:r>
              <w:rPr>
                <w:rFonts w:ascii="Times New Roman" w:cs="Times New Roman" w:eastAsia="Times New Roman" w:hAnsi="Times New Roman"/>
                <w:sz w:val="24"/>
                <w:szCs w:val="24"/>
                <w:color w:val="auto"/>
                <w:vertAlign w:val="superscript"/>
              </w:rPr>
              <w:t>(3)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74.8</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Operating leases</w:t>
            </w:r>
            <w:r>
              <w:rPr>
                <w:rFonts w:ascii="Times New Roman" w:cs="Times New Roman" w:eastAsia="Times New Roman" w:hAnsi="Times New Roman"/>
                <w:sz w:val="24"/>
                <w:szCs w:val="24"/>
                <w:color w:val="auto"/>
                <w:vertAlign w:val="superscript"/>
              </w:rPr>
              <w:t>(3)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11.0</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Construction costs and property and equipment retention payables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contractual commitments: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costs and property and equipment acquisition commitments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Gaming concession premium and license fee</w:t>
            </w:r>
            <w:r>
              <w:rPr>
                <w:rFonts w:ascii="Times New Roman" w:cs="Times New Roman" w:eastAsia="Times New Roman" w:hAnsi="Times New Roman"/>
                <w:sz w:val="24"/>
                <w:szCs w:val="24"/>
                <w:color w:val="auto"/>
                <w:vertAlign w:val="superscript"/>
              </w:rPr>
              <w:t>(4)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51.5</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Reversion Assets payments</w:t>
            </w:r>
            <w:r>
              <w:rPr>
                <w:rFonts w:ascii="Times New Roman" w:cs="Times New Roman" w:eastAsia="Times New Roman" w:hAnsi="Times New Roman"/>
                <w:sz w:val="24"/>
                <w:szCs w:val="24"/>
                <w:color w:val="auto"/>
                <w:vertAlign w:val="superscript"/>
              </w:rPr>
              <w:t>(5)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3,744.4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2,856.5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500" w:right="920" w:hanging="5208"/>
        <w:spacing w:after="0" w:line="472" w:lineRule="auto"/>
        <w:tabs>
          <w:tab w:leader="none" w:pos="71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11 to the consolidated financial statements included elsewhere in this annual report for further details on these debt facilities. 137</w:t>
      </w:r>
    </w:p>
    <w:p>
      <w:pPr>
        <w:sectPr>
          <w:pgSz w:w="11900" w:h="16838" w:orient="portrait"/>
          <w:cols w:equalWidth="0" w:num="1">
            <w:col w:w="10960"/>
          </w:cols>
          <w:pgMar w:left="320" w:top="472" w:right="6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720" w:right="620" w:hanging="428"/>
        <w:spacing w:after="0" w:line="295" w:lineRule="auto"/>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for all periods represent our estimated interest payments on our debt facilities based upon amounts outstanding and HIBOR as at December 31, 2023 plus the applicable interest rate spread in accordance with the respective debt agreements. Actual rates will vary.</w:t>
      </w:r>
    </w:p>
    <w:p>
      <w:pPr>
        <w:spacing w:after="0" w:line="55"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12 to the consolidated financial statements included elsewhere in this annual report for further details on these lease liabilities.</w:t>
      </w:r>
    </w:p>
    <w:p>
      <w:pPr>
        <w:spacing w:after="0" w:line="131" w:lineRule="exact"/>
        <w:rPr>
          <w:rFonts w:ascii="Times New Roman" w:cs="Times New Roman" w:eastAsia="Times New Roman" w:hAnsi="Times New Roman"/>
          <w:sz w:val="17"/>
          <w:szCs w:val="17"/>
          <w:color w:val="auto"/>
        </w:rPr>
      </w:pPr>
    </w:p>
    <w:p>
      <w:pPr>
        <w:ind w:left="720" w:hanging="428"/>
        <w:spacing w:after="0" w:line="266" w:lineRule="auto"/>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annual premium with a fixed portion and a variable portion based on the number and type of gaming tables and machines that Melco Resorts Macau is currently approved to operate by the Macau government for our gaming concession in Macau; and ii) fixed license fee for the Cyprus License. The gaming tax for our gaming concession in Macau and the Cyprus License and the license fee for the Philippine License as disclosed in note 21(b) to the consolidated financial statements included elsewhere in this annual report are not included in this table as the amount is variable in nature.</w:t>
      </w:r>
    </w:p>
    <w:p>
      <w:pPr>
        <w:spacing w:after="0" w:line="79" w:lineRule="exact"/>
        <w:rPr>
          <w:rFonts w:ascii="Times New Roman" w:cs="Times New Roman" w:eastAsia="Times New Roman" w:hAnsi="Times New Roman"/>
          <w:sz w:val="17"/>
          <w:szCs w:val="17"/>
          <w:color w:val="auto"/>
        </w:rPr>
      </w:pPr>
    </w:p>
    <w:p>
      <w:pPr>
        <w:ind w:left="720" w:right="20" w:hanging="428"/>
        <w:spacing w:after="0" w:line="263" w:lineRule="auto"/>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and gaming support areas of the Altira Casino, City of Dreams Casino and Studio City Casino with an area of 17,128.8 square meters, 31,227.3 square meters and 28,784.3 square meters, respectively, and related gaming equipment and utensils (collectively referred to as the “Reversion Assets”) are currently owned by the Macau government. Effective January 1, 2023, the Macau government has transferred the Reversion Assets to us for usage in our operations during the duration of the Concession Contract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w:t>
      </w:r>
    </w:p>
    <w:p>
      <w:pPr>
        <w:spacing w:after="0" w:line="81" w:lineRule="exact"/>
        <w:rPr>
          <w:rFonts w:ascii="Times New Roman" w:cs="Times New Roman" w:eastAsia="Times New Roman" w:hAnsi="Times New Roman"/>
          <w:sz w:val="17"/>
          <w:szCs w:val="17"/>
          <w:color w:val="auto"/>
        </w:rPr>
      </w:pPr>
    </w:p>
    <w:p>
      <w:pPr>
        <w:ind w:left="720" w:right="180" w:hanging="428"/>
        <w:spacing w:after="0" w:line="261" w:lineRule="auto"/>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amounts included in the table above, in connection with the Concession Contract, Melco Resorts Macau committed to an overall investment of MOP11,823.7 million (equivalent to approximately US$1.47 billion) and incremental additional non-gaming investment in the amount of approximately 20% of its initial non-gaming investment, or MOP2,003.0 million (equivalent to approximately US$248.9 million), in the event Macau’s annual gross gaming revenue reaches MOP180.0 billion (equivalent to approximately US$22.37 billion) (the “Incremental Investment Trigger”). As Macau’s annual gross gaming revenue exceeded MOP180.0 billion (equivalent to approximately US$22.37 billion) in 2023, the Incremental Investment Trigger was reached and, the non-gaming investment to be carried out was increased by MOP2,003.0 million (equivalent to approximately US$248.9 million) to MOP12,011.0 million (equivalent to approximately US$1.49 billion), with the overall investment amount increased to MOP13,826.7 million (equivalent to approximately US$1.72 billion) to be carried out by December 2032. As of December 31, 2023, the total investment in gaming and non-gaming related projects carried out was in the aggregate amount of MOP1,331.0 million (equivalent to approximately US$165.4 million).</w:t>
      </w:r>
    </w:p>
    <w:p>
      <w:pPr>
        <w:spacing w:after="0" w:line="174"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62" w:lineRule="exact"/>
        <w:rPr>
          <w:sz w:val="20"/>
          <w:szCs w:val="20"/>
          <w:color w:val="auto"/>
        </w:rPr>
      </w:pPr>
    </w:p>
    <w:p>
      <w:pPr>
        <w:jc w:val="both"/>
        <w:ind w:left="300" w:right="460" w:firstLine="960"/>
        <w:spacing w:after="0" w:line="276" w:lineRule="auto"/>
        <w:rPr>
          <w:sz w:val="20"/>
          <w:szCs w:val="20"/>
          <w:color w:val="auto"/>
        </w:rPr>
      </w:pPr>
      <w:r>
        <w:rPr>
          <w:rFonts w:ascii="Times New Roman" w:cs="Times New Roman" w:eastAsia="Times New Roman" w:hAnsi="Times New Roman"/>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6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Each of Melco Resorts Macau and Studio City Company has a corporate rating of “BB-” and “B+” with a positive outlook by Standard &amp; Poor’s, respectively, and each of Melco Resorts Finance and Studio City Finance has a corporate rating of “Ba3” and “B1” with a stable outlook by Moody’s Investors Service, respectively. For future borrowings, any decrease in our corporate rating could result in an increase in borrowing costs.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Restrictions on Distributions</w:t>
      </w:r>
    </w:p>
    <w:p>
      <w:pPr>
        <w:spacing w:after="0" w:line="120"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For discussion on the ability of our subsidiaries to transfer funds to our Company in the form of cash dividends, loans or advances and the impact such restrictions have on our ability to meet our cash obligations, see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960"/>
          </w:cols>
          <w:pgMar w:left="320" w:top="472" w:right="6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7"/>
          <w:szCs w:val="17"/>
          <w:color w:val="auto"/>
        </w:rPr>
        <w:t>“Item 4. Information on the Company — B. Business Overview — Regulations — Macau Regulations — Restrictions on Distribution of Profits Regulations.” See also “Item 8. Financial Information — A. Consolidated Statements and Other Financial Information — Dividend Policy” and note 18 to the consolidated financial statements included elsewhere in this annual report.</w:t>
      </w:r>
    </w:p>
    <w:p>
      <w:pPr>
        <w:spacing w:after="0" w:line="3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entered into license or hotel management agreements with the following entities or groups:</w:t>
      </w:r>
    </w:p>
    <w:p>
      <w:pPr>
        <w:spacing w:after="0" w:line="131" w:lineRule="exact"/>
        <w:rPr>
          <w:sz w:val="20"/>
          <w:szCs w:val="20"/>
          <w:color w:val="auto"/>
        </w:rPr>
      </w:pPr>
    </w:p>
    <w:p>
      <w:pPr>
        <w:ind w:left="1240" w:hanging="530"/>
        <w:spacing w:after="0"/>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Hyatt group in relation to the use of various trademarks owned by Hyatt group for the branding of the Grand Hyatt hotel at City of Dreams;</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55"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Hyatt International Corporation and Melco Resorts Leisure, under which various trademarks owned by Hyatt are licensed to Melco Resorts Leisure for its operation of a hotel at City of Dreams Manila;</w:t>
      </w:r>
    </w:p>
    <w:p>
      <w:pPr>
        <w:spacing w:after="0" w:line="55" w:lineRule="exact"/>
        <w:rPr>
          <w:rFonts w:ascii="Times New Roman" w:cs="Times New Roman" w:eastAsia="Times New Roman" w:hAnsi="Times New Roman"/>
          <w:sz w:val="17"/>
          <w:szCs w:val="17"/>
          <w:color w:val="auto"/>
        </w:rPr>
      </w:pPr>
    </w:p>
    <w:p>
      <w:pPr>
        <w:ind w:left="1240" w:right="320" w:hanging="530"/>
        <w:spacing w:after="0" w:line="276"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DreamWorks Animation and Melco Resorts Leisure, under which various trademarks and other intellectual property rights owned by DreamWorks Animation are licensed to Melco Resorts Leisure for its operation of DreamPlay by DreamWorks, a family entertainment center at City of Dreams Manila; and</w:t>
      </w:r>
    </w:p>
    <w:p>
      <w:pPr>
        <w:spacing w:after="0" w:line="70" w:lineRule="exact"/>
        <w:rPr>
          <w:rFonts w:ascii="Times New Roman" w:cs="Times New Roman" w:eastAsia="Times New Roman" w:hAnsi="Times New Roman"/>
          <w:sz w:val="17"/>
          <w:szCs w:val="17"/>
          <w:color w:val="auto"/>
        </w:rPr>
      </w:pPr>
    </w:p>
    <w:p>
      <w:pPr>
        <w:ind w:left="1240" w:right="760" w:hanging="530"/>
        <w:spacing w:after="0" w:line="295"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 International group in relation to the use of its various trademarks for the operation of a W-branded hotel by the Marriot International group at Studio City.</w:t>
      </w:r>
    </w:p>
    <w:p>
      <w:pPr>
        <w:spacing w:after="0" w:line="147" w:lineRule="exact"/>
        <w:rPr>
          <w:sz w:val="20"/>
          <w:szCs w:val="20"/>
          <w:color w:val="auto"/>
        </w:rPr>
      </w:pPr>
    </w:p>
    <w:p>
      <w:pPr>
        <w:ind w:left="300" w:right="220" w:firstLine="960"/>
        <w:spacing w:after="0" w:line="273" w:lineRule="auto"/>
        <w:rPr>
          <w:sz w:val="20"/>
          <w:szCs w:val="20"/>
          <w:color w:val="auto"/>
        </w:rPr>
      </w:pPr>
      <w:r>
        <w:rPr>
          <w:rFonts w:ascii="Times New Roman" w:cs="Times New Roman" w:eastAsia="Times New Roman" w:hAnsi="Times New Roman"/>
          <w:sz w:val="17"/>
          <w:szCs w:val="17"/>
          <w:color w:val="auto"/>
        </w:rPr>
        <w:t>In addition, we also purchase gaming tables and gaming machines and enter into licensing agreements for the use of certain trade 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200" w:lineRule="exact"/>
        <w:rPr>
          <w:sz w:val="20"/>
          <w:szCs w:val="20"/>
          <w:color w:val="auto"/>
        </w:rPr>
      </w:pPr>
    </w:p>
    <w:p>
      <w:pPr>
        <w:spacing w:after="0" w:line="3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trends and uncertainties may affect our operations and financial conditions:</w:t>
      </w:r>
    </w:p>
    <w:p>
      <w:pPr>
        <w:spacing w:after="0" w:line="131" w:lineRule="exact"/>
        <w:rPr>
          <w:sz w:val="20"/>
          <w:szCs w:val="20"/>
          <w:color w:val="auto"/>
        </w:rPr>
      </w:pPr>
    </w:p>
    <w:p>
      <w:pPr>
        <w:ind w:left="1240" w:right="140" w:hanging="530"/>
        <w:spacing w:after="0" w:line="269"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recovery from the disruptions caused by COVID-19, including the impact of potentially higher unemployment rates, declines in income levels, and loss of personal wealth resulting from COVID-19 affecting discretionary spending and travel. The pace of recovery of our business from COVID-19 could vary materially from our current expectations and could materially affect our business, prospects, financial condition and results of operations;</w:t>
      </w:r>
    </w:p>
    <w:p>
      <w:pPr>
        <w:spacing w:after="0" w:line="77" w:lineRule="exact"/>
        <w:rPr>
          <w:rFonts w:ascii="Times New Roman" w:cs="Times New Roman" w:eastAsia="Times New Roman" w:hAnsi="Times New Roman"/>
          <w:sz w:val="17"/>
          <w:szCs w:val="17"/>
          <w:color w:val="auto"/>
        </w:rPr>
      </w:pPr>
    </w:p>
    <w:p>
      <w:pPr>
        <w:ind w:left="1240" w:right="400" w:hanging="530"/>
        <w:spacing w:after="0" w:line="276"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the amended Macau Gaming Operations Law, as well as any other policies and legislation implemented by the Macau government, including interpretations thereof, such as those relating to travel and visa policies and gaming concessionaire’s liability;</w:t>
      </w:r>
    </w:p>
    <w:p>
      <w:pPr>
        <w:spacing w:after="0" w:line="70" w:lineRule="exact"/>
        <w:rPr>
          <w:rFonts w:ascii="Times New Roman" w:cs="Times New Roman" w:eastAsia="Times New Roman" w:hAnsi="Times New Roman"/>
          <w:sz w:val="17"/>
          <w:szCs w:val="17"/>
          <w:color w:val="auto"/>
        </w:rPr>
      </w:pPr>
    </w:p>
    <w:p>
      <w:pPr>
        <w:ind w:left="1240" w:right="100" w:hanging="530"/>
        <w:spacing w:after="0" w:line="264"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the PRC or new measures taken by the Chinese government, including criminalization of certain conduct, to deter marketing of gaming activities to mainland Chinese residents by foreign casinos, as well as any slowdown of economic growth in the PRC, may lead to a decline and limit the recovery and growth in the number of patrons visiting our properties and the spending amount of such patrons;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960"/>
          </w:cols>
          <w:pgMar w:left="320" w:top="472" w:right="6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line="269"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and leisure market in Macau and the Philippines are developing and the competitive landscapes are expected to evolve as more gaming and non-gaming facilities are developed in the regions where our properties are located. More supply of integrated resorts in the Cotai region of Macau and in Entertainment City of the Philippines will intensify the competition in the business that we operate. Our business in Cyprus operates in a relatively new gaming market and the market landscape is expected to be more volatile and unpredictable;</w:t>
      </w:r>
    </w:p>
    <w:p>
      <w:pPr>
        <w:spacing w:after="0" w:line="77" w:lineRule="exact"/>
        <w:rPr>
          <w:rFonts w:ascii="Times New Roman" w:cs="Times New Roman" w:eastAsia="Times New Roman" w:hAnsi="Times New Roman"/>
          <w:sz w:val="17"/>
          <w:szCs w:val="17"/>
          <w:color w:val="auto"/>
        </w:rPr>
      </w:pPr>
    </w:p>
    <w:p>
      <w:pPr>
        <w:ind w:left="1240" w:right="140" w:hanging="530"/>
        <w:spacing w:after="0" w:line="276"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new policies and legislation implemented by the Philippine government, including potential additional licensing requirements and potential tax legislation subjecting our Philippine subsidiaries to Philippines corporate income tax, value-added tax and other tax assessments in addition to the license fees paid to PAGCOR pursuant to the Philippine License;</w:t>
      </w:r>
    </w:p>
    <w:p>
      <w:pPr>
        <w:spacing w:after="0" w:line="70" w:lineRule="exact"/>
        <w:rPr>
          <w:rFonts w:ascii="Times New Roman" w:cs="Times New Roman" w:eastAsia="Times New Roman" w:hAnsi="Times New Roman"/>
          <w:sz w:val="17"/>
          <w:szCs w:val="17"/>
          <w:color w:val="auto"/>
        </w:rPr>
      </w:pPr>
    </w:p>
    <w:p>
      <w:pPr>
        <w:ind w:left="1240" w:right="120" w:hanging="530"/>
        <w:spacing w:after="0" w:line="266"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 compliances of such laws and regulations could have an adverse effect on our reputation, financial condition, results of operations or cash flows;</w:t>
      </w:r>
    </w:p>
    <w:p>
      <w:pPr>
        <w:spacing w:after="0" w:line="79" w:lineRule="exact"/>
        <w:rPr>
          <w:rFonts w:ascii="Times New Roman" w:cs="Times New Roman" w:eastAsia="Times New Roman" w:hAnsi="Times New Roman"/>
          <w:sz w:val="17"/>
          <w:szCs w:val="17"/>
          <w:color w:val="auto"/>
        </w:rPr>
      </w:pPr>
    </w:p>
    <w:p>
      <w:pPr>
        <w:ind w:left="1240" w:right="160" w:hanging="530"/>
        <w:spacing w:after="0" w:line="266"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of our reputation and/or subject us to lawsuits, fines and other penalties as well as restrictions on our use or transfer of data;</w:t>
      </w:r>
    </w:p>
    <w:p>
      <w:pPr>
        <w:spacing w:after="0" w:line="79" w:lineRule="exact"/>
        <w:rPr>
          <w:rFonts w:ascii="Times New Roman" w:cs="Times New Roman" w:eastAsia="Times New Roman" w:hAnsi="Times New Roman"/>
          <w:sz w:val="17"/>
          <w:szCs w:val="17"/>
          <w:color w:val="auto"/>
        </w:rPr>
      </w:pPr>
    </w:p>
    <w:p>
      <w:pPr>
        <w:ind w:left="1240" w:right="240" w:hanging="530"/>
        <w:spacing w:after="0" w:line="276"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 and</w:t>
      </w:r>
    </w:p>
    <w:p>
      <w:pPr>
        <w:spacing w:after="0" w:line="70"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promoters in Macau have experienced significantly increased regulatory scrutiny that has resulted in the cessation of business of many gaming promoters.</w:t>
      </w:r>
    </w:p>
    <w:p>
      <w:pPr>
        <w:spacing w:after="0" w:line="147" w:lineRule="exact"/>
        <w:rPr>
          <w:sz w:val="20"/>
          <w:szCs w:val="20"/>
          <w:color w:val="auto"/>
        </w:rPr>
      </w:pPr>
    </w:p>
    <w:p>
      <w:pPr>
        <w:jc w:val="both"/>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25"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920"/>
          </w:cols>
          <w:pgMar w:left="320" w:top="472" w:right="6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and Other Long-lived Assets</w:t>
      </w:r>
    </w:p>
    <w:p>
      <w:pPr>
        <w:spacing w:after="0" w:line="122"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During the development and construction stage of our integrated resort facilities, direct and incremental costs related to the design and construction, including costs under construction contracts, duties and tariffs, equipment installations,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w:t>
      </w:r>
    </w:p>
    <w:p>
      <w:pPr>
        <w:spacing w:after="0" w:line="173"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Depreciation and amortization expense related to capitalized construction costs and other property and equipment is recognized from the time each asset is placed in service. This may occur at different stages as integrated resort facilities are completed and opened. 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2(j) to the consolidated financial statements included elsewhere in this annual report for further details of estimated useful lives of the property and equipment.</w:t>
      </w:r>
    </w:p>
    <w:p>
      <w:pPr>
        <w:spacing w:after="0" w:line="173" w:lineRule="exact"/>
        <w:rPr>
          <w:sz w:val="20"/>
          <w:szCs w:val="20"/>
          <w:color w:val="auto"/>
        </w:rPr>
      </w:pPr>
    </w:p>
    <w:p>
      <w:pPr>
        <w:ind w:left="300" w:right="220" w:firstLine="960"/>
        <w:spacing w:after="0" w:line="266" w:lineRule="auto"/>
        <w:rPr>
          <w:sz w:val="20"/>
          <w:szCs w:val="20"/>
          <w:color w:val="auto"/>
        </w:rPr>
      </w:pPr>
      <w:r>
        <w:rPr>
          <w:rFonts w:ascii="Times New Roman" w:cs="Times New Roman" w:eastAsia="Times New Roman" w:hAnsi="Times New Roman"/>
          <w:sz w:val="17"/>
          <w:szCs w:val="17"/>
          <w:color w:val="auto"/>
        </w:rPr>
        <w:t>Our land use rights in Macau under the land concession contracts for Altira Macau, City of Dreams and Studio City are being amortized over the estimated term of the land use rights on a straight-line basis. The estimated term of the land use rights under the applicable land concession contracts are based on factors including the business and operating environment of the gaming industry in Macau, laws and regulations in Macau, and our development plans. The estimated term of the land use rights are periodically reviewed. Refer to note 2(o) to the consolidated financial statements included elsewhere in this annual report for further details of estimated term of the land use rights.</w:t>
      </w:r>
    </w:p>
    <w:p>
      <w:pPr>
        <w:spacing w:after="0" w:line="171"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7"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Costs incurred to develop software for internal use are capitalized and amortized on a straight-line basis over the estimated useful life.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 The remaining estimated useful lives of the internal-use software are periodically reviewed. Refer to note 2(l) to the consolidated financial statements included elsewhere in this annual report for further details of estimated useful lives of the internal-use software.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capital expenditures for the years ended December 31, 2023, 2022 and 2021 were US$252.5 million, US$598.4 million and</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US$782.2 million, respectively, of which US$181.7 million, US$560.8 million and US$692.1 million, respectively, were attributable to our development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and construction projects at Studio City and City of Dreams Mediterranean, with the remainder primarily related to the enhancements to our integrated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resort offerings of our other properties. Refer to note 23 to the consolidated financial statements included elsewhere in this annual report for further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details of these capital expenditures.</w:t>
      </w:r>
    </w:p>
    <w:p>
      <w:pPr>
        <w:spacing w:after="0" w:line="205" w:lineRule="exact"/>
        <w:rPr>
          <w:sz w:val="20"/>
          <w:szCs w:val="20"/>
          <w:color w:val="auto"/>
        </w:rPr>
      </w:pPr>
    </w:p>
    <w:p>
      <w:pPr>
        <w:jc w:val="both"/>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We also evaluate our property and equipment and other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960"/>
          </w:cols>
          <w:pgMar w:left="320" w:top="472" w:right="6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62" w:lineRule="auto"/>
        <w:rPr>
          <w:sz w:val="20"/>
          <w:szCs w:val="20"/>
          <w:color w:val="auto"/>
        </w:rPr>
      </w:pPr>
      <w:r>
        <w:rPr>
          <w:rFonts w:ascii="Times New Roman" w:cs="Times New Roman" w:eastAsia="Times New Roman" w:hAnsi="Times New Roman"/>
          <w:sz w:val="17"/>
          <w:szCs w:val="17"/>
          <w:color w:val="auto"/>
        </w:rPr>
        <w:t>rates, future market conditions and gross margin.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then an impairment charge is recorded based on the fair value of the asset group, typically measured using a discounted cash flow model involving significant assumptions, such as discount rates. If an asset is still under development, future cash flows include remaining construction costs. All recognized impairment losses are recorded as operating expenses.</w:t>
      </w:r>
    </w:p>
    <w:p>
      <w:pPr>
        <w:spacing w:after="0" w:line="175" w:lineRule="exact"/>
        <w:rPr>
          <w:sz w:val="20"/>
          <w:szCs w:val="20"/>
          <w:color w:val="auto"/>
        </w:rPr>
      </w:pPr>
    </w:p>
    <w:p>
      <w:pPr>
        <w:jc w:val="both"/>
        <w:ind w:left="300" w:right="260" w:firstLine="96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with the market value of Altira Macau significantly decreased as a result of a change in its forecasted performance given the latest market conditions and lingering disruptions to the business caused by COVID-19 and our earlier cessation of arrangements with gaming promoters in Macau, we recognized an impairment of long-lived assets in relation to Altira Macau of US$207.6 million.</w:t>
      </w:r>
    </w:p>
    <w:p>
      <w:pPr>
        <w:ind w:left="300" w:right="380"/>
        <w:spacing w:after="0" w:line="265" w:lineRule="auto"/>
        <w:rPr>
          <w:sz w:val="20"/>
          <w:szCs w:val="20"/>
          <w:color w:val="auto"/>
        </w:rPr>
      </w:pPr>
      <w:r>
        <w:rPr>
          <w:rFonts w:ascii="Times New Roman" w:cs="Times New Roman" w:eastAsia="Times New Roman" w:hAnsi="Times New Roman"/>
          <w:sz w:val="17"/>
          <w:szCs w:val="17"/>
          <w:color w:val="auto"/>
        </w:rPr>
        <w:t>Such amount included the impairment of Altira Macau’s property and equipment of US$110.0 million, and the full impairment of the finite-lived intangible assets, land use rights and operating lease right-of-use assets for Altira Macau of US$30.4 million, US$65.2 million and US$2.0 million, respectively.</w:t>
      </w:r>
    </w:p>
    <w:p>
      <w:pPr>
        <w:spacing w:after="0" w:line="171" w:lineRule="exact"/>
        <w:rPr>
          <w:sz w:val="20"/>
          <w:szCs w:val="20"/>
          <w:color w:val="auto"/>
        </w:rPr>
      </w:pPr>
    </w:p>
    <w:p>
      <w:pPr>
        <w:jc w:val="both"/>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an impairment of long-lived assets of US$3.6 million represents the impairment of property and equipment which related to a significant decrease in the market value of an aircraft. During the year ended December 31, 2021, an impairment of long-lived assets of US$3.6 million represents impairment of property and equipment, mainly due to reconfigurations and renovations at our operating properties, and of which US$1.1 million related to a significant decrease in the market value of a piece of freehold land.</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Goodwill and Purchased Intangible Assets</w:t>
      </w:r>
    </w:p>
    <w:p>
      <w:pPr>
        <w:spacing w:after="0" w:line="122"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We review the carrying value of goodwill and purchased intangible assets with indefinite useful lives for impairment at least on an annual basis or whenever events or changes in circumstances indicate that the carrying value may not be recoverable. Goodwill and purchased intangible assets with indefinite useful lives as at December 31, 2023 and 2022 was associated with Mocha Clubs, a reporting unit, which arose from the acquisition of Mocha Slot Group Limited and its subsidiaries by our Company in 2006.</w:t>
      </w:r>
    </w:p>
    <w:p>
      <w:pPr>
        <w:spacing w:after="0" w:line="169"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When performing the impairment analysis for goodwill and intangible assets with indefinite lives, we may first perform a qualitative assessment to determine whether it is necessary to perform a quantitative impairment test. If the qualitative factors indicate that the carrying amount of the reporting unit is more likely than not to exceed the fair value, then a quantitative impairment test is performed.</w:t>
      </w:r>
    </w:p>
    <w:p>
      <w:pPr>
        <w:spacing w:after="0" w:line="16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To perform a quantitative impairment test of goodwill, we perform an assessment that consists of a comparison of the carrying value of a reporting unit with its fair value. If the carrying value of the reporting unit exceeds its fair value, we would recognize an impairment for the amount by which the carrying value exceeds the reporting unit’s fair value, limited to the total amount of goodwill allocated to that reporting unit. We determine the fair value of our reporting unit using income valuation approaches through the application of discounted cash flow method. The projections for future cash flows utilized in the discounted cash flow method are derived from historical experience and assumptions regarding future growth and profitability of the reporting unit. These projections are consistent with our budget and strategic plan. Cash flows for the five years subsequent to the date of the quantitative goodwill impairment test were utilized in the determination of the fair value of the reporting unit. Beyond five years, a terminal value was determined using a perpetuity growth rate. For the goodwill impairment test of Mocha Clubs, the rates used to discount the cash flow are 11.7% and</w:t>
      </w:r>
    </w:p>
    <w:p>
      <w:pPr>
        <w:spacing w:after="0" w:line="3"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color w:val="auto"/>
        </w:rPr>
        <w:t>12.6% for the years ended December 31, 2023 and 2022 respectively and sensitivity analysis was performed by either reducing the operating cash flows by 5% or increasing the discount rate by one percentage point, which would not have resulted in its carrying value exceeding its fair value.</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940"/>
          </w:cols>
          <w:pgMar w:left="320" w:top="472" w:right="6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To perform a quantitative impairment test of the trademarks of Mocha Clubs, we perform an assessment that consists of a comparison of their carrying values with their fair values using the relief-from-royalty method. Under this method, we estimate the fair values of the trademarks,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71"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As a result of these assessments, no impairment losses on goodwill and intangible assets with indefinite lives were recognized during the years ended December 31, 2023, 2022 and 2021.</w:t>
      </w:r>
    </w:p>
    <w:p>
      <w:pPr>
        <w:spacing w:after="0" w:line="147"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As discussed above, determining the fair value of goodwill and trademarks is judgmental in nature and requires the use of significant estimates and assumptions. Future changes to our estimates and assumptions based upon changes in operating results, macro-economic factors or management’s intentions may result in future changes to the fair value of the goodwill and trademarks of the Group.</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revenues from contracts with customers consist of casino wagers, sales of rooms, food and beverage, entertainment, retail and other goods and services.</w:t>
      </w:r>
    </w:p>
    <w:p>
      <w:pPr>
        <w:spacing w:after="0" w:line="147"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Gross casino revenues are measured by the aggregate net difference between gaming wins and losses. We account for its casino wagering transactions on a portfolio basis versus an individual basis as all wagers have similar characteristics. Commissions rebated to customers and gaming promoters, cash discounts and other cash incentives earned by customers are recorded as reductions of casino revenues. In addition to the wagers, casino transactions typically include performance obligations related to complimentary goods or services provided to incentivize future gaming or in exchange for incentives or points earned under our non-discretionary incentive programs (including loyalty programs).</w:t>
      </w:r>
    </w:p>
    <w:p>
      <w:pPr>
        <w:spacing w:after="0" w:line="171"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For casino transactions that include complimentary goods or services provided by us to incentivize future gaming, we allocate the standalone selling price of each good or service to the appropriate revenue type based on the good or service provided. Complimentary goods or services that are provided under our control and discretion and supplied by third parties are recorded as operating expenses.</w:t>
      </w:r>
    </w:p>
    <w:p>
      <w:pPr>
        <w:spacing w:after="0" w:line="16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operate different non-discretionary incentives programs in certain of our properties which include our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our loyalty programs, we defer a portion of the revenue by recording the estimated standalone selling prices of the earned points that are expected to be redeemed as a liability. Upon redemption of the points for our self-owned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173" w:lineRule="exact"/>
        <w:rPr>
          <w:sz w:val="20"/>
          <w:szCs w:val="20"/>
          <w:color w:val="auto"/>
        </w:rPr>
      </w:pPr>
    </w:p>
    <w:p>
      <w:pPr>
        <w:ind w:left="300" w:right="560" w:firstLine="960"/>
        <w:spacing w:after="0" w:line="295" w:lineRule="auto"/>
        <w:rPr>
          <w:sz w:val="20"/>
          <w:szCs w:val="20"/>
          <w:color w:val="auto"/>
        </w:rPr>
      </w:pPr>
      <w:r>
        <w:rPr>
          <w:rFonts w:ascii="Times New Roman" w:cs="Times New Roman" w:eastAsia="Times New Roman" w:hAnsi="Times New Roman"/>
          <w:sz w:val="17"/>
          <w:szCs w:val="17"/>
          <w:color w:val="auto"/>
        </w:rPr>
        <w:t>After allocating amounts to the complimentary goods or services provided and to the points earned under our loyalty programs, the residual amount is recorded as casino revenue when the wagers are settled.</w:t>
      </w:r>
    </w:p>
    <w:p>
      <w:pPr>
        <w:spacing w:after="0" w:line="14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Company follows the accounting standards for reporting revenue gross as a principal versus net as an agent, when accounting for the operations of two of its externally managed hotels and Grand Dragon Casino and concluded that it is the controlling entity and is the principal to these arrangements. For the operations of these two externally managed hotels, as the Company is the owner of the hotel properties, the hotel managers operate the respective hotels under management agreements providing management services to the Company, and the Company receives all rewards and takes substantial risks associated with the hotel businesses. The Company is the principal and the transactions are, therefore, recognized on a gross basis. For the operations of Grand Dragon Casino, given the Company operates the casino under a right to use agreement with the owner of</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940"/>
          </w:cols>
          <w:pgMar w:left="320" w:top="472" w:right="6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spacing w:after="0" w:line="295" w:lineRule="auto"/>
        <w:rPr>
          <w:sz w:val="20"/>
          <w:szCs w:val="20"/>
          <w:color w:val="auto"/>
        </w:rPr>
      </w:pPr>
      <w:r>
        <w:rPr>
          <w:rFonts w:ascii="Times New Roman" w:cs="Times New Roman" w:eastAsia="Times New Roman" w:hAnsi="Times New Roman"/>
          <w:sz w:val="17"/>
          <w:szCs w:val="17"/>
          <w:color w:val="auto"/>
        </w:rPr>
        <w:t>the casino premises and has full responsibility for the casino operations in accordance with the Concession or its previous gaming subconcession, it is the principal and casino revenue is, therefore, recognized on a gross basis.</w:t>
      </w:r>
    </w:p>
    <w:p>
      <w:pPr>
        <w:spacing w:after="0" w:line="147"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The transaction prices for rooms, food and beverage, entertainment, retail and other goods and services are the net amounts collected from the customers for such goods and services that are recorded as revenues when the goods are provided, services are performed or events are held. Service taxes and other applicable taxes collected by us are excluded from revenues. Advance deposits on rooms and advance ticket sales are recorded as customer deposits until services are provided to the customers. Revenues from contracts with multiple goods or services provided by us are allocated to each good or service based on its relative standalone selling price.</w:t>
      </w:r>
    </w:p>
    <w:p>
      <w:pPr>
        <w:spacing w:after="0" w:line="171"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Minimum operating and right to use fees representing lease revenues, adjusted for contractual base fees and operating fees escalations, are included in other revenues and are recognized over the terms of the related agreements on a straight-line basis.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and Credit Risk</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Financial instruments that potentially subject our Company to concentrations of credit risk consist principally of casino accounts receivable. We issue credit in the form of markers to approved casino customers following investigations of creditworthiness. Credit is/can be also given to gaming promoters. These receivables can be offset against commissions payable and any other value items held by us to the respective customers and gaming promoters for which we intend to set off when required. For the years ended December 31, 2023, 2022 and 2021, approximately 1.5%, 0.3% and 11.9% of our casino revenues were derived from customers sourced through our rolling chip gaming promoters, respectively.</w:t>
      </w:r>
    </w:p>
    <w:p>
      <w:pPr>
        <w:spacing w:after="0" w:line="171"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2023 and 2022, a substantial portion of our markers were due from customers and gaming promoters residing in foreign countries. Business and economic conditions, the legal enforceability of gaming debts, foreign currency control measures or other significant events in foreign countries could affect the collectability of receivables from customers and gaming promoters residing in these countries.</w:t>
      </w:r>
    </w:p>
    <w:p>
      <w:pPr>
        <w:spacing w:after="0" w:line="16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Accounts receivable, including casino,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our receivables to their carrying amounts, which reflects the net amount the Company expects to collect. The allowance is estimated based on our specific reviews of the age of the balances owed, the customers’ financial condition, management’s experience with the collection trends of the customers, current business and economic conditions, and management’s expectations of future business and economic conditions.</w:t>
      </w:r>
    </w:p>
    <w:p>
      <w:pPr>
        <w:spacing w:after="0" w:line="173"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2023 and 2022, the Company’s allowances for casino credit losses were 64.4% and 80.0% of gross casino accounts receivable, respectively. At December 31, 2023, a 100 basis-point change in the estimated allowance for credit losses as a percentage of casino receivables would change the allowance for credit losses by approximately US$2.4 million.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2023 and 2022, we recorded valuation allowances of US$374.6 million and US$299.6 million, respectively, as management believes it is more likely than not that these deferred tax assets will not be realized. Our assessment considers, among other matters, the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940"/>
          </w:cols>
          <w:pgMar w:left="320" w:top="472" w:right="6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Estimates</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940"/>
          </w:cols>
          <w:pgMar w:left="320" w:top="473" w:right="6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of the date of this annual report on Form 20-F.</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Age</w:t>
            </w:r>
          </w:p>
        </w:tc>
        <w:tc>
          <w:tcPr>
            <w:tcW w:w="420" w:type="dxa"/>
            <w:vAlign w:val="bottom"/>
          </w:tcPr>
          <w:p>
            <w:pPr>
              <w:spacing w:after="0"/>
              <w:rPr>
                <w:sz w:val="14"/>
                <w:szCs w:val="14"/>
                <w:color w:val="auto"/>
              </w:rPr>
            </w:pPr>
          </w:p>
        </w:tc>
        <w:tc>
          <w:tcPr>
            <w:tcW w:w="52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r>
        <w:trPr>
          <w:trHeight w:val="19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20" w:type="dxa"/>
            <w:vAlign w:val="bottom"/>
            <w:shd w:val="clear" w:color="auto" w:fill="CCEEFF"/>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chief executive officer and director</w:t>
            </w: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President and director</w:t>
            </w:r>
          </w:p>
        </w:tc>
      </w:tr>
      <w:tr>
        <w:trPr>
          <w:trHeight w:val="191"/>
        </w:trPr>
        <w:tc>
          <w:tcPr>
            <w:tcW w:w="44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Alec Yiu Wa Tsui</w:t>
            </w:r>
          </w:p>
        </w:tc>
        <w:tc>
          <w:tcPr>
            <w:tcW w:w="560" w:type="dxa"/>
            <w:vAlign w:val="bottom"/>
          </w:tcPr>
          <w:p>
            <w:pPr>
              <w:spacing w:after="0"/>
              <w:rPr>
                <w:sz w:val="16"/>
                <w:szCs w:val="16"/>
                <w:color w:val="auto"/>
              </w:rPr>
            </w:pPr>
          </w:p>
        </w:tc>
        <w:tc>
          <w:tcPr>
            <w:tcW w:w="56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chair of the nomination and corporate</w:t>
            </w:r>
          </w:p>
        </w:tc>
      </w:tr>
      <w:tr>
        <w:trPr>
          <w:trHeight w:val="209"/>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governance committee and a member of each of the audit and risk</w:t>
            </w:r>
          </w:p>
        </w:tc>
      </w:tr>
      <w:tr>
        <w:trPr>
          <w:trHeight w:val="227"/>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committee and the compensation committee</w:t>
            </w:r>
          </w:p>
        </w:tc>
      </w:tr>
      <w:tr>
        <w:trPr>
          <w:trHeight w:val="191"/>
        </w:trPr>
        <w:tc>
          <w:tcPr>
            <w:tcW w:w="4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Thomas Jefferson Wu</w:t>
            </w:r>
          </w:p>
        </w:tc>
        <w:tc>
          <w:tcPr>
            <w:tcW w:w="56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ind w:left="42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chair of the compensation committee</w:t>
            </w:r>
          </w:p>
        </w:tc>
      </w:tr>
      <w:tr>
        <w:trPr>
          <w:trHeight w:val="209"/>
        </w:trPr>
        <w:tc>
          <w:tcPr>
            <w:tcW w:w="3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and a member of each of the audit and risk committee and the nomination</w:t>
            </w:r>
          </w:p>
        </w:tc>
      </w:tr>
      <w:tr>
        <w:trPr>
          <w:trHeight w:val="227"/>
        </w:trPr>
        <w:tc>
          <w:tcPr>
            <w:tcW w:w="34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and corporate governance committee</w:t>
            </w:r>
          </w:p>
        </w:tc>
      </w:tr>
      <w:tr>
        <w:trPr>
          <w:trHeight w:val="191"/>
        </w:trPr>
        <w:tc>
          <w:tcPr>
            <w:tcW w:w="44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John William Crawford</w:t>
            </w:r>
          </w:p>
        </w:tc>
        <w:tc>
          <w:tcPr>
            <w:tcW w:w="560" w:type="dxa"/>
            <w:vAlign w:val="bottom"/>
          </w:tcPr>
          <w:p>
            <w:pPr>
              <w:spacing w:after="0"/>
              <w:rPr>
                <w:sz w:val="16"/>
                <w:szCs w:val="16"/>
                <w:color w:val="auto"/>
              </w:rPr>
            </w:pPr>
          </w:p>
        </w:tc>
        <w:tc>
          <w:tcPr>
            <w:tcW w:w="56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chair of the audit and risk committee</w:t>
            </w:r>
          </w:p>
        </w:tc>
      </w:tr>
      <w:tr>
        <w:trPr>
          <w:trHeight w:val="209"/>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and a member of each of the nomination and corporate governance</w:t>
            </w:r>
          </w:p>
        </w:tc>
      </w:tr>
      <w:tr>
        <w:trPr>
          <w:trHeight w:val="227"/>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committee and the compensation committee</w:t>
            </w:r>
          </w:p>
        </w:tc>
      </w:tr>
      <w:tr>
        <w:trPr>
          <w:trHeight w:val="191"/>
        </w:trPr>
        <w:tc>
          <w:tcPr>
            <w:tcW w:w="4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Francesca Galante</w:t>
            </w:r>
          </w:p>
        </w:tc>
        <w:tc>
          <w:tcPr>
            <w:tcW w:w="56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ind w:left="42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and a member of each of the audit and</w:t>
            </w:r>
          </w:p>
        </w:tc>
      </w:tr>
      <w:tr>
        <w:trPr>
          <w:trHeight w:val="209"/>
        </w:trPr>
        <w:tc>
          <w:tcPr>
            <w:tcW w:w="3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risk committee, the nomination and corporate governance committee and</w:t>
            </w:r>
          </w:p>
        </w:tc>
      </w:tr>
      <w:tr>
        <w:trPr>
          <w:trHeight w:val="227"/>
        </w:trPr>
        <w:tc>
          <w:tcPr>
            <w:tcW w:w="34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the compensation committee</w:t>
            </w: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Graham Paul Winter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5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Executive vice president and chief legal officer</w:t>
            </w:r>
          </w:p>
        </w:tc>
      </w:tr>
      <w:tr>
        <w:trPr>
          <w:trHeight w:val="191"/>
        </w:trPr>
        <w:tc>
          <w:tcPr>
            <w:tcW w:w="44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Akiko Takahashi</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w:t>
            </w:r>
          </w:p>
        </w:tc>
        <w:tc>
          <w:tcPr>
            <w:tcW w:w="56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7"/>
                <w:szCs w:val="17"/>
                <w:color w:val="auto"/>
              </w:rPr>
              <w:t>Executive vice president and chief of staff to Chairman and chief</w:t>
            </w:r>
          </w:p>
        </w:tc>
      </w:tr>
      <w:tr>
        <w:trPr>
          <w:trHeight w:val="227"/>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executive officer</w:t>
            </w:r>
          </w:p>
        </w:tc>
      </w:tr>
    </w:tbl>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16" w:lineRule="exact"/>
        <w:rPr>
          <w:sz w:val="20"/>
          <w:szCs w:val="20"/>
          <w:color w:val="auto"/>
        </w:rPr>
      </w:pPr>
    </w:p>
    <w:p>
      <w:pPr>
        <w:ind w:left="300" w:right="80" w:firstLine="9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Lawrence Yau Lung Ho </w:t>
      </w:r>
      <w:r>
        <w:rPr>
          <w:rFonts w:ascii="Times New Roman" w:cs="Times New Roman" w:eastAsia="Times New Roman" w:hAnsi="Times New Roman"/>
          <w:sz w:val="17"/>
          <w:szCs w:val="17"/>
          <w:color w:val="auto"/>
        </w:rPr>
        <w:t>was appointed as our director on December 20, 2004 and served as our co-chairman and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between December 2004 and April 2016 before being re-designated as chairman and chief executive officer in May 2016. Mr. Ho became the managing director of Melco International in 2001 and has been its chairman and chief executive officer since March 2006. In addition, Mr. Ho has been a director of SCI since July 2011. Mr. Ho has also been appointed as the chairman and director of Maple Peak Investments Inc., a company listed on the TSX Venture Exchange in Canada, since July 2016.</w:t>
      </w:r>
    </w:p>
    <w:p>
      <w:pPr>
        <w:spacing w:after="0" w:line="171"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Macau Basic Law Promotion Association; a member of the Board of Governors of The Canadian Chamber of Commerce in Hong Kong; a member of the Asia International Leadership Council; honorary advisor of Global Tourism Economy Research Centre; permanent honorary committee member of The Chinese General Chamber of Commerce of Hong Kong; honorary patron of The Canadian Chamber of Commerce in Macao; honorary president of Macau Research Association for Macau Gaming Law; honorary president of the Association of Property Agents and Real Estate Developers of Macau and a director executive of the Macao Chinese General Chamber of Commerce.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960"/>
          </w:cols>
          <w:pgMar w:left="320" w:top="472" w:right="6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2017, Mr. Ho was awarded the Medal of Merit-Tourism by the Macau SAR government for his significant contributions to tourism in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territory.</w:t>
      </w:r>
    </w:p>
    <w:p>
      <w:pPr>
        <w:spacing w:after="0" w:line="205" w:lineRule="exact"/>
        <w:rPr>
          <w:sz w:val="20"/>
          <w:szCs w:val="20"/>
          <w:color w:val="auto"/>
        </w:rPr>
      </w:pPr>
    </w:p>
    <w:p>
      <w:pPr>
        <w:ind w:left="300" w:right="80" w:firstLine="960"/>
        <w:spacing w:after="0" w:line="271" w:lineRule="auto"/>
        <w:rPr>
          <w:sz w:val="20"/>
          <w:szCs w:val="20"/>
          <w:color w:val="auto"/>
        </w:rPr>
      </w:pPr>
      <w:r>
        <w:rPr>
          <w:rFonts w:ascii="Times New Roman" w:cs="Times New Roman" w:eastAsia="Times New Roman" w:hAnsi="Times New Roman"/>
          <w:sz w:val="17"/>
          <w:szCs w:val="17"/>
          <w:color w:val="auto"/>
        </w:rPr>
        <w:t>In recognition of Mr. Ho’s directorship and entrepreneurial spirit, he was granted the Business Awards of Macau’s “Leadership Gold Award” in 2015 and honored with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year in 2023.</w:t>
      </w:r>
    </w:p>
    <w:p>
      <w:pPr>
        <w:spacing w:after="0" w:line="46"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58" w:lineRule="exact"/>
        <w:rPr>
          <w:sz w:val="20"/>
          <w:szCs w:val="20"/>
          <w:color w:val="auto"/>
        </w:rPr>
      </w:pPr>
    </w:p>
    <w:p>
      <w:pPr>
        <w:ind w:left="300" w:right="24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Clarence Yuk Man Chung </w:t>
      </w:r>
      <w:r>
        <w:rPr>
          <w:rFonts w:ascii="Times New Roman" w:cs="Times New Roman" w:eastAsia="Times New Roman" w:hAnsi="Times New Roman"/>
          <w:sz w:val="17"/>
          <w:szCs w:val="17"/>
          <w:color w:val="auto"/>
        </w:rPr>
        <w:t>was appointed as our director on November 21, 2006. Mr. Chung has also been an executive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Melco International since May 2006, which he joined in December 2003. In addition, Mr. Chung has been the chairman and president of MRP since December 2012, a director of SCI since October 2018 and has also been appointed as a director of certain of our subsidiaries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75" w:lineRule="exact"/>
        <w:rPr>
          <w:sz w:val="20"/>
          <w:szCs w:val="20"/>
          <w:color w:val="auto"/>
        </w:rPr>
      </w:pPr>
    </w:p>
    <w:p>
      <w:pPr>
        <w:ind w:left="300" w:right="26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Evan Andrew Winkler </w:t>
      </w:r>
      <w:r>
        <w:rPr>
          <w:rFonts w:ascii="Times New Roman" w:cs="Times New Roman" w:eastAsia="Times New Roman" w:hAnsi="Times New Roman"/>
          <w:sz w:val="17"/>
          <w:szCs w:val="17"/>
          <w:color w:val="auto"/>
        </w:rPr>
        <w:t>was appointed as our director on August 3, 2016 and also our president on September 4, 2019. Mr. Winkler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joined Melco International as the managing director in August 2016 and has assumed the role of the president and managing director of Melco International since May 2018, and has also been a director of SCI since August 2016. Mr. Winkler has also been appointed as a director of various subsidiaries of Melco International.</w:t>
      </w:r>
    </w:p>
    <w:p>
      <w:pPr>
        <w:spacing w:after="0" w:line="167"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 degree in Economics from the University of Chicago.</w:t>
      </w:r>
    </w:p>
    <w:p>
      <w:pPr>
        <w:spacing w:after="0" w:line="165"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Alec Yiu Wa Tsui </w:t>
      </w:r>
      <w:r>
        <w:rPr>
          <w:rFonts w:ascii="Times New Roman" w:cs="Times New Roman" w:eastAsia="Times New Roman" w:hAnsi="Times New Roman"/>
          <w:sz w:val="17"/>
          <w:szCs w:val="17"/>
          <w:color w:val="auto"/>
        </w:rPr>
        <w:t>was appointed as an independent non-executive director on December 18, 2006. Mr. Tsui is the chairman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nominating and corporate governance committee and a member of our audit and risk committee and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 non-executive director of China Blue Chemical Limited from April 2006 to June 2012, China Chengtong Development Group Limited from March 2003 to November 2013, China Power International Development Limited from March 2004 to December 2016 and China Oilfield Services Limited from June 2009 to June 2015, all of which are listed on the HKSE. Mr. Tsui has been a director of Industrial and Commercial Bank of China (Asia) Limited since August 2000. Mr. Tsui is also an independent non-executive director of a number of companies listed on the HKSE and Nasdaq, including COSCO Shipping</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920"/>
          </w:cols>
          <w:pgMar w:left="320" w:top="472" w:right="6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4" w:lineRule="auto"/>
        <w:rPr>
          <w:sz w:val="20"/>
          <w:szCs w:val="20"/>
          <w:color w:val="auto"/>
        </w:rPr>
      </w:pPr>
      <w:r>
        <w:rPr>
          <w:rFonts w:ascii="Times New Roman" w:cs="Times New Roman" w:eastAsia="Times New Roman" w:hAnsi="Times New Roman"/>
          <w:sz w:val="17"/>
          <w:szCs w:val="17"/>
          <w:color w:val="auto"/>
        </w:rPr>
        <w:t>International (Hong Kong) Co., Ltd. since 2004, Pacific Online Limited since 2007, ATA Creativity Global since 2008, Hua Medicine since September 2018 and Brii Biosciences Limited since July 2021, Summit Ascent Holdings Limited from March 2011 to September 2018, Kangda International Environmental Company Limited from July 2014 to April 2019, DTXS Silk Road Investment Holdings Company Limited from December 2015 to May 2020.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w:t>
      </w:r>
    </w:p>
    <w:p>
      <w:pPr>
        <w:spacing w:after="0" w:line="173"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54"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Thomas Jefferson Wu </w:t>
      </w:r>
      <w:r>
        <w:rPr>
          <w:rFonts w:ascii="Times New Roman" w:cs="Times New Roman" w:eastAsia="Times New Roman" w:hAnsi="Times New Roman"/>
          <w:sz w:val="26"/>
          <w:szCs w:val="26"/>
          <w:b w:val="1"/>
          <w:bCs w:val="1"/>
          <w:i w:val="1"/>
          <w:iCs w:val="1"/>
          <w:color w:val="auto"/>
          <w:vertAlign w:val="subscript"/>
        </w:rPr>
        <w:t>JP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appointed as an independent non-executive director on December 18, 2006. Mr. Wu is also the chairman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compensation committee and a member of our audit and risk committee and nominating and corporate governance committee. Mr. Wu was the deputy chairman and managing director of Hopewell Holdings Limited, a business conglomerate which was de-listed from the HKSE, from February 2018 to May 2019. Mr. Wu has served in various roles with the Hopewell Holdings group since 1999, including group controller from March 2000 to June 2001, executive director from June 2001 to May 2019, chief operating officer from January 2002 to August 2003, deputy managing director from August 2003 to June 2007, co-managing director from July 2007 to September 2009, managing director from October 2009 to May 2019 and deputy chairman of Hopewell Holdings Limited from February 2018 to May 2019. Mr. Wu has also been an executive director, managing director and non-executive director of Shenzhen Investment Holdings Bay Area Development Company Limited (formerly known as Hopewell Highway Infrastructure Limited), a company listed on the HKSE, from January 2003 to April 2018, from July 2003 to April 2018 and from April 2018 to May 2018, respectively.</w:t>
      </w:r>
    </w:p>
    <w:p>
      <w:pPr>
        <w:spacing w:after="0" w:line="397"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169"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Mr. Wu is active in public service in both Hong Kong and the PRC. Mr. Wu serves in a number of advisory roles at different levels of government. In the PRC, Mr. Wu is a member of the 13th to 14th National Committee of the Chinese People’s Political Consultative Conference and the 10th to 13th Heilongjiang Provincial Committee of the Chinese People’s Political Consultative Conference and was a Standing Committee member and a member of the Guangzhou Municipality Huadu District Committee of the Chinese People’s Political Consultative Conference, among other public service capacities.</w:t>
      </w:r>
    </w:p>
    <w:p>
      <w:pPr>
        <w:spacing w:after="0" w:line="171"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In Hong Kong, Mr. Wu’s major public service appointments include being a member of the Major Sports Events Committee of the Culture, Sports and Tourism Bureau of the Hong Kong Special Administrative Region Government (the “HKSARG”), a Vice Patron of the Community Chest of Hong Kong, a deputy director of Economic Affairs Committee and a member of Friends of Hong Kong Association Limited as well as Honorary Advisor of the Hong Kong Army Cadets Association. Mr. Wu is also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 board member of the Asian Youth Orchestra, a member of the standing committee on Disciplined Services Salaries and Conditions of Service, a member of the Hong Kong Tourism Board of the HKSARG, a board member of The Airport Authority Hong Kong of the HKSARG, a member of the Energy Advisory Committee of the Environment Bureau of the HKSARG and a member of the Committee on Real Estate Investment Trusts of Securities and Futures Commission.</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960"/>
          </w:cols>
          <w:pgMar w:left="320" w:top="472" w:right="6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In addition to his professional and public service engagements, Mr. Wu is mostly known for his passion for ice hockey, as well as the sport’s development in Hong Kong and the region. Mr. Wu is the co-founder and chairman of the Hong Kong Amateur Club and Hong Kong Academy of Ice Hockey, the chairman of the Hong Kong Ice Hockey Officials Association, as well as chairman of the LOHAS Rink Limited. Mr. Wu is also the honorary president of the Hong Kong Ice Hockey Association (the national sports association of ice hockey in Hong Kong), vice-chairman of Chinese Ice Hockey Association, honorary president of Macau Ice Sports Federation and honorary chairman of Ice Hockey Association of Taipei Municipal Athletics Federation. Mr. Wu served as the vice president (Asia/Oceania) of the International Ice Hockey Federation from 2012 to 2021.</w:t>
      </w:r>
    </w:p>
    <w:p>
      <w:pPr>
        <w:spacing w:after="0" w:line="173" w:lineRule="exact"/>
        <w:rPr>
          <w:sz w:val="20"/>
          <w:szCs w:val="20"/>
          <w:color w:val="auto"/>
        </w:rPr>
      </w:pPr>
    </w:p>
    <w:p>
      <w:pPr>
        <w:jc w:val="both"/>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w:t>
      </w:r>
    </w:p>
    <w:p>
      <w:pPr>
        <w:spacing w:after="0" w:line="54"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John William Crawford </w:t>
      </w:r>
      <w:r>
        <w:rPr>
          <w:rFonts w:ascii="Times New Roman" w:cs="Times New Roman" w:eastAsia="Times New Roman" w:hAnsi="Times New Roman"/>
          <w:sz w:val="26"/>
          <w:szCs w:val="26"/>
          <w:b w:val="1"/>
          <w:bCs w:val="1"/>
          <w:i w:val="1"/>
          <w:iCs w:val="1"/>
          <w:color w:val="auto"/>
          <w:vertAlign w:val="subscript"/>
        </w:rPr>
        <w:t>JP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appointed as an independent non-executive director on January 12, 2017. Mr. Crawford was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audit and risk committee up until March 21, 2018 when he became its chairman. He is also a member of our compensation committee and nominating and corporate governance committee. Mr. Crawford became an independent non-executive director of Melco International on September 13, 2019 and serves as the chairman of its audit committee and is a member of its nomination and corporate governance committee and its remuneration committee. Mr. Crawford has been the managing director of Crawford Consultants Limited and International Quality Education Limited since 1997 and 2002, respectively. Previously, Mr. Crawford was a founding partner of Ernst &amp; Young, Hong Kong, where he acted as engagement or review partner for many public companies and banks during his 25 years in public accounting and was the chairman of the audit division and the vice chairman of the Hong Kong office of the firm prior to retiring in 1997. Mr. Crawford has extensive knowledge of accounting issues from his experience as the managing audit partner of this major international accounting firm and also has extensive operational knowledge as a result of his consulting experience.</w:t>
      </w:r>
    </w:p>
    <w:p>
      <w:pPr>
        <w:spacing w:after="0" w:line="5" w:lineRule="exact"/>
        <w:rPr>
          <w:sz w:val="20"/>
          <w:szCs w:val="20"/>
          <w:color w:val="auto"/>
        </w:rPr>
      </w:pPr>
    </w:p>
    <w:p>
      <w:pPr>
        <w:ind w:left="300" w:right="260"/>
        <w:spacing w:after="0" w:line="260" w:lineRule="auto"/>
        <w:rPr>
          <w:sz w:val="20"/>
          <w:szCs w:val="20"/>
          <w:color w:val="auto"/>
        </w:rPr>
      </w:pPr>
      <w:r>
        <w:rPr>
          <w:rFonts w:ascii="Times New Roman" w:cs="Times New Roman" w:eastAsia="Times New Roman" w:hAnsi="Times New Roman"/>
          <w:sz w:val="17"/>
          <w:szCs w:val="17"/>
          <w:color w:val="auto"/>
        </w:rPr>
        <w:t>Mr. Crawford has served as an independent non-executive director and chairman of the audit committee of Regal Portfolio Management Limited of Regal REIT since November 2006 and chairman of its Disclosure Committee since March 2010, and as an independent non-executive director of Entertainment Gaming Asia Inc. since November 2007 up until his resignation on July 3, 2017. In November 2011, Mr. Crawford was appointed as a member of the conflicts committee of our subsidiary SCI and resigned from this position on January 10, 2017. Mr. Crawford previously served as an independent non-executive director and chairman of the audit committee of other companies publicly listed in Hong Kong, the most recent of which was E-Kong Group Limited until June 8, 2015.</w:t>
      </w:r>
    </w:p>
    <w:p>
      <w:pPr>
        <w:spacing w:after="0" w:line="175"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Mr. Crawford has been deeply involved in the education sector in Asia, including setting up international schools and providing consulting services. He was a member and a governor for many years of the Canadian International School of Hong Kong and remains active in the start-up, overseeing and consulting for other similar pre-university schools. Additionally, Mr. Crawford is involved in various charitable and/or community activities and was a founding member of UNICEF Hong Kong Committee and the Hong Kong Institute of Directors. In 1997, Mr. Crawford was appointed a Justice of the Peace in Hong Kong. He is a member of the Hong Kong Institute of Certified Public Accountants, a member and honorary president of the Macau Society of Certified Practising Accountants and a member of the Canadian Institute of Chartered Accountants.</w:t>
      </w:r>
    </w:p>
    <w:p>
      <w:pPr>
        <w:spacing w:after="0" w:line="169" w:lineRule="exact"/>
        <w:rPr>
          <w:sz w:val="20"/>
          <w:szCs w:val="20"/>
          <w:color w:val="auto"/>
        </w:rPr>
      </w:pPr>
    </w:p>
    <w:p>
      <w:pPr>
        <w:ind w:left="300" w:right="100" w:firstLine="9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Francesca Galante </w:t>
      </w:r>
      <w:r>
        <w:rPr>
          <w:rFonts w:ascii="Times New Roman" w:cs="Times New Roman" w:eastAsia="Times New Roman" w:hAnsi="Times New Roman"/>
          <w:sz w:val="17"/>
          <w:szCs w:val="17"/>
          <w:color w:val="auto"/>
        </w:rPr>
        <w:t>was appointed as an independent non-executive director on September 5, 2018. Ms. Galante is a member of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compensation committee, audit and risk committee and nominating and corporate governance committee. Ms. Galante has been the co-founder and partner of First Growth Real Estate, a specialist advisory firm focused on real estate structured debt arranging, restructuring and special servicing throughout Continental Europe since 2010. Previously, Ms. Galante was an executive director in the real estate principal finance division at UBS Investment Bank in London. Prior to that she worked at Soros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940"/>
          </w:cols>
          <w:pgMar w:left="320" w:top="472" w:right="6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Real Estate Partners and Merrill Lynch. With 20 years of real estate investment and advisory experience in both Europe and North America, Ms. Galante has extensive experience on real estate transactions in office, hotel, residential and industrial asset classes. Ms. Galante received her Master of Science in Management from the Université Paris-Dauphine and Master of Finance from Ecole Supérieure De Commerce De Paris (now ESCP Europe).</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Board Diversity</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table below provides certain information regarding the diversity of our board of directors.</w:t>
      </w:r>
    </w:p>
    <w:p>
      <w:pPr>
        <w:spacing w:after="0" w:line="267"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7900" w:type="dxa"/>
            <w:vAlign w:val="bottom"/>
            <w:gridSpan w:val="4"/>
            <w:shd w:val="clear" w:color="auto" w:fill="CCEEFF"/>
          </w:tcPr>
          <w:p>
            <w:pPr>
              <w:ind w:left="3580"/>
              <w:spacing w:after="0"/>
              <w:rPr>
                <w:sz w:val="20"/>
                <w:szCs w:val="20"/>
                <w:color w:val="auto"/>
              </w:rPr>
            </w:pPr>
            <w:r>
              <w:rPr>
                <w:rFonts w:ascii="Times New Roman" w:cs="Times New Roman" w:eastAsia="Times New Roman" w:hAnsi="Times New Roman"/>
                <w:sz w:val="17"/>
                <w:szCs w:val="17"/>
                <w:b w:val="1"/>
                <w:bCs w:val="1"/>
                <w:color w:val="auto"/>
              </w:rPr>
              <w:t>Board Diversity Matrix (As of March 15, 2024)</w:t>
            </w:r>
          </w:p>
        </w:tc>
        <w:tc>
          <w:tcPr>
            <w:tcW w:w="2760" w:type="dxa"/>
            <w:vAlign w:val="bottom"/>
            <w:shd w:val="clear" w:color="auto" w:fill="CCEEFF"/>
          </w:tcPr>
          <w:p>
            <w:pPr>
              <w:spacing w:after="0"/>
              <w:rPr>
                <w:sz w:val="18"/>
                <w:szCs w:val="18"/>
                <w:color w:val="auto"/>
              </w:rPr>
            </w:pPr>
          </w:p>
        </w:tc>
      </w:tr>
      <w:tr>
        <w:trPr>
          <w:trHeight w:val="31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Places of Principal Executive Offices:</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gridSpan w:val="2"/>
          </w:tcPr>
          <w:p>
            <w:pPr>
              <w:jc w:val="center"/>
              <w:ind w:right="1333"/>
              <w:spacing w:after="0"/>
              <w:rPr>
                <w:sz w:val="20"/>
                <w:szCs w:val="20"/>
                <w:color w:val="auto"/>
              </w:rPr>
            </w:pPr>
            <w:r>
              <w:rPr>
                <w:rFonts w:ascii="Times New Roman" w:cs="Times New Roman" w:eastAsia="Times New Roman" w:hAnsi="Times New Roman"/>
                <w:sz w:val="17"/>
                <w:szCs w:val="17"/>
                <w:color w:val="auto"/>
              </w:rPr>
              <w:t>Singapore and Hong Kong</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Private Issuer:</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60" w:type="dxa"/>
            <w:vAlign w:val="bottom"/>
            <w:shd w:val="clear" w:color="auto" w:fill="CCEEFF"/>
          </w:tcPr>
          <w:p>
            <w:pPr>
              <w:jc w:val="center"/>
              <w:ind w:right="2393"/>
              <w:spacing w:after="0"/>
              <w:rPr>
                <w:sz w:val="20"/>
                <w:szCs w:val="20"/>
                <w:color w:val="auto"/>
              </w:rPr>
            </w:pPr>
            <w:r>
              <w:rPr>
                <w:rFonts w:ascii="Times New Roman" w:cs="Times New Roman" w:eastAsia="Times New Roman" w:hAnsi="Times New Roman"/>
                <w:sz w:val="17"/>
                <w:szCs w:val="17"/>
                <w:color w:val="auto"/>
                <w:w w:val="90"/>
              </w:rPr>
              <w:t>Yes</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Disclosure Prohibited under Home Country Law:</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60" w:type="dxa"/>
            <w:vAlign w:val="bottom"/>
          </w:tcPr>
          <w:p>
            <w:pPr>
              <w:jc w:val="center"/>
              <w:ind w:right="2393"/>
              <w:spacing w:after="0"/>
              <w:rPr>
                <w:sz w:val="20"/>
                <w:szCs w:val="20"/>
                <w:color w:val="auto"/>
              </w:rPr>
            </w:pPr>
            <w:r>
              <w:rPr>
                <w:rFonts w:ascii="Times New Roman" w:cs="Times New Roman" w:eastAsia="Times New Roman" w:hAnsi="Times New Roman"/>
                <w:sz w:val="17"/>
                <w:szCs w:val="17"/>
                <w:color w:val="auto"/>
                <w:w w:val="96"/>
              </w:rPr>
              <w:t>No</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Number of Directors:</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60" w:type="dxa"/>
            <w:vAlign w:val="bottom"/>
            <w:shd w:val="clear" w:color="auto" w:fill="CCEEFF"/>
          </w:tcPr>
          <w:p>
            <w:pPr>
              <w:jc w:val="center"/>
              <w:ind w:right="2393"/>
              <w:spacing w:after="0"/>
              <w:rPr>
                <w:sz w:val="20"/>
                <w:szCs w:val="20"/>
                <w:color w:val="auto"/>
              </w:rPr>
            </w:pPr>
            <w:r>
              <w:rPr>
                <w:rFonts w:ascii="Times New Roman" w:cs="Times New Roman" w:eastAsia="Times New Roman" w:hAnsi="Times New Roman"/>
                <w:sz w:val="17"/>
                <w:szCs w:val="17"/>
                <w:color w:val="auto"/>
                <w:w w:val="93"/>
              </w:rPr>
              <w:t>7</w:t>
            </w:r>
          </w:p>
        </w:tc>
      </w:tr>
      <w:tr>
        <w:trPr>
          <w:trHeight w:val="209"/>
        </w:trPr>
        <w:tc>
          <w:tcPr>
            <w:tcW w:w="4880" w:type="dxa"/>
            <w:vAlign w:val="bottom"/>
          </w:tcPr>
          <w:p>
            <w:pPr>
              <w:ind w:left="3580"/>
              <w:spacing w:after="0"/>
              <w:rPr>
                <w:sz w:val="20"/>
                <w:szCs w:val="20"/>
                <w:color w:val="auto"/>
              </w:rPr>
            </w:pPr>
            <w:r>
              <w:rPr>
                <w:rFonts w:ascii="Times New Roman" w:cs="Times New Roman" w:eastAsia="Times New Roman" w:hAnsi="Times New Roman"/>
                <w:sz w:val="17"/>
                <w:szCs w:val="17"/>
                <w:b w:val="1"/>
                <w:bCs w:val="1"/>
                <w:color w:val="auto"/>
              </w:rPr>
              <w:t xml:space="preserve">                      </w:t>
            </w: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      Part I: Gender Identity</w:t>
            </w:r>
          </w:p>
        </w:tc>
        <w:tc>
          <w:tcPr>
            <w:tcW w:w="2760" w:type="dxa"/>
            <w:vAlign w:val="bottom"/>
          </w:tcPr>
          <w:p>
            <w:pPr>
              <w:spacing w:after="0"/>
              <w:rPr>
                <w:sz w:val="18"/>
                <w:szCs w:val="18"/>
                <w:color w:val="auto"/>
              </w:rPr>
            </w:pPr>
          </w:p>
        </w:tc>
      </w:tr>
      <w:tr>
        <w:trPr>
          <w:trHeight w:val="209"/>
        </w:trPr>
        <w:tc>
          <w:tcPr>
            <w:tcW w:w="4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Male</w:t>
            </w:r>
          </w:p>
        </w:tc>
        <w:tc>
          <w:tcPr>
            <w:tcW w:w="104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Non-Binary</w:t>
            </w:r>
          </w:p>
        </w:tc>
        <w:tc>
          <w:tcPr>
            <w:tcW w:w="276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Did Not Disclose Gender</w:t>
            </w:r>
          </w:p>
        </w:tc>
      </w:tr>
      <w:tr>
        <w:trPr>
          <w:trHeight w:val="189"/>
        </w:trPr>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Directors</w:t>
            </w:r>
          </w:p>
        </w:tc>
        <w:tc>
          <w:tcPr>
            <w:tcW w:w="1320" w:type="dxa"/>
            <w:vAlign w:val="bottom"/>
          </w:tcPr>
          <w:p>
            <w:pPr>
              <w:jc w:val="right"/>
              <w:ind w:right="273"/>
              <w:spacing w:after="0" w:line="189" w:lineRule="exact"/>
              <w:rPr>
                <w:sz w:val="20"/>
                <w:szCs w:val="20"/>
                <w:color w:val="auto"/>
              </w:rPr>
            </w:pPr>
            <w:r>
              <w:rPr>
                <w:rFonts w:ascii="Times New Roman" w:cs="Times New Roman" w:eastAsia="Times New Roman" w:hAnsi="Times New Roman"/>
                <w:sz w:val="17"/>
                <w:szCs w:val="17"/>
                <w:color w:val="auto"/>
              </w:rPr>
              <w:t>1</w:t>
            </w:r>
          </w:p>
        </w:tc>
        <w:tc>
          <w:tcPr>
            <w:tcW w:w="660" w:type="dxa"/>
            <w:vAlign w:val="bottom"/>
          </w:tcPr>
          <w:p>
            <w:pPr>
              <w:jc w:val="right"/>
              <w:ind w:right="213"/>
              <w:spacing w:after="0" w:line="189" w:lineRule="exact"/>
              <w:rPr>
                <w:sz w:val="20"/>
                <w:szCs w:val="20"/>
                <w:color w:val="auto"/>
              </w:rPr>
            </w:pPr>
            <w:r>
              <w:rPr>
                <w:rFonts w:ascii="Times New Roman" w:cs="Times New Roman" w:eastAsia="Times New Roman" w:hAnsi="Times New Roman"/>
                <w:sz w:val="17"/>
                <w:szCs w:val="17"/>
                <w:color w:val="auto"/>
              </w:rPr>
              <w:t>1</w:t>
            </w:r>
          </w:p>
        </w:tc>
        <w:tc>
          <w:tcPr>
            <w:tcW w:w="1040" w:type="dxa"/>
            <w:vAlign w:val="bottom"/>
          </w:tcPr>
          <w:p>
            <w:pPr>
              <w:jc w:val="right"/>
              <w:ind w:right="313"/>
              <w:spacing w:after="0" w:line="189" w:lineRule="exact"/>
              <w:rPr>
                <w:sz w:val="20"/>
                <w:szCs w:val="20"/>
                <w:color w:val="auto"/>
              </w:rPr>
            </w:pPr>
            <w:r>
              <w:rPr>
                <w:rFonts w:ascii="Times New Roman" w:cs="Times New Roman" w:eastAsia="Times New Roman" w:hAnsi="Times New Roman"/>
                <w:sz w:val="17"/>
                <w:szCs w:val="17"/>
                <w:color w:val="auto"/>
              </w:rPr>
              <w:t>0</w:t>
            </w:r>
          </w:p>
        </w:tc>
        <w:tc>
          <w:tcPr>
            <w:tcW w:w="2760" w:type="dxa"/>
            <w:vAlign w:val="bottom"/>
          </w:tcPr>
          <w:p>
            <w:pPr>
              <w:jc w:val="right"/>
              <w:ind w:right="1113"/>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229"/>
        </w:trPr>
        <w:tc>
          <w:tcPr>
            <w:tcW w:w="4880" w:type="dxa"/>
            <w:vAlign w:val="bottom"/>
          </w:tcPr>
          <w:p>
            <w:pPr>
              <w:ind w:left="3160"/>
              <w:spacing w:after="0"/>
              <w:rPr>
                <w:sz w:val="20"/>
                <w:szCs w:val="20"/>
                <w:color w:val="auto"/>
              </w:rPr>
            </w:pPr>
            <w:r>
              <w:rPr>
                <w:rFonts w:ascii="Times New Roman" w:cs="Times New Roman" w:eastAsia="Times New Roman" w:hAnsi="Times New Roman"/>
                <w:sz w:val="17"/>
                <w:szCs w:val="17"/>
                <w:b w:val="1"/>
                <w:bCs w:val="1"/>
                <w:color w:val="auto"/>
              </w:rPr>
              <w:t xml:space="preserve">                            </w:t>
            </w:r>
          </w:p>
        </w:tc>
        <w:tc>
          <w:tcPr>
            <w:tcW w:w="3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2760" w:type="dxa"/>
            <w:vAlign w:val="bottom"/>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Underrepresented Individual in Places of Principal Executive Offices</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60" w:type="dxa"/>
            <w:vAlign w:val="bottom"/>
            <w:shd w:val="clear" w:color="auto" w:fill="CCEEFF"/>
          </w:tcPr>
          <w:p>
            <w:pPr>
              <w:jc w:val="center"/>
              <w:ind w:right="2393"/>
              <w:spacing w:after="0"/>
              <w:rPr>
                <w:sz w:val="20"/>
                <w:szCs w:val="20"/>
                <w:color w:val="auto"/>
              </w:rPr>
            </w:pPr>
            <w:r>
              <w:rPr>
                <w:rFonts w:ascii="Times New Roman" w:cs="Times New Roman" w:eastAsia="Times New Roman" w:hAnsi="Times New Roman"/>
                <w:sz w:val="17"/>
                <w:szCs w:val="17"/>
                <w:color w:val="auto"/>
                <w:w w:val="93"/>
              </w:rPr>
              <w:t>0</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LGBTQ+</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60" w:type="dxa"/>
            <w:vAlign w:val="bottom"/>
          </w:tcPr>
          <w:p>
            <w:pPr>
              <w:jc w:val="center"/>
              <w:ind w:right="2393"/>
              <w:spacing w:after="0"/>
              <w:rPr>
                <w:sz w:val="20"/>
                <w:szCs w:val="20"/>
                <w:color w:val="auto"/>
              </w:rPr>
            </w:pPr>
            <w:r>
              <w:rPr>
                <w:rFonts w:ascii="Times New Roman" w:cs="Times New Roman" w:eastAsia="Times New Roman" w:hAnsi="Times New Roman"/>
                <w:sz w:val="17"/>
                <w:szCs w:val="17"/>
                <w:color w:val="auto"/>
                <w:w w:val="93"/>
              </w:rPr>
              <w:t>0</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60" w:type="dxa"/>
            <w:vAlign w:val="bottom"/>
            <w:shd w:val="clear" w:color="auto" w:fill="CCEEFF"/>
          </w:tcPr>
          <w:p>
            <w:pPr>
              <w:jc w:val="center"/>
              <w:ind w:right="2393"/>
              <w:spacing w:after="0"/>
              <w:rPr>
                <w:sz w:val="20"/>
                <w:szCs w:val="20"/>
                <w:color w:val="auto"/>
              </w:rPr>
            </w:pPr>
            <w:r>
              <w:rPr>
                <w:rFonts w:ascii="Times New Roman" w:cs="Times New Roman" w:eastAsia="Times New Roman" w:hAnsi="Times New Roman"/>
                <w:sz w:val="17"/>
                <w:szCs w:val="17"/>
                <w:color w:val="auto"/>
                <w:w w:val="93"/>
              </w:rPr>
              <w:t>5</w:t>
            </w:r>
          </w:p>
        </w:tc>
      </w:tr>
    </w:tbl>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6"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Geoffrey Stuart Davis </w:t>
      </w:r>
      <w:r>
        <w:rPr>
          <w:rFonts w:ascii="Times New Roman" w:cs="Times New Roman" w:eastAsia="Times New Roman" w:hAnsi="Times New Roman"/>
          <w:sz w:val="17"/>
          <w:szCs w:val="17"/>
          <w:color w:val="auto"/>
        </w:rPr>
        <w:t>is our executive vice president and chief financial officer and he was appointed to his current role in April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2011. Prior to that, he served as our deputy chief financial officer from August 2010 to March 2011 and our senior vice president, corporate finance since 2007, when he joined our Company. In addition, Mr. Davis has been the chief financial officer of Melco International since December 2017, the chief financial officer and a director of SCI since June 2019 and October 2018, respectively, and is also a director of a number of our subsidiaries. Prior to joining us,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68" w:lineRule="exact"/>
        <w:rPr>
          <w:sz w:val="20"/>
          <w:szCs w:val="20"/>
          <w:color w:val="auto"/>
        </w:rPr>
      </w:pPr>
    </w:p>
    <w:p>
      <w:pPr>
        <w:ind w:left="300" w:right="30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Graham Paul Winter </w:t>
      </w:r>
      <w:r>
        <w:rPr>
          <w:rFonts w:ascii="Times New Roman" w:cs="Times New Roman" w:eastAsia="Times New Roman" w:hAnsi="Times New Roman"/>
          <w:sz w:val="17"/>
          <w:szCs w:val="17"/>
          <w:color w:val="auto"/>
        </w:rPr>
        <w:t>is our executive vice president and chief legal officer and he was appointed to his current role in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Prior to joining us, Mr. Winter was a partner of an international law firm in Hong Kong where he was co-chair of the firm’s Betting &amp; Gaming practice group. Prior to that, he was a senior corporate partner in the Hong Kong office of another large international law firm. Mr. Winter holds law degrees from the University of Oxford and Brunel University, and is admitted as a solicitor in England and Wales and Hong Kong.</w:t>
      </w:r>
    </w:p>
    <w:p>
      <w:pPr>
        <w:spacing w:after="0" w:line="163" w:lineRule="exact"/>
        <w:rPr>
          <w:sz w:val="20"/>
          <w:szCs w:val="20"/>
          <w:color w:val="auto"/>
        </w:rPr>
      </w:pPr>
    </w:p>
    <w:p>
      <w:pPr>
        <w:ind w:left="300" w:right="40" w:firstLine="9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Akiko Takahashi </w:t>
      </w:r>
      <w:r>
        <w:rPr>
          <w:rFonts w:ascii="Times New Roman" w:cs="Times New Roman" w:eastAsia="Times New Roman" w:hAnsi="Times New Roman"/>
          <w:sz w:val="17"/>
          <w:szCs w:val="17"/>
          <w:color w:val="auto"/>
        </w:rPr>
        <w:t>is our executive vice president and chief of staff to chairman and chief executive officer, and was appointed to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role in June 2019. Ms. Takahashi is also a director of Studio City International Holdings Limited, a subsidiary of the Company whose ADSs have been listed on the New York Stock Exchange since October 2018. Prior to her present roles, she was the Company’s executive vice president and chief officer, human resources/corporate social responsibility from December 2008 and held the title of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w:t>
      </w:r>
    </w:p>
    <w:p>
      <w:pPr>
        <w:spacing w:after="0" w:line="1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960"/>
          </w:cols>
          <w:pgMar w:left="320" w:top="473" w:right="6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500"/>
        <w:spacing w:after="0" w:line="267" w:lineRule="auto"/>
        <w:rPr>
          <w:sz w:val="20"/>
          <w:szCs w:val="20"/>
          <w:color w:val="auto"/>
        </w:rPr>
      </w:pPr>
      <w:r>
        <w:rPr>
          <w:rFonts w:ascii="Times New Roman" w:cs="Times New Roman" w:eastAsia="Times New Roman" w:hAnsi="Times New Roman"/>
          <w:sz w:val="17"/>
          <w:szCs w:val="17"/>
          <w:color w:val="auto"/>
        </w:rPr>
        <w:t>where her last engagement prior to joining our Company was to lead the human resources integration for the largest international hospitality joint venture in Japan between InterContinental Hotels Group and ANA Hotels. She was the global group director of human</w:t>
      </w:r>
    </w:p>
    <w:p>
      <w:pPr>
        <w:spacing w:after="0" w:line="1" w:lineRule="exact"/>
        <w:rPr>
          <w:sz w:val="20"/>
          <w:szCs w:val="20"/>
          <w:color w:val="auto"/>
        </w:rPr>
      </w:pPr>
    </w:p>
    <w:p>
      <w:pPr>
        <w:ind w:left="300" w:right="60"/>
        <w:spacing w:after="0" w:line="260" w:lineRule="auto"/>
        <w:rPr>
          <w:sz w:val="20"/>
          <w:szCs w:val="20"/>
          <w:color w:val="auto"/>
        </w:rPr>
      </w:pPr>
      <w:r>
        <w:rPr>
          <w:rFonts w:ascii="Times New Roman" w:cs="Times New Roman" w:eastAsia="Times New Roman" w:hAnsi="Times New Roman"/>
          <w:sz w:val="17"/>
          <w:szCs w:val="17"/>
          <w:color w:val="auto"/>
        </w:rPr>
        <w:t>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 Structure</w:t>
      </w:r>
    </w:p>
    <w:p>
      <w:pPr>
        <w:spacing w:after="0" w:line="120"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Mr. Ho, our chairman and chief executive officer, is responsible for the day-to-day operational leadership of our Company. Our management structure includes an executive committee which is composed of our executive officers and other senior executives including chief operating officers, property president, executive vice presidents and other business unit leaders and is responsible for formulating business strategies and considering day-to-day operational matters. On September 4, 2019, Mr. Evan Andrew Winkler, a board member of the Company, was appointed as President of the Company. Prior to September 4, 2019, all of our executive officers and senior executives reported directly to Mr. Ho. Upon Mr. Winkler’s appointment as President of the Company, he assumed responsibility for the Company’s day-to-day operational matters globally and the Company’s operational departments, chief operating officers and property president commenced reporting directly to Mr. Winkler while our executive officers and a few other senior executives, together with Mr. Winkler himself, continued to report directly to Mr. Ho.</w:t>
      </w:r>
    </w:p>
    <w:p>
      <w:pPr>
        <w:spacing w:after="0" w:line="38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B. COMPENSATION OF DIRECTORS AND EXECUTIVE OFFICERS</w:t>
      </w:r>
    </w:p>
    <w:p>
      <w:pPr>
        <w:spacing w:after="0" w:line="225"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by our Company and its subsidiaries, amounted to approximately US$28.6 million for the year ended December 31, 2023.</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Bonus Plan</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Mr. Evan Winkler, who participates in his capacity as our president, and Mr. Clarence Chung, who participates his capacity as the president of MRP, are excluded from this plan. The discretionary annual bonus plan is administered at the sole discretion of our Company and our compensation committee.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Equity Awards</w:t>
      </w:r>
    </w:p>
    <w:p>
      <w:pPr>
        <w:spacing w:after="0" w:line="120"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On April 5, 2023, we granted 4,134,561 restricted shares pursuant to our 2021 Share Incentive Plan to directors and executive officers of our Company. The grant date fair value of the restricted shares granted (closing price of the grant date) was US$4.1267 per share. Such grantees will receive ordinary shares upon vesting of restricted shares at par value.</w:t>
      </w:r>
    </w:p>
    <w:p>
      <w:pPr>
        <w:spacing w:after="0" w:line="162"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On November 1, 2023, we granted 37,593 restricted shares pursuant to our 2021 Share Incentive Plan to an executive officer of our Company. The grant date fair value of the restricted shares granted (closing price of the grant date) was US$2.6600 per share. Such grantee will receive ordinary shares upon vesting of restricted shares at par value.</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920"/>
          </w:cols>
          <w:pgMar w:left="320" w:top="472" w:right="6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Option Exchange Program</w:t>
      </w:r>
    </w:p>
    <w:p>
      <w:pPr>
        <w:spacing w:after="0" w:line="120"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On April 6, 2022, we launched an option exchange program, offering eligible officers, employees and service providers who have been granted share options under our 2011 Share Incentive Plan to purchase our ordinary shares, par value US$0.01 per share, the opportunity to exchange eligible options, whether vested or unvested, for restricted ordinary shares. A limited number of designated option holders were also eligible to receive awards of restricted shares, new share options (“New Options”) or a combination of restricted shares and New Options.</w:t>
      </w:r>
    </w:p>
    <w:p>
      <w:pPr>
        <w:spacing w:after="0" w:line="169"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restricted shares and New Options under the option exchange program were to vest as follows: (1) 50% of the restricted shares and New Options were to vest on April 6, 2023, which is the first anniversary of the date of grant, and (2) the remaining 50% of the restricted shares and New Options were to vest on the second anniversary of the date of grant. Until the restricted shares and New Options vest, they remain subject to forfeiture if the relevant personnel’s employment or service with our Company or our parent or subsidiaries, as applicable, terminates prior to the vesting date. All unvested restricted shares were also subject to restrictions on transfer. If and when the restricted shares vest, they will be free of forfeiture conditions and restrictions on transfer, other than required tax withholding and compliance with applicable securities laws, our securities trading policies and any other legal requirements. All restricted shares and New Options are subject to the terms of the 2021 Share Incentive Plan and the applicable award agreement between the relevant personnel and our Company.</w:t>
      </w:r>
    </w:p>
    <w:p>
      <w:pPr>
        <w:spacing w:after="0" w:line="175"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A total of 5,912,547 restricted shares and 2,486,241 New Options were granted under the program, of which 2,355,420 restricted shares and 790,470 New Options were granted to a director and executive officers. Out of such restricted shares and New Options granted under the program, 2,750,463 Restricted Shares and 1,243,119 New Options vested as of December 31, 2023, of which 1,177,710 Restricted Shares and 395,235 New Options were those granted to a director and executive officers. The exercise price and expiration date of the New Options are US$7.40 per ADS and April 5, 2032, respectively.</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Pension, Retirement or Similar Benefits</w:t>
      </w:r>
    </w:p>
    <w:p>
      <w:pPr>
        <w:spacing w:after="0" w:line="120" w:lineRule="exact"/>
        <w:rPr>
          <w:sz w:val="20"/>
          <w:szCs w:val="20"/>
          <w:color w:val="auto"/>
        </w:rPr>
      </w:pPr>
    </w:p>
    <w:p>
      <w:pPr>
        <w:jc w:val="both"/>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2023, we set aside or accrued approximately US$0.2 million to provide pension, retirement or similar benefits to our senior executive officers. Our directors, other than Mr. Lawrence Ho who participates in his capacity as our chief executive officer, do not participate in such schemes.</w:t>
      </w:r>
    </w:p>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Composition of Board of Directors</w:t>
      </w:r>
    </w:p>
    <w:p>
      <w:pPr>
        <w:spacing w:after="0" w:line="120"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Our board consists of seven directors, including three directors nominated by Melco International and four independent directors. Nasdaq Stock Market Rule 5605(b)(1) generally requires that a majority of an issuer’s board of directors must consist of independent directors. However, Nasdaq Stock Market Rule 5615(a)(3) permits foreign private issuers like us to follow “home country practice” in certain corporate governance matters. Walkers (Hong Kong), our Cayman Islands counsel, has provided a letter to Nasdaq certifying that under the Companies Act (as amended) of the Cayman Islands, we are not required to have a majority of independent directors serving on our board. Since September 5, 2018, we have had a majority of independent directors serving on our board. Prior to that, we relied on this “home country practice” exception.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120" w:lineRule="exact"/>
        <w:rPr>
          <w:sz w:val="20"/>
          <w:szCs w:val="20"/>
          <w:color w:val="auto"/>
        </w:rPr>
      </w:pPr>
    </w:p>
    <w:p>
      <w:pPr>
        <w:ind w:left="300" w:right="500" w:firstLine="960"/>
        <w:spacing w:after="0" w:line="295" w:lineRule="auto"/>
        <w:rPr>
          <w:sz w:val="20"/>
          <w:szCs w:val="20"/>
          <w:color w:val="auto"/>
        </w:rPr>
      </w:pPr>
      <w:r>
        <w:rPr>
          <w:rFonts w:ascii="Times New Roman" w:cs="Times New Roman" w:eastAsia="Times New Roman" w:hAnsi="Times New Roman"/>
          <w:sz w:val="17"/>
          <w:szCs w:val="17"/>
          <w:color w:val="auto"/>
        </w:rPr>
        <w:t>Under Cayman Islands law, our directors have a fiduciary duty to act honestly, in good faith and in what they consider to be our best interests. Our directors also have a duty to exercise the skill they actually</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960"/>
          </w:cols>
          <w:pgMar w:left="320" w:top="473" w:right="6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spacing w:after="0" w:line="269" w:lineRule="auto"/>
        <w:rPr>
          <w:sz w:val="20"/>
          <w:szCs w:val="20"/>
          <w:color w:val="auto"/>
        </w:rPr>
      </w:pPr>
      <w:r>
        <w:rPr>
          <w:rFonts w:ascii="Times New Roman" w:cs="Times New Roman" w:eastAsia="Times New Roman" w:hAnsi="Times New Roman"/>
          <w:sz w:val="17"/>
          <w:szCs w:val="17"/>
          <w:color w:val="auto"/>
        </w:rPr>
        <w:t>possess and such care and diligence that a reasonably prudent person would exercise in comparable circumstances. In fulfilling their duty of care to us, our directors must ensure compliance with our memorandum and articles of association, as amended and restated from time to time. We, as the Company, have the right to seek damages if a duty owed by our directors is breached and we suffer a loss as a result. In certain circumstances, an individual shareholder may bring such a claim for damages against our directors, on behalf of the Company, by way of a derivative action.</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functions and powers of our board include, among others:</w:t>
      </w:r>
    </w:p>
    <w:p>
      <w:pPr>
        <w:spacing w:after="0" w:line="131" w:lineRule="exact"/>
        <w:rPr>
          <w:sz w:val="20"/>
          <w:szCs w:val="20"/>
          <w:color w:val="auto"/>
        </w:rPr>
      </w:pPr>
    </w:p>
    <w:p>
      <w:pPr>
        <w:ind w:left="1240" w:hanging="530"/>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general meetings and reporting its work to shareholders at such meetings;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officers;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transfer of shares of our Company, including the registering of such shares in our share register.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Directors and Executive Officers</w:t>
      </w:r>
    </w:p>
    <w:p>
      <w:pPr>
        <w:spacing w:after="0" w:line="120" w:lineRule="exact"/>
        <w:rPr>
          <w:sz w:val="20"/>
          <w:szCs w:val="20"/>
          <w:color w:val="auto"/>
        </w:rPr>
      </w:pPr>
    </w:p>
    <w:p>
      <w:pPr>
        <w:ind w:left="300" w:right="220" w:firstLine="960"/>
        <w:spacing w:after="0" w:line="266" w:lineRule="auto"/>
        <w:rPr>
          <w:sz w:val="20"/>
          <w:szCs w:val="20"/>
          <w:color w:val="auto"/>
        </w:rPr>
      </w:pPr>
      <w:r>
        <w:rPr>
          <w:rFonts w:ascii="Times New Roman" w:cs="Times New Roman" w:eastAsia="Times New Roman" w:hAnsi="Times New Roman"/>
          <w:sz w:val="17"/>
          <w:szCs w:val="17"/>
          <w:color w:val="auto"/>
        </w:rPr>
        <w:t>Our officers are elected by and serve at the discretion of the board. Our directors are not subject to a term of office and hold office until such time as they resign, are removed from office by special resolution or by a majority of the directors, or otherwise vacate their office in accordance with our articles of association. A director will vacate office automatically if, among other things, the director (i) becomes bankrupt or makes any arrangement or composition with his creditors; or (ii) dies or is found by a court to be of unsound mind. In addition, none of the service agreements between us and our directors provide benefits upon termination of their service.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2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Our board established an audit committee, a compensation committee and a nominating and corporate governance committee in December 2006. Our audit committee was renamed our audit and risk committee on August 3, 2016.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 of the compensation committee charter amended on December 3, 2021, the audit and risk committee charter amended on December 6, 2023 and the nominating and corporate governance committee charter amended on December 16, 2022.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Audit and Risk Committee</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Our audit and risk committee consists of Messrs. Thomas Jefferson Wu, Alec Yiu Wa Tsui, John William Crawford and Ms. Francesca Galante, and is chaired by Mr. Crawford. Each of the committee members satisfies the “independence” requirements of Rule 10A-3 under the Securities Exchange Act of 1934, or the Exchange Act. We believe that Mr. Crawford qualifies as an “audit committee financial expert” as defined in Item 16A of Form 20-F. On September 13, 2019, Mr. Crawford was appointed as an independent non-executive director of Melco International, our parent company and a related party. Since his appointment to the Melco International board, Mr. Crawford has not participated in, or voted on or consented to, any actions or matters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960"/>
          </w:cols>
          <w:pgMar w:left="320" w:top="472" w:right="6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4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675" cy="54610"/>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95" w:lineRule="auto"/>
        <w:rPr>
          <w:sz w:val="20"/>
          <w:szCs w:val="20"/>
          <w:color w:val="auto"/>
        </w:rPr>
      </w:pPr>
      <w:r>
        <w:rPr>
          <w:rFonts w:ascii="Times New Roman" w:cs="Times New Roman" w:eastAsia="Times New Roman" w:hAnsi="Times New Roman"/>
          <w:sz w:val="17"/>
          <w:szCs w:val="17"/>
          <w:color w:val="auto"/>
        </w:rPr>
        <w:t>being considered by our audit and risk committee which involved any related party transaction with Melco International. The purpose of the committee is to assist our board in overseeing and monitoring:</w:t>
      </w:r>
    </w:p>
    <w:p>
      <w:pPr>
        <w:spacing w:after="0" w:line="55" w:lineRule="exact"/>
        <w:rPr>
          <w:sz w:val="20"/>
          <w:szCs w:val="20"/>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audits of the financial statements of our Company;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our independent auditors;</w:t>
      </w:r>
    </w:p>
    <w:p>
      <w:pPr>
        <w:spacing w:after="0" w:line="131"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accounting and financial reporting processes of our Company and the integrity of our systems of internal accounting and financial controls;</w:t>
      </w:r>
    </w:p>
    <w:p>
      <w:pPr>
        <w:spacing w:after="0" w:line="55" w:lineRule="exact"/>
        <w:rPr>
          <w:rFonts w:ascii="Times New Roman" w:cs="Times New Roman" w:eastAsia="Times New Roman" w:hAnsi="Times New Roman"/>
          <w:sz w:val="17"/>
          <w:szCs w:val="17"/>
          <w:color w:val="auto"/>
        </w:rPr>
      </w:pPr>
    </w:p>
    <w:p>
      <w:pPr>
        <w:ind w:left="1240" w:right="200" w:hanging="530"/>
        <w:spacing w:after="0" w:line="276"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issues relating to the financial statements of our Company, including oversight of the independent auditor, review of the financial statements and related material, internal audit process and the procedure for receiving complaints regarding accounting, internal accounting controls, auditing or other related matters;</w:t>
      </w:r>
    </w:p>
    <w:p>
      <w:pPr>
        <w:spacing w:after="0" w:line="70" w:lineRule="exact"/>
        <w:rPr>
          <w:rFonts w:ascii="Times New Roman" w:cs="Times New Roman" w:eastAsia="Times New Roman" w:hAnsi="Times New Roman"/>
          <w:sz w:val="17"/>
          <w:szCs w:val="17"/>
          <w:color w:val="auto"/>
        </w:rPr>
      </w:pPr>
    </w:p>
    <w:p>
      <w:pPr>
        <w:ind w:left="1240" w:right="46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regarding the quality or integrity of our financial statements, which is brought to its attention by our disclosure committee;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integrity and effectiveness of our internal audit function; and</w:t>
      </w:r>
    </w:p>
    <w:p>
      <w:pPr>
        <w:spacing w:after="0" w:line="131" w:lineRule="exact"/>
        <w:rPr>
          <w:rFonts w:ascii="Times New Roman" w:cs="Times New Roman" w:eastAsia="Times New Roman" w:hAnsi="Times New Roman"/>
          <w:sz w:val="17"/>
          <w:szCs w:val="17"/>
          <w:color w:val="auto"/>
        </w:rPr>
      </w:pPr>
    </w:p>
    <w:p>
      <w:pPr>
        <w:ind w:left="1260" w:right="5000" w:hanging="550"/>
        <w:spacing w:after="0" w:line="457" w:lineRule="auto"/>
        <w:tabs>
          <w:tab w:leader="none" w:pos="124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risk management policies, procedures and practices. The duties of the committee include:</w:t>
      </w:r>
    </w:p>
    <w:p>
      <w:pPr>
        <w:ind w:left="1240" w:right="120" w:hanging="530"/>
        <w:spacing w:after="0" w:line="276"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70"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remuneration and terms of engagement of the independent auditor, and pre-approving all auditing and non-auditing services permitted to be performed by our independent auditors;</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obtaining a written report from our independent auditor describing matters relating to its independence and quality control procedures;</w:t>
      </w:r>
    </w:p>
    <w:p>
      <w:pPr>
        <w:spacing w:after="0" w:line="55"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70"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the financial statements for inclusion within our quarterly earnings releases and to our board for inclusion in our annual reports;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material related party transactions brought to its attention, without further approval of our board;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overseeing procedures for the handling of complaints and whistleblowing;</w:t>
      </w:r>
    </w:p>
    <w:p>
      <w:pPr>
        <w:spacing w:after="0" w:line="131" w:lineRule="exact"/>
        <w:rPr>
          <w:rFonts w:ascii="Times New Roman" w:cs="Times New Roman" w:eastAsia="Times New Roman" w:hAnsi="Times New Roman"/>
          <w:sz w:val="17"/>
          <w:szCs w:val="17"/>
          <w:color w:val="auto"/>
        </w:rPr>
      </w:pPr>
    </w:p>
    <w:p>
      <w:pPr>
        <w:ind w:left="1240" w:right="620" w:hanging="530"/>
        <w:spacing w:after="0" w:line="295"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internal audit charter and annual audit plans, and undertaking an annual performance evaluation of the internal audit function;</w:t>
      </w:r>
    </w:p>
    <w:p>
      <w:pPr>
        <w:spacing w:after="0" w:line="55" w:lineRule="exact"/>
        <w:rPr>
          <w:rFonts w:ascii="Times New Roman" w:cs="Times New Roman" w:eastAsia="Times New Roman" w:hAnsi="Times New Roman"/>
          <w:sz w:val="17"/>
          <w:szCs w:val="17"/>
          <w:color w:val="auto"/>
        </w:rPr>
      </w:pPr>
    </w:p>
    <w:p>
      <w:pPr>
        <w:ind w:left="1240" w:right="100" w:hanging="530"/>
        <w:spacing w:after="0" w:line="269"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Chief Risk Officer and senior management’s policies and procedures to identify, accept, mitigate, allocate or otherwise manage various types of risks that may materially impact the Company’s business, strategy, operation, financials and reputation, including without limitation, legal, compliance and operational risks and other evolving risks such as cybersecurity threats, and making recommendations with respect to our risk management process for the board’s approval;</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960"/>
          </w:cols>
          <w:pgMar w:left="320" w:top="473" w:right="6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360" w:hanging="530"/>
        <w:spacing w:after="0" w:line="276" w:lineRule="auto"/>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board, evaluating the performance of the audit and risk committee on an annual basis;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22" w:lineRule="exact"/>
        <w:rPr>
          <w:sz w:val="20"/>
          <w:szCs w:val="20"/>
          <w:color w:val="auto"/>
        </w:rPr>
      </w:pPr>
    </w:p>
    <w:p>
      <w:pPr>
        <w:ind w:left="300" w:right="280" w:firstLine="960"/>
        <w:spacing w:after="0" w:line="269" w:lineRule="auto"/>
        <w:rPr>
          <w:sz w:val="20"/>
          <w:szCs w:val="20"/>
          <w:color w:val="auto"/>
        </w:rPr>
      </w:pPr>
      <w:r>
        <w:rPr>
          <w:rFonts w:ascii="Times New Roman" w:cs="Times New Roman" w:eastAsia="Times New Roman" w:hAnsi="Times New Roman"/>
          <w:sz w:val="17"/>
          <w:szCs w:val="17"/>
          <w:color w:val="auto"/>
        </w:rPr>
        <w:t>Our compensation committee consists of Messrs. Thomas Jefferson Wu, Alec Yiu Wa Tsui, John William Crawford and Ms. Francesca Galante, and is chaired by Mr. Wu. The purpose of the committee is to discharge the responsibilities of the board relating to compensation of our directors and our executives, including, amongst others, to design (in consultation with management), evaluate and approve the compensation plans, policies and programs for the executives and evaluate and recommend to our board for approval of the directors’ compensation.</w:t>
      </w:r>
    </w:p>
    <w:p>
      <w:pPr>
        <w:spacing w:after="0" w:line="169"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Members of this committee are not prohibited from direct involvement in determining their own compensation. Our chief executive officer may not be present at any compensation committee meeting during the time when his compensation is deliberated.</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duties of the committee include:</w:t>
      </w:r>
    </w:p>
    <w:p>
      <w:pPr>
        <w:spacing w:after="0" w:line="131" w:lineRule="exact"/>
        <w:rPr>
          <w:sz w:val="20"/>
          <w:szCs w:val="20"/>
          <w:color w:val="auto"/>
        </w:rPr>
      </w:pPr>
    </w:p>
    <w:p>
      <w:pPr>
        <w:ind w:left="1240" w:hanging="530"/>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development and implementation of executive compensation programs in consultation with our management;</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making recommendations to our board for approval with respect to the compensation arrangements for our directors, and approving compensation arrangements for our chief executive officer and other executives;</w:t>
      </w:r>
    </w:p>
    <w:p>
      <w:pPr>
        <w:spacing w:after="0" w:line="55" w:lineRule="exact"/>
        <w:rPr>
          <w:rFonts w:ascii="Times New Roman" w:cs="Times New Roman" w:eastAsia="Times New Roman" w:hAnsi="Times New Roman"/>
          <w:sz w:val="17"/>
          <w:szCs w:val="17"/>
          <w:color w:val="auto"/>
        </w:rPr>
      </w:pPr>
    </w:p>
    <w:p>
      <w:pPr>
        <w:jc w:val="both"/>
        <w:ind w:left="1240" w:right="100" w:hanging="530"/>
        <w:spacing w:after="0" w:line="276"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reviewing and approving our incentive compensation plans and equity grant, if any, under our share incentive plans, and overseeing the administration of these plans and discharging any responsibilities imposed on the compensation committee by any of these plans;</w:t>
      </w:r>
    </w:p>
    <w:p>
      <w:pPr>
        <w:spacing w:after="0" w:line="70"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payable to our executive directors and executives in connection with any loss or termination of their office or appointment;</w:t>
      </w:r>
    </w:p>
    <w:p>
      <w:pPr>
        <w:spacing w:after="0" w:line="55"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benefits in kind received by any director or executives where such benefits are not provided for under the relevant employment terms;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executive officer and director indemnification and insurance matters;</w:t>
      </w:r>
    </w:p>
    <w:p>
      <w:pPr>
        <w:spacing w:after="0" w:line="131"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regulatory compliance with respect to compensation matters, including our policies and restrictions on compensation plans and loans to officers and directors;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compensation committee on an annual basis;</w:t>
      </w:r>
    </w:p>
    <w:p>
      <w:pPr>
        <w:spacing w:after="0" w:line="131" w:lineRule="exact"/>
        <w:rPr>
          <w:rFonts w:ascii="Times New Roman" w:cs="Times New Roman" w:eastAsia="Times New Roman" w:hAnsi="Times New Roman"/>
          <w:sz w:val="17"/>
          <w:szCs w:val="17"/>
          <w:color w:val="auto"/>
        </w:rPr>
      </w:pPr>
    </w:p>
    <w:p>
      <w:pPr>
        <w:ind w:left="1240" w:right="40" w:hanging="530"/>
        <w:spacing w:after="0" w:line="276"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it deems appropriate, reviewing and making recommendations to the Board with respect to the adoption of any share incentive plans and/or modifications to the terms thereof and carrying out of the committee’s duties and responsibilities as set forth in such share incentive plans;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940"/>
          </w:cols>
          <w:pgMar w:left="320" w:top="473" w:right="6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22"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Messrs. Thomas Jefferson Wu, Alec Yiu Wa Tsui, John William Crawford and Ms. Francesca Galante, and is chaired by Mr. Tsui. The purpose of the committee is to assist our board in discharging its responsibilities regarding:</w:t>
      </w:r>
    </w:p>
    <w:p>
      <w:pPr>
        <w:spacing w:after="0" w:line="70" w:lineRule="exact"/>
        <w:rPr>
          <w:sz w:val="20"/>
          <w:szCs w:val="20"/>
          <w:color w:val="auto"/>
        </w:rPr>
      </w:pPr>
    </w:p>
    <w:p>
      <w:pPr>
        <w:ind w:left="1240" w:right="2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identification of qualified candidates to become members and chairs of the board and its committees and to fill any such vacancies, and reviewing the appropriateness of the continued service of directors;</w:t>
      </w:r>
    </w:p>
    <w:p>
      <w:pPr>
        <w:spacing w:after="0" w:line="55"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our board meets the criteria for independence under the Nasdaq corporate governance rules and nominating directors who meet such independence criteria;</w:t>
      </w:r>
    </w:p>
    <w:p>
      <w:pPr>
        <w:spacing w:after="0" w:line="55" w:lineRule="exact"/>
        <w:rPr>
          <w:rFonts w:ascii="Times New Roman" w:cs="Times New Roman" w:eastAsia="Times New Roman" w:hAnsi="Times New Roman"/>
          <w:sz w:val="17"/>
          <w:szCs w:val="17"/>
          <w:color w:val="auto"/>
        </w:rPr>
      </w:pPr>
    </w:p>
    <w:p>
      <w:pPr>
        <w:ind w:left="1240" w:right="72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recommendation to our board of a set of corporate governance principles applicable to our Company;</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(other than that regarding the quality or integrity of our financial statements), which is brought to its attention by the disclosure committee; and</w:t>
      </w:r>
    </w:p>
    <w:p>
      <w:pPr>
        <w:spacing w:after="0" w:line="55" w:lineRule="exact"/>
        <w:rPr>
          <w:rFonts w:ascii="Times New Roman" w:cs="Times New Roman" w:eastAsia="Times New Roman" w:hAnsi="Times New Roman"/>
          <w:sz w:val="17"/>
          <w:szCs w:val="17"/>
          <w:color w:val="auto"/>
        </w:rPr>
      </w:pPr>
    </w:p>
    <w:p>
      <w:pPr>
        <w:ind w:left="1260" w:right="3700" w:hanging="550"/>
        <w:spacing w:after="0" w:line="457" w:lineRule="auto"/>
        <w:tabs>
          <w:tab w:leader="none" w:pos="124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environmental, social and governance-related risks and opportunities. The duties of the committee include:</w:t>
      </w:r>
    </w:p>
    <w:p>
      <w:pPr>
        <w:ind w:left="1240" w:right="2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for its approval, the appointment or re-appointment of any members of our board and the chairs and members of its committees, including evaluating any succession planning;</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55" w:lineRule="exact"/>
        <w:rPr>
          <w:rFonts w:ascii="Times New Roman" w:cs="Times New Roman" w:eastAsia="Times New Roman" w:hAnsi="Times New Roman"/>
          <w:sz w:val="17"/>
          <w:szCs w:val="17"/>
          <w:color w:val="auto"/>
        </w:rPr>
      </w:pPr>
    </w:p>
    <w:p>
      <w:pPr>
        <w:ind w:left="1240" w:right="40" w:hanging="530"/>
        <w:spacing w:after="0" w:line="276"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set of corporate governance principles and reviewing such principles at least annually;</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deciding whether any material information (other than that regarding the quality or integrity of our financial statements), which is brought to its attention by the disclosure committee, should be disclosed;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the training and continuous professional development of our directors and senior management;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reviewing and monitoring the code of conduct and compliance manual applicable to employees and directors;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committee on an annual basis;</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environmental, social and governance-related policies and the related regular public disclosures, including our sustainability report following review and approval by our Chairman and Chief Executive Officer;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940"/>
          </w:cols>
          <w:pgMar w:left="320" w:top="472" w:right="6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78"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69"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Each executive officer is prohibited from gambling at any of our Company’s facilities during the term of his or her employment and for six months following the termination of such employment agreement.</w:t>
      </w:r>
    </w:p>
    <w:p>
      <w:pPr>
        <w:spacing w:after="0" w:line="147" w:lineRule="exact"/>
        <w:rPr>
          <w:sz w:val="20"/>
          <w:szCs w:val="20"/>
          <w:color w:val="auto"/>
        </w:rPr>
      </w:pPr>
    </w:p>
    <w:p>
      <w:pPr>
        <w:ind w:left="300" w:right="360" w:firstLine="960"/>
        <w:spacing w:after="0" w:line="267" w:lineRule="auto"/>
        <w:rPr>
          <w:sz w:val="20"/>
          <w:szCs w:val="20"/>
          <w:color w:val="auto"/>
        </w:rPr>
      </w:pPr>
      <w:r>
        <w:rPr>
          <w:rFonts w:ascii="Times New Roman" w:cs="Times New Roman" w:eastAsia="Times New Roman" w:hAnsi="Times New Roman"/>
          <w:sz w:val="17"/>
          <w:szCs w:val="17"/>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w:t>
      </w:r>
    </w:p>
    <w:p>
      <w:pPr>
        <w:spacing w:after="0" w:line="1" w:lineRule="exact"/>
        <w:rPr>
          <w:sz w:val="20"/>
          <w:szCs w:val="20"/>
          <w:color w:val="auto"/>
        </w:rPr>
      </w:pPr>
    </w:p>
    <w:p>
      <w:pPr>
        <w:ind w:left="300" w:right="60" w:hanging="8"/>
        <w:spacing w:after="0" w:line="260" w:lineRule="auto"/>
        <w:tabs>
          <w:tab w:leader="none" w:pos="50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including but not limited to, Hong Kong, Macau, the Philippines, Cyprus and any other country or region in which our Company operates or intends to operate.</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960"/>
          </w:cols>
          <w:pgMar w:left="320" w:top="473" w:right="6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5"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We had 20,209, 16,908 and 17,878 employees as of December 31, 2023, 2022 and 2021, respectively. The following table sets forth the number of employees categorized by the areas of operations and as a percentage of our workforce as of December 31, 2023, 2022 and 2021. Staff remuneration packages are determined taking into account market conditions and the performance of the individuals, and are subject to review from time to time.</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000" w:type="dxa"/>
            <w:vAlign w:val="bottom"/>
            <w:tcBorders>
              <w:bottom w:val="single" w:sz="8" w:color="auto"/>
            </w:tcBorders>
            <w:gridSpan w:val="3"/>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540" w:type="dxa"/>
            <w:vAlign w:val="bottom"/>
          </w:tcPr>
          <w:p>
            <w:pPr>
              <w:spacing w:after="0"/>
              <w:rPr>
                <w:sz w:val="9"/>
                <w:szCs w:val="9"/>
                <w:color w:val="auto"/>
              </w:rPr>
            </w:pPr>
          </w:p>
        </w:tc>
        <w:tc>
          <w:tcPr>
            <w:tcW w:w="1000" w:type="dxa"/>
            <w:vAlign w:val="bottom"/>
            <w:gridSpan w:val="3"/>
          </w:tcPr>
          <w:p>
            <w:pPr>
              <w:jc w:val="center"/>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9"/>
                <w:szCs w:val="9"/>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8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000" w:type="dxa"/>
            <w:vAlign w:val="bottom"/>
            <w:gridSpan w:val="3"/>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1140" w:type="dxa"/>
            <w:vAlign w:val="bottom"/>
            <w:gridSpan w:val="2"/>
            <w:vMerge w:val="continue"/>
          </w:tcPr>
          <w:p>
            <w:pPr>
              <w:spacing w:after="0"/>
              <w:rPr>
                <w:sz w:val="12"/>
                <w:szCs w:val="12"/>
                <w:color w:val="auto"/>
              </w:rPr>
            </w:pPr>
          </w:p>
        </w:tc>
        <w:tc>
          <w:tcPr>
            <w:tcW w:w="66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340" w:type="dxa"/>
            <w:vAlign w:val="bottom"/>
            <w:tcBorders>
              <w:bottom w:val="single" w:sz="8" w:color="CCEEFF"/>
            </w:tcBorders>
            <w:gridSpan w:val="2"/>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Total</w:t>
            </w: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Mocha Clubs</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959</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1,052</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6.2%</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36.7%</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6,529</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38.6%</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7,227</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09"/>
        </w:trPr>
        <w:tc>
          <w:tcPr>
            <w:tcW w:w="454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Corporate and centralized services</w:t>
            </w:r>
            <w:r>
              <w:rPr>
                <w:rFonts w:ascii="Times New Roman" w:cs="Times New Roman" w:eastAsia="Times New Roman" w:hAnsi="Times New Roman"/>
                <w:sz w:val="24"/>
                <w:szCs w:val="24"/>
                <w:color w:val="auto"/>
                <w:vertAlign w:val="superscript"/>
              </w:rPr>
              <w:t>(2)</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540</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520</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3.1%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628</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City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3,571</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3,793</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3,699</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3,713</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22.0%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3,730</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Mediterranean and the Cyprus Casinos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973</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100.0%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16,908</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100.0%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17,878</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20" w:right="300" w:hanging="428"/>
        <w:spacing w:after="0" w:line="295" w:lineRule="auto"/>
        <w:tabs>
          <w:tab w:leader="none" w:pos="7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table, figures include employees at Grand Dragon Casino described under “Item 4. Information on the Company — B. Business Overview — Our Land and Premises — Mocha Clubs.”</w:t>
      </w:r>
    </w:p>
    <w:p>
      <w:pPr>
        <w:spacing w:after="0" w:line="55" w:lineRule="exact"/>
        <w:rPr>
          <w:rFonts w:ascii="Times New Roman" w:cs="Times New Roman" w:eastAsia="Times New Roman" w:hAnsi="Times New Roman"/>
          <w:sz w:val="17"/>
          <w:szCs w:val="17"/>
          <w:color w:val="auto"/>
        </w:rPr>
      </w:pPr>
    </w:p>
    <w:p>
      <w:pPr>
        <w:ind w:left="720" w:right="260" w:hanging="428"/>
        <w:spacing w:after="0" w:line="295" w:lineRule="auto"/>
        <w:tabs>
          <w:tab w:leader="none" w:pos="7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table, figures as of December 31, 2021 and 2022 include employees at our ski resort in Nagano, Japan (disposed in late December 2022).</w:t>
      </w:r>
    </w:p>
    <w:p>
      <w:pPr>
        <w:spacing w:after="0" w:line="147"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Other than the rank-and-file employees of the Table Games Division of City of Dreams Manila, none of our employees are members of any other certified labor union; and except for the collective bargaining agreement with the Table Games Division of City of Dreams Manila, we are not a party to any other collective bargaining or similar agreement with our employees. See “Item 3. Key Information — D. Risk Factors — Risks Relating to Our Business and Operations — 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171" w:lineRule="exact"/>
        <w:rPr>
          <w:sz w:val="20"/>
          <w:szCs w:val="20"/>
          <w:color w:val="auto"/>
        </w:rPr>
      </w:pPr>
    </w:p>
    <w:p>
      <w:pPr>
        <w:ind w:left="300" w:right="240" w:firstLine="960"/>
        <w:spacing w:after="0" w:line="261" w:lineRule="auto"/>
        <w:rPr>
          <w:sz w:val="20"/>
          <w:szCs w:val="20"/>
          <w:color w:val="auto"/>
        </w:rPr>
      </w:pPr>
      <w:r>
        <w:rPr>
          <w:rFonts w:ascii="Times New Roman" w:cs="Times New Roman" w:eastAsia="Times New Roman" w:hAnsi="Times New Roman"/>
          <w:sz w:val="17"/>
          <w:szCs w:val="17"/>
          <w:color w:val="auto"/>
        </w:rPr>
        <w:t>We have implemented a number of employee attraction and retention initiatives over recent years for the benefit of our employees and their families. These initiatives include, among others, a unique in-house learning academy (which provides curriculum across multi-functional tracks such as technical training — gaming and non-gaming, sales and marketing, legal, finance, human resources, computer application, language, service, leadership and lifestyle), a foundation acceleration program designed to enhance our employees’ understanding of business perspectives beyond their own jobs, an on-site high school diploma program and Diploma in Casino Management and Advanced Diploma in Gaming Management (a collaboration with The University of Macau), the Diploma in Hospitality Management (a collaboration with the Institute for Tourism Studies), scholarship awards to encourage the concept of life-long learning, as well as ample internal promotion and transfer opportunities. In September 2015, we launched the Melco You-niversity program with the Edinburgh Napier University, an overseas institution based in the United Kingdom, to bring a bachelor degree program in-house.</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960"/>
          </w:cols>
          <w:pgMar w:left="320" w:top="472" w:right="6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Ownership of Directors and Members of Senior 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the beneficial interest of each director and executive officer in our ordinary shares as of March 15, 2024.</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96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4"/>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percentage of</w:t>
            </w:r>
          </w:p>
        </w:tc>
        <w:tc>
          <w:tcPr>
            <w:tcW w:w="0" w:type="dxa"/>
            <w:vAlign w:val="bottom"/>
          </w:tcPr>
          <w:p>
            <w:pPr>
              <w:spacing w:after="0"/>
              <w:rPr>
                <w:sz w:val="1"/>
                <w:szCs w:val="1"/>
                <w:color w:val="auto"/>
              </w:rPr>
            </w:pPr>
          </w:p>
        </w:tc>
      </w:tr>
      <w:tr>
        <w:trPr>
          <w:trHeight w:val="155"/>
        </w:trPr>
        <w:tc>
          <w:tcPr>
            <w:tcW w:w="7600" w:type="dxa"/>
            <w:vAlign w:val="bottom"/>
            <w:gridSpan w:val="2"/>
            <w:vMerge w:val="continue"/>
          </w:tcPr>
          <w:p>
            <w:pPr>
              <w:spacing w:after="0"/>
              <w:rPr>
                <w:sz w:val="13"/>
                <w:szCs w:val="13"/>
                <w:color w:val="auto"/>
              </w:rPr>
            </w:pPr>
          </w:p>
        </w:tc>
        <w:tc>
          <w:tcPr>
            <w:tcW w:w="1960" w:type="dxa"/>
            <w:vAlign w:val="bottom"/>
            <w:gridSpan w:val="2"/>
          </w:tcPr>
          <w:p>
            <w:pPr>
              <w:jc w:val="right"/>
              <w:ind w:right="10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shareholding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19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707,809,770(2)(3)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53.23%</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196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19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Alec Yiu Wa Tsui</w:t>
            </w:r>
          </w:p>
        </w:tc>
        <w:tc>
          <w:tcPr>
            <w:tcW w:w="196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Jefferson Wu</w:t>
            </w:r>
          </w:p>
        </w:tc>
        <w:tc>
          <w:tcPr>
            <w:tcW w:w="19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William Crawford</w:t>
            </w:r>
          </w:p>
        </w:tc>
        <w:tc>
          <w:tcPr>
            <w:tcW w:w="196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Francesca Galante</w:t>
            </w:r>
          </w:p>
        </w:tc>
        <w:tc>
          <w:tcPr>
            <w:tcW w:w="19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196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Graham Paul Winter</w:t>
            </w:r>
          </w:p>
        </w:tc>
        <w:tc>
          <w:tcPr>
            <w:tcW w:w="19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Akiko Takahashi</w:t>
            </w:r>
          </w:p>
        </w:tc>
        <w:tc>
          <w:tcPr>
            <w:tcW w:w="196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and executive officers as a group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715,183,046</w:t>
            </w:r>
          </w:p>
        </w:tc>
        <w:tc>
          <w:tcPr>
            <w:tcW w:w="10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53.79%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20" w:right="100" w:hanging="428"/>
        <w:spacing w:after="0" w:line="295" w:lineRule="auto"/>
        <w:tabs>
          <w:tab w:leader="none" w:pos="7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restricted shares and our shares in aggregate held by each of these directors and executive officers represent less than 1% of our total outstanding shares.</w:t>
      </w:r>
    </w:p>
    <w:p>
      <w:pPr>
        <w:spacing w:after="0" w:line="55" w:lineRule="exact"/>
        <w:rPr>
          <w:sz w:val="20"/>
          <w:szCs w:val="20"/>
          <w:color w:val="auto"/>
        </w:rPr>
      </w:pPr>
    </w:p>
    <w:p>
      <w:pPr>
        <w:ind w:left="720" w:hanging="428"/>
        <w:spacing w:after="0" w:line="276"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beneficial ownership of each director and executive officer is based on: (i) 1,329,679,067 ordinary shares of our Company outstanding as of March 15, 2024, (ii) the number of ordinary shares of underlying options that have vested or will vest within 60 days after March 15, 2024 and (iii) the number of restricted shares that will vest within 60 days after March 15, 2024, each as held by such person as of that date.</w:t>
      </w:r>
    </w:p>
    <w:p>
      <w:pPr>
        <w:spacing w:after="0" w:line="70" w:lineRule="exact"/>
        <w:rPr>
          <w:rFonts w:ascii="Times New Roman" w:cs="Times New Roman" w:eastAsia="Times New Roman" w:hAnsi="Times New Roman"/>
          <w:sz w:val="17"/>
          <w:szCs w:val="17"/>
          <w:color w:val="auto"/>
        </w:rPr>
      </w:pPr>
    </w:p>
    <w:p>
      <w:pPr>
        <w:ind w:left="720" w:right="140" w:hanging="428"/>
        <w:spacing w:after="0" w:line="264"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687,360,906 ordinary shares which may be deemed to be beneficially owned by Melco Leisure, a company wholly owned by Melco International, a Hong Kong company listed on the HKSE. Mr. Lawrence Ho is taken to have interest in these shares as a result of his interest in approximately 59.01% of the total issued shares of Melco International by virtue of the Securities and Futures Ordinance (Chapter 571, the Laws of Hong Kong). Please see “Item 7. Major Shareholders and Related Party Transactions” for more details. As of March 15, 2024, 667,360,904 of these ordinary shares have been pledged by Melco Leisure in connection with a US$1 billion, 5-year credit facility entered into in June 2021 by, among others, Melco International and Melco Leisure.</w:t>
      </w:r>
    </w:p>
    <w:p>
      <w:pPr>
        <w:spacing w:after="0" w:line="82" w:lineRule="exact"/>
        <w:rPr>
          <w:rFonts w:ascii="Times New Roman" w:cs="Times New Roman" w:eastAsia="Times New Roman" w:hAnsi="Times New Roman"/>
          <w:sz w:val="17"/>
          <w:szCs w:val="17"/>
          <w:color w:val="auto"/>
        </w:rPr>
      </w:pPr>
    </w:p>
    <w:p>
      <w:pPr>
        <w:ind w:left="720" w:right="80" w:hanging="428"/>
        <w:spacing w:after="0" w:line="266"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Also includes (i) 9,934,422 ordinary shares held by Black Spade Capital Limited, which in turn is held by companies owned by a trust associated with Mr. Lawrence Ho; (ii) 7,204,965 ordinary shares personally held by Mr. Lawrence Ho (among which, 6,303,360 are vested restricted shares under the 2011 Share Incentive Plan and the 2021 Share Incentive Plan held by Mr. Lawrence Ho as of March 15, 2024); and (iii) 3,309,477 restricted shares that will vest from 60 days of March 15, 2024 held by Mr. Lawrence Ho. The following table summarizes, as of March 15, 2024, the unvested restricted shares (including 3,309,477 restricted shares that will vest from 60 days of March 15, 2024) held by Mr. Lawrence Ho:</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restricted shares at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Pr>
          <w:p>
            <w:pPr>
              <w:spacing w:after="0"/>
              <w:rPr>
                <w:sz w:val="12"/>
                <w:szCs w:val="12"/>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Type of awards</w:t>
            </w: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 date per share</w:t>
            </w:r>
          </w:p>
        </w:tc>
        <w:tc>
          <w:tcPr>
            <w:tcW w:w="9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0" w:type="dxa"/>
            <w:vAlign w:val="bottom"/>
          </w:tcPr>
          <w:p>
            <w:pPr>
              <w:spacing w:after="0"/>
              <w:rPr>
                <w:sz w:val="1"/>
                <w:szCs w:val="1"/>
                <w:color w:val="auto"/>
              </w:rPr>
            </w:pPr>
          </w:p>
        </w:tc>
      </w:tr>
      <w:tr>
        <w:trPr>
          <w:trHeight w:val="155"/>
        </w:trPr>
        <w:tc>
          <w:tcPr>
            <w:tcW w:w="34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90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17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7, 2021</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6.8933</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April 6, 2022</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2.4667</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3,347,772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April 5, 2023</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4.1267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5,819,955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gridSpan w:val="2"/>
          </w:tcPr>
          <w:p>
            <w:pPr>
              <w:ind w:left="1780"/>
              <w:spacing w:after="0"/>
              <w:rPr>
                <w:sz w:val="20"/>
                <w:szCs w:val="20"/>
                <w:color w:val="auto"/>
              </w:rPr>
            </w:pPr>
            <w:r>
              <w:rPr>
                <w:rFonts w:ascii="Times New Roman" w:cs="Times New Roman" w:eastAsia="Times New Roman" w:hAnsi="Times New Roman"/>
                <w:sz w:val="17"/>
                <w:szCs w:val="17"/>
                <w:color w:val="auto"/>
              </w:rPr>
              <w:t>159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None of our directors or executive officers who are shareholders have different voting rights from other shareholders of our Company.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Purchase and Award Program</w:t>
      </w:r>
    </w:p>
    <w:p>
      <w:pPr>
        <w:spacing w:after="0" w:line="12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On July 8, 2021, we adopted a share purchase and award program to recognize the dedication and commitment of our employees and provide eligible employees the opportunity to benefit from our long-term growth. This program applies to eligible employees who agreed in 2020, as COVID-19 outbreaks were spreading globally, to participate in a voluntary leave program we initiated to manage costs during the outbreak.</w:t>
      </w:r>
    </w:p>
    <w:p>
      <w:pPr>
        <w:spacing w:after="0" w:line="162"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Under the share purchase and award program, eligible employees could elect to use a portion of his or her base salary during the term of the program, which runs from July 2021 to June 2022, to purchase and receive a grant of restricted shares under our 2011 share incentive plan, with an aggregate value equal to 200% of the amount of base salary so applied as at the grant date. The maximum amount of restricted shares which may be issued under the share purchase and award program represents less than 0.50% of our total issued and outstanding shares as of the date of the adoption of the program. As of December 31, 2023, a total of 6,084,312 restricted shares had been granted to employees under the program, out of which 5,798,826 restricted shares had become vested.</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Incentive Plans</w:t>
      </w:r>
    </w:p>
    <w:p>
      <w:pPr>
        <w:spacing w:after="0" w:line="12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We have previously adopted the 2006 Share Incentive Plan, the 2011 Share Incentive Plan, the 2021 Share Incentive Plan and the MRP Share Incentive Plan. The 2011 Share Incentive Plan, which succeeded the 2006 Share Incentive Plan on December 7, 2011, has been succeeded by our 2021 Share Incentive Plan on December 6, 2021. No further awards may be granted under the 2006 Share Incentive Plan and the 2011 Share Incentive Plan. All subsequent awards will be issued under the 2021 Share Incentive Plan. Awards previously granted under the 2006 Share Incentive Plan and the 2011 Share Incentive Plan remain subject to the terms and conditions of the 2006 Share Incentive Plan and the 2011 Share Incentive Plan, respectively. As of December 31, 2021, all share options and restricted shares granted under the 2006 Share Incentive Plan had vested. The maximum aggregate number of shares which may be issued pursuant to the 2021 Share Incentive Plan is 145,654,794, which is subject to adjustment pursuant to the terms and conditions contained therein.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2011 Share Incentive Plan</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Amendments to the 2011 Share Incentive Plan were approved by our shareholders on</w:t>
      </w:r>
    </w:p>
    <w:p>
      <w:pPr>
        <w:spacing w:after="0" w:line="1" w:lineRule="exact"/>
        <w:rPr>
          <w:sz w:val="20"/>
          <w:szCs w:val="20"/>
          <w:color w:val="auto"/>
        </w:rPr>
      </w:pPr>
    </w:p>
    <w:p>
      <w:pPr>
        <w:ind w:left="300" w:right="40"/>
        <w:spacing w:after="0" w:line="259" w:lineRule="auto"/>
        <w:rPr>
          <w:sz w:val="20"/>
          <w:szCs w:val="20"/>
          <w:color w:val="auto"/>
        </w:rPr>
      </w:pPr>
      <w:r>
        <w:rPr>
          <w:rFonts w:ascii="Times New Roman" w:cs="Times New Roman" w:eastAsia="Times New Roman" w:hAnsi="Times New Roman"/>
          <w:sz w:val="17"/>
          <w:szCs w:val="17"/>
          <w:color w:val="auto"/>
        </w:rPr>
        <w:t>May 20, 2015 and on December 7, 2016. The amendments to our 2011 Share Incentive Plan approved by our shareholders on December 7, 2016 were to, among other things, include provisions relating to share option schemes required by the Rules Governing the Listing of Securities on the HKSE following the consolidation of the financial results of our Company in the financial statements of Melco International as a result of our repurchase of 155,000,000 ordinary shares of our Company (equivalent to 51,666,666 ADSs) from Crown Asia Investments Pty, Ltd. and the subsequent cancelation of such shares and with certain changes in the composition of our board of directors in May 2016. Such provisions in our 2011 Share Incentive Plan required by the HKSE rules have automatically lapsed as the requirements under the HKSE rules are not presently applicable to us. As of December 31, 2023, we have granted (i) share options to subscribe for a total of 44,115,885 shares and (ii) restricted shares in respect of a total of 37,042,344 shares pursuant to the 2011 Share Incentive Plan.</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920"/>
          </w:cols>
          <w:pgMar w:left="320" w:top="472" w:right="6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paragraphs describe the principal terms included in the 2011 Share Incentive Plan.</w:t>
      </w:r>
    </w:p>
    <w:p>
      <w:pPr>
        <w:spacing w:after="0" w:line="221" w:lineRule="exact"/>
        <w:rPr>
          <w:sz w:val="20"/>
          <w:szCs w:val="20"/>
          <w:color w:val="auto"/>
        </w:rPr>
      </w:pPr>
    </w:p>
    <w:p>
      <w:pPr>
        <w:ind w:left="300" w:right="70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awards that may be granted under the plan include options, incentive share options, restricted shares,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dividend equivalents, share payments, deferred shares and restricted share units.</w:t>
      </w:r>
    </w:p>
    <w:p>
      <w:pPr>
        <w:spacing w:after="0" w:line="142" w:lineRule="exact"/>
        <w:rPr>
          <w:sz w:val="20"/>
          <w:szCs w:val="20"/>
          <w:color w:val="auto"/>
        </w:rPr>
      </w:pPr>
    </w:p>
    <w:p>
      <w:pPr>
        <w:ind w:left="3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Eligible Participants</w:t>
      </w:r>
      <w:r>
        <w:rPr>
          <w:rFonts w:ascii="Times New Roman" w:cs="Times New Roman" w:eastAsia="Times New Roman" w:hAnsi="Times New Roman"/>
          <w:sz w:val="17"/>
          <w:szCs w:val="17"/>
          <w:color w:val="auto"/>
        </w:rPr>
        <w:t>. We may grant awards to directors, employees and consultants of our Company, any parent or subsidiary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66" w:lineRule="exact"/>
        <w:rPr>
          <w:sz w:val="20"/>
          <w:szCs w:val="20"/>
          <w:color w:val="auto"/>
        </w:rPr>
      </w:pPr>
    </w:p>
    <w:p>
      <w:pPr>
        <w:ind w:left="300" w:right="1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Option Periods and Payments</w:t>
      </w:r>
      <w:r>
        <w:rPr>
          <w:rFonts w:ascii="Times New Roman" w:cs="Times New Roman" w:eastAsia="Times New Roman" w:hAnsi="Times New Roman"/>
          <w:sz w:val="17"/>
          <w:szCs w:val="17"/>
          <w:color w:val="auto"/>
        </w:rPr>
        <w:t>. Our compensation committee may in its discretion determine, subject to the plan expiration period,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within which shares must be taken up under an option; the minimum period, if any, for which an option must be held before it can be exercised; and the amount, if any, payable on application or acceptance of the option.</w:t>
      </w:r>
    </w:p>
    <w:p>
      <w:pPr>
        <w:spacing w:after="0" w:line="160" w:lineRule="exact"/>
        <w:rPr>
          <w:sz w:val="20"/>
          <w:szCs w:val="20"/>
          <w:color w:val="auto"/>
        </w:rPr>
      </w:pPr>
    </w:p>
    <w:p>
      <w:pPr>
        <w:ind w:left="300" w:right="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compensation committee will administer the 2011 Share Incentive Plan and has the power to, among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actions, 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Awards granted will be evidenced by an award agreement that sets forth the terms, conditions and limitations for each</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award.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Our compensation committee may determine the exercise price or purchase price, if any, of any award.</w:t>
      </w:r>
    </w:p>
    <w:p>
      <w:pPr>
        <w:spacing w:after="0" w:line="223"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Term of Awards. </w:t>
      </w:r>
      <w:r>
        <w:rPr>
          <w:rFonts w:ascii="Times New Roman" w:cs="Times New Roman" w:eastAsia="Times New Roman" w:hAnsi="Times New Roman"/>
          <w:sz w:val="17"/>
          <w:szCs w:val="17"/>
          <w:color w:val="auto"/>
        </w:rPr>
        <w:t>The term of each award shall be stated in the award agreement. If the participant ceases to be eligible for any reason,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w:t>
      </w:r>
    </w:p>
    <w:p>
      <w:pPr>
        <w:spacing w:after="0" w:line="3" w:lineRule="exact"/>
        <w:rPr>
          <w:sz w:val="20"/>
          <w:szCs w:val="20"/>
          <w:color w:val="auto"/>
        </w:rPr>
      </w:pPr>
    </w:p>
    <w:p>
      <w:pPr>
        <w:ind w:left="300" w:right="60" w:hanging="8"/>
        <w:spacing w:after="0" w:line="265" w:lineRule="auto"/>
        <w:tabs>
          <w:tab w:leader="none" w:pos="54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69"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Change in Control and Corporate Transactions</w:t>
      </w:r>
      <w:r>
        <w:rPr>
          <w:rFonts w:ascii="Times New Roman" w:cs="Times New Roman" w:eastAsia="Times New Roman" w:hAnsi="Times New Roman"/>
          <w:sz w:val="17"/>
          <w:szCs w:val="17"/>
          <w:color w:val="auto"/>
        </w:rPr>
        <w:t>. Upon the consummation of a merger or consolidation in which our Company is not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75" w:lineRule="exact"/>
        <w:rPr>
          <w:sz w:val="20"/>
          <w:szCs w:val="20"/>
          <w:color w:val="auto"/>
        </w:rPr>
      </w:pPr>
    </w:p>
    <w:p>
      <w:pPr>
        <w:ind w:left="300" w:right="32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With the approval of the Board, our compensation committee may terminate, amend or modify the 2011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Incentive Plan, except certain amendments requiring the approval of</w:t>
      </w:r>
    </w:p>
    <w:p>
      <w:pPr>
        <w:spacing w:after="0" w:line="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0920"/>
          </w:cols>
          <w:pgMar w:left="320" w:top="473" w:right="6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380"/>
        <w:spacing w:after="0" w:line="276" w:lineRule="auto"/>
        <w:rPr>
          <w:sz w:val="20"/>
          <w:szCs w:val="20"/>
          <w:color w:val="auto"/>
        </w:rPr>
      </w:pPr>
      <w:r>
        <w:rPr>
          <w:rFonts w:ascii="Times New Roman" w:cs="Times New Roman" w:eastAsia="Times New Roman" w:hAnsi="Times New Roman"/>
          <w:sz w:val="17"/>
          <w:szCs w:val="17"/>
          <w:color w:val="auto"/>
        </w:rPr>
        <w:t>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62"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The 2011 Share Incentive Plan has been succeeded by the 2021 Share Incentive Plan on December 6, 2021. No awards may be granted pursuant to the 2011 Share Incentive Plan after that time.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Vesting Schedule</w:t>
      </w:r>
      <w:r>
        <w:rPr>
          <w:rFonts w:ascii="Times New Roman" w:cs="Times New Roman" w:eastAsia="Times New Roman" w:hAnsi="Times New Roman"/>
          <w:sz w:val="17"/>
          <w:szCs w:val="17"/>
          <w:color w:val="auto"/>
        </w:rPr>
        <w:t>. In general, our compensation committee determined, or the award agreement would specify, the vesting schedule.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2021 Share Incentive Plan</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adopted the 2021 Share Incentive Plan to provide our employees, directors and consultants with incentives to increase shareholder value, and to attract and retain the services of those upon whom we depend for the success of our business. The 2021 Share Incentive Plan was approved by the shareholders of Melco International at the annual general meeting held on June 4, 2021 and became effective on December 6, 2021. The 2021 Share Incentive Plan succeeds the 2011 Share Incentive Plan. As of December 31, 2023, we have granted (i) share options to subscribe for a total of 5,519,475 shares and (ii) restricted shares in respect of a total of 36,281,580 shares pursuant to the 2021 Share Incentive Plan.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paragraphs describe the principal terms of the 2021 Share Incentive Plan.</w:t>
      </w:r>
    </w:p>
    <w:p>
      <w:pPr>
        <w:spacing w:after="0" w:line="221" w:lineRule="exact"/>
        <w:rPr>
          <w:sz w:val="20"/>
          <w:szCs w:val="20"/>
          <w:color w:val="auto"/>
        </w:rPr>
      </w:pPr>
    </w:p>
    <w:p>
      <w:pPr>
        <w:ind w:left="300" w:right="72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awards that may be granted under the plan include options, incentive share options, restricted shares,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dividend equivalents, share payments, deferred shares and restricted share units.</w:t>
      </w:r>
    </w:p>
    <w:p>
      <w:pPr>
        <w:spacing w:after="0" w:line="142" w:lineRule="exact"/>
        <w:rPr>
          <w:sz w:val="20"/>
          <w:szCs w:val="20"/>
          <w:color w:val="auto"/>
        </w:rPr>
      </w:pPr>
    </w:p>
    <w:p>
      <w:pPr>
        <w:ind w:left="300" w:right="2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Eligible Participants</w:t>
      </w:r>
      <w:r>
        <w:rPr>
          <w:rFonts w:ascii="Times New Roman" w:cs="Times New Roman" w:eastAsia="Times New Roman" w:hAnsi="Times New Roman"/>
          <w:sz w:val="17"/>
          <w:szCs w:val="17"/>
          <w:color w:val="auto"/>
        </w:rPr>
        <w:t>. We may grant awards to directors, employees and consultants of our Company, any parent or subsidiary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our related entities that our board designates as a related entity for the purposes of the 2021 Share Incentive Plan. Our compensation committee may, from time to time, select from among all eligible individuals, those to whom awards shall be granted and shall determine the nature and amount of each award.</w:t>
      </w:r>
    </w:p>
    <w:p>
      <w:pPr>
        <w:spacing w:after="0" w:line="166" w:lineRule="exact"/>
        <w:rPr>
          <w:sz w:val="20"/>
          <w:szCs w:val="20"/>
          <w:color w:val="auto"/>
        </w:rPr>
      </w:pPr>
    </w:p>
    <w:p>
      <w:pPr>
        <w:ind w:left="300" w:right="14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Option Periods and Payments</w:t>
      </w:r>
      <w:r>
        <w:rPr>
          <w:rFonts w:ascii="Times New Roman" w:cs="Times New Roman" w:eastAsia="Times New Roman" w:hAnsi="Times New Roman"/>
          <w:sz w:val="17"/>
          <w:szCs w:val="17"/>
          <w:color w:val="auto"/>
        </w:rPr>
        <w:t>. Our compensation committee may in its discretion determine, subject to the plan expiration period,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within which shares must be taken up under an option; the minimum period, if any, for which an option must be held before it can be exercised; and the amount, if any, payable on application or acceptance of the option.</w:t>
      </w:r>
    </w:p>
    <w:p>
      <w:pPr>
        <w:spacing w:after="0" w:line="160" w:lineRule="exact"/>
        <w:rPr>
          <w:sz w:val="20"/>
          <w:szCs w:val="20"/>
          <w:color w:val="auto"/>
        </w:rPr>
      </w:pPr>
    </w:p>
    <w:p>
      <w:pPr>
        <w:ind w:left="300" w:right="4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compensation committee will administer the 2021 Share Incentive Plan and has the power to, among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actions, designate eligible participants, determine the number and types of awards to be granted, and set the terms and conditions of each award granted. The Company may also from time to time retain or appoint one or more trustees and administrators to assist in the administration of the 2021 Share Incentive Plan. The compensation committee’s decisions are final, binding, and conclusive for all purposes and upon all parties.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Awards granted will be evidenced by an award agreement that sets forth the terms, conditions and limitations for each</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award.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Our compensation committee may determine the exercise price or purchase price, if any, of any award.</w:t>
      </w:r>
    </w:p>
    <w:p>
      <w:pPr>
        <w:spacing w:after="0" w:line="1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0940"/>
          </w:cols>
          <w:pgMar w:left="320" w:top="473" w:right="6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Term of Awards. </w:t>
      </w:r>
      <w:r>
        <w:rPr>
          <w:rFonts w:ascii="Times New Roman" w:cs="Times New Roman" w:eastAsia="Times New Roman" w:hAnsi="Times New Roman"/>
          <w:sz w:val="17"/>
          <w:szCs w:val="17"/>
          <w:color w:val="auto"/>
        </w:rPr>
        <w:t>The term of each award shall be stated in the award agreement. If the participant ceases to be eligible for any reason,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w:t>
      </w:r>
    </w:p>
    <w:p>
      <w:pPr>
        <w:spacing w:after="0" w:line="3" w:lineRule="exact"/>
        <w:rPr>
          <w:sz w:val="20"/>
          <w:szCs w:val="20"/>
          <w:color w:val="auto"/>
        </w:rPr>
      </w:pPr>
    </w:p>
    <w:p>
      <w:pPr>
        <w:ind w:left="300" w:right="60" w:hanging="8"/>
        <w:spacing w:after="0" w:line="265" w:lineRule="auto"/>
        <w:tabs>
          <w:tab w:leader="none" w:pos="54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69" w:lineRule="exact"/>
        <w:rPr>
          <w:sz w:val="20"/>
          <w:szCs w:val="20"/>
          <w:color w:val="auto"/>
        </w:rPr>
      </w:pPr>
    </w:p>
    <w:p>
      <w:pPr>
        <w:ind w:left="300" w:right="140" w:firstLine="960"/>
        <w:spacing w:after="0" w:line="261" w:lineRule="auto"/>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Upon the consummation of a merger or consolidation in which our Company is not the surviving entity, a change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w:t>
      </w:r>
    </w:p>
    <w:p>
      <w:pPr>
        <w:spacing w:after="0" w:line="3" w:lineRule="exact"/>
        <w:rPr>
          <w:sz w:val="20"/>
          <w:szCs w:val="20"/>
          <w:color w:val="auto"/>
        </w:rPr>
      </w:pPr>
    </w:p>
    <w:p>
      <w:pPr>
        <w:ind w:left="300" w:right="40"/>
        <w:spacing w:after="0" w:line="265" w:lineRule="auto"/>
        <w:rPr>
          <w:sz w:val="20"/>
          <w:szCs w:val="20"/>
          <w:color w:val="auto"/>
        </w:rPr>
      </w:pPr>
      <w:r>
        <w:rPr>
          <w:rFonts w:ascii="Times New Roman" w:cs="Times New Roman" w:eastAsia="Times New Roman" w:hAnsi="Times New Roman"/>
          <w:sz w:val="17"/>
          <w:szCs w:val="17"/>
          <w:color w:val="auto"/>
        </w:rPr>
        <w:t>13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69" w:lineRule="exact"/>
        <w:rPr>
          <w:sz w:val="20"/>
          <w:szCs w:val="20"/>
          <w:color w:val="auto"/>
        </w:rPr>
      </w:pPr>
    </w:p>
    <w:p>
      <w:pPr>
        <w:ind w:left="3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With the approval of the Board, our compensation committee may terminate, amend or modify the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Vesting Schedule</w:t>
      </w:r>
      <w:r>
        <w:rPr>
          <w:rFonts w:ascii="Times New Roman" w:cs="Times New Roman" w:eastAsia="Times New Roman" w:hAnsi="Times New Roman"/>
          <w:sz w:val="17"/>
          <w:szCs w:val="17"/>
          <w:color w:val="auto"/>
        </w:rPr>
        <w:t>. In general, our compensation committee determines, or the award agreement would specify, the vesting schedule.</w:t>
      </w:r>
    </w:p>
    <w:p>
      <w:pPr>
        <w:spacing w:after="0" w:line="200" w:lineRule="exact"/>
        <w:rPr>
          <w:sz w:val="20"/>
          <w:szCs w:val="20"/>
          <w:color w:val="auto"/>
        </w:rPr>
      </w:pPr>
    </w:p>
    <w:p>
      <w:pPr>
        <w:spacing w:after="0" w:line="2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320" w:top="472" w:right="659" w:bottom="1440" w:gutter="0" w:footer="0" w:header="0"/>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ind w:right="4080"/>
        <w:spacing w:after="0" w:line="643" w:lineRule="auto"/>
        <w:rPr>
          <w:sz w:val="20"/>
          <w:szCs w:val="20"/>
          <w:color w:val="auto"/>
        </w:rPr>
      </w:pPr>
      <w:r>
        <w:rPr>
          <w:rFonts w:ascii="Times New Roman" w:cs="Times New Roman" w:eastAsia="Times New Roman" w:hAnsi="Times New Roman"/>
          <w:sz w:val="17"/>
          <w:szCs w:val="17"/>
          <w:b w:val="1"/>
          <w:bCs w:val="1"/>
          <w:color w:val="auto"/>
        </w:rPr>
        <w:t>MAJOR SHAREHOLDERS AND RELATED PARTY TRANSACTIONS A. MAJOR SHAREHOLDERS</w:t>
      </w:r>
    </w:p>
    <w:p>
      <w:pPr>
        <w:spacing w:after="0" w:line="1" w:lineRule="exact"/>
        <w:rPr>
          <w:sz w:val="20"/>
          <w:szCs w:val="20"/>
          <w:color w:val="auto"/>
        </w:rPr>
      </w:pPr>
    </w:p>
    <w:p>
      <w:pPr>
        <w:sectPr>
          <w:pgSz w:w="11900" w:h="16838" w:orient="portrait"/>
          <w:cols w:equalWidth="0" w:num="2">
            <w:col w:w="920" w:space="440"/>
            <w:col w:w="9560"/>
          </w:cols>
          <w:pgMar w:left="320" w:top="472" w:right="659" w:bottom="1440" w:gutter="0" w:footer="0" w:header="0"/>
          <w:type w:val="continuous"/>
        </w:sect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ordinary shares as of March 15, 2024 by all persons who are known to us to be the beneficial owners of 5% or more of our issued share capital.</w:t>
      </w:r>
    </w:p>
    <w:p>
      <w:pPr>
        <w:spacing w:after="0" w:line="15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2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Ordinary shares beneficially</w:t>
            </w:r>
          </w:p>
        </w:tc>
        <w:tc>
          <w:tcPr>
            <w:tcW w:w="0" w:type="dxa"/>
            <w:vAlign w:val="bottom"/>
          </w:tcPr>
          <w:p>
            <w:pPr>
              <w:spacing w:after="0"/>
              <w:rPr>
                <w:sz w:val="1"/>
                <w:szCs w:val="1"/>
                <w:color w:val="auto"/>
              </w:rPr>
            </w:pPr>
          </w:p>
        </w:tc>
      </w:tr>
      <w:tr>
        <w:trPr>
          <w:trHeight w:val="168"/>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tcBorders>
              <w:bottom w:val="single" w:sz="8" w:color="auto"/>
            </w:tcBorders>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w w:val="99"/>
              </w:rPr>
              <w:t xml:space="preserve">owned </w:t>
            </w:r>
            <w:r>
              <w:rPr>
                <w:rFonts w:ascii="Times New Roman" w:cs="Times New Roman" w:eastAsia="Times New Roman" w:hAnsi="Times New Roman"/>
                <w:sz w:val="10"/>
                <w:szCs w:val="10"/>
                <w:b w:val="1"/>
                <w:bCs w:val="1"/>
                <w:color w:val="auto"/>
                <w:w w:val="99"/>
              </w:rPr>
              <w:t>(1)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820" w:type="dxa"/>
            <w:vAlign w:val="bottom"/>
            <w:gridSpan w:val="2"/>
            <w:vMerge w:val="continue"/>
          </w:tcPr>
          <w:p>
            <w:pPr>
              <w:spacing w:after="0"/>
              <w:rPr>
                <w:sz w:val="10"/>
                <w:szCs w:val="10"/>
                <w:color w:val="auto"/>
              </w:rPr>
            </w:pPr>
          </w:p>
        </w:tc>
        <w:tc>
          <w:tcPr>
            <w:tcW w:w="1640" w:type="dxa"/>
            <w:vAlign w:val="bottom"/>
            <w:gridSpan w:val="2"/>
          </w:tcPr>
          <w:p>
            <w:pPr>
              <w:ind w:left="300"/>
              <w:spacing w:after="0" w:line="124"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right"/>
              <w:ind w:right="117"/>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 xml:space="preserve">Lawrence Yau Lung Ho </w:t>
            </w:r>
            <w:r>
              <w:rPr>
                <w:rFonts w:ascii="Times New Roman" w:cs="Times New Roman" w:eastAsia="Times New Roman" w:hAnsi="Times New Roman"/>
                <w:sz w:val="22"/>
                <w:szCs w:val="22"/>
                <w:color w:val="auto"/>
                <w:vertAlign w:val="superscript"/>
              </w:rPr>
              <w:t>(2)(3)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707,809,770</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ARGA Investment Management, LP, et al.</w:t>
            </w:r>
            <w:r>
              <w:rPr>
                <w:rFonts w:ascii="Times New Roman" w:cs="Times New Roman" w:eastAsia="Times New Roman" w:hAnsi="Times New Roman"/>
                <w:sz w:val="24"/>
                <w:szCs w:val="24"/>
                <w:color w:val="auto"/>
                <w:vertAlign w:val="superscript"/>
              </w:rPr>
              <w:t>(4)</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86,275,437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6.49</w:t>
            </w: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EuroPacific Growth Fund</w:t>
            </w:r>
            <w:r>
              <w:rPr>
                <w:rFonts w:ascii="Times New Roman" w:cs="Times New Roman" w:eastAsia="Times New Roman" w:hAnsi="Times New Roman"/>
                <w:sz w:val="24"/>
                <w:szCs w:val="24"/>
                <w:color w:val="auto"/>
                <w:vertAlign w:val="superscript"/>
              </w:rPr>
              <w:t>(5)</w:t>
            </w: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81,804,750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20" w:right="20" w:hanging="428"/>
        <w:spacing w:after="0" w:line="295" w:lineRule="auto"/>
        <w:tabs>
          <w:tab w:leader="none" w:pos="7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Rule 13d-3 under the Exchange Act, and includes voting or investment power with respect to the securities.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920"/>
          </w:cols>
          <w:pgMar w:left="320" w:top="472" w:right="65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720" w:right="40" w:hanging="428"/>
        <w:spacing w:after="0" w:line="276" w:lineRule="auto"/>
        <w:tabs>
          <w:tab w:leader="none" w:pos="7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Melco Leisure is c/o 38th Floor, The Centrium, 60 Wyndham Street, Central, Hong Kong. The address of Mr. Lawrence Ho and Melco International is 38th Floor, The Centrium, 60 Wyndham Street, Central, Hong Kong. Melco International is listed on the Main Board of the HKSE.</w:t>
      </w:r>
    </w:p>
    <w:p>
      <w:pPr>
        <w:spacing w:after="0" w:line="70" w:lineRule="exact"/>
        <w:rPr>
          <w:rFonts w:ascii="Times New Roman" w:cs="Times New Roman" w:eastAsia="Times New Roman" w:hAnsi="Times New Roman"/>
          <w:sz w:val="17"/>
          <w:szCs w:val="17"/>
          <w:color w:val="auto"/>
        </w:rPr>
      </w:pPr>
    </w:p>
    <w:p>
      <w:pPr>
        <w:ind w:left="720" w:right="20" w:hanging="428"/>
        <w:spacing w:after="0" w:line="258" w:lineRule="auto"/>
        <w:tabs>
          <w:tab w:leader="none" w:pos="7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(i) 9,934,422 ordinary shares held by Black Spade Capital Limited, which in turn is held by companies owned by a trust associated with Mr. Lawrence Ho; (ii) 7,204,965 ordinary shares personally held by Mr. Lawrence Ho (among which, 6,303,360 are vested restricted shares under the 2011 Share Incentive Plan and the 2021 Share Incentive Plan held by Mr. Lawrence Ho as of March 15, 2024); (iii) 3,309,477 restricted shares that will vest from 60 days of March 15, 2024 held by Mr. Lawrence Ho; and (iv) 687,360,906 ordinary shares owned of record by Melco Leisure. Melco Leisure is a wholly-owned subsidiary of Melco International. As of March 15, 2024, Mr. Lawrence Ho, our chairman, chief executive officer and director as well as the chairman, chief executive officer and executive director of Melco International, personally holds 8,000,000 ordinary shares of Melco International, representing approximately 0.5% of the total issued shares of Melco International. In addition, Mr. Ho is deemed to be interested in the 301,368,606 ordinary shares of Melco International held by Better Joy Overseas Ltd., 122,243,024 ordinary shares of Melco International held by Lasting Legend Ltd., 53,491,345 ordinary shares of Melco International held by Mighty Dragon Developments Limited, 91,445,132 ordinary shares of Melco International held by Black Spade Capital Limited and 1,566,000 ordinary shares of Melco International held by Maple Peak Investments Inc., representing approximately 19.9%, 8.1%, 3.5%, 6.0% and 0.1% of the total issued shares of Melco International, all of which are companies owned or controlled by the persons and/or trusts associated with Mr. Ho. In addition, Mr. Ho is also deemed to have interests in the 312,666,187 ordinary shares of Melco International held by L3G Holdings Inc., representing 20.6% of the total issued shares of Melco International. L3G Holdings Inc. is a company controlled by a discretionary family trust, the beneficiaries of which include Mr. Ho and his immediate family members. Moreover, Ms. Lo Sau Yan, Sharen, the spouse of Mr. Ho, personally holds 4,212,102 ordinary shares of Melco International, representing 0.30% of the total issued shares of Melco International. Therefore, we believe that Mr. Ho holds an aggregate of 894,992,396 ordinary shares of Melco International, representing approximately 59.01% of the total issued shares of Melco International, including his personal interest, interests of the companies which are owned or controlled by the persons and/or trusts associated with him, interest of his spouse and interest of a trust in which he is one of the beneficiaries and is taken to have interest under the Securities and Futures Ordinance (Chapter 571, the Laws of Hong Kong). As of March 15, 2024, 667,360,904 of the ordinary shares owned of record by Melco Leisure have been pledged in connection with a US$1 billion, 5-year credit facility entered into in June 2021 by, among others, Melco International and Melco Leisure.</w:t>
      </w:r>
    </w:p>
    <w:p>
      <w:pPr>
        <w:spacing w:after="0" w:line="304" w:lineRule="exact"/>
        <w:rPr>
          <w:rFonts w:ascii="Times New Roman" w:cs="Times New Roman" w:eastAsia="Times New Roman" w:hAnsi="Times New Roman"/>
          <w:sz w:val="17"/>
          <w:szCs w:val="17"/>
          <w:color w:val="auto"/>
        </w:rPr>
      </w:pPr>
    </w:p>
    <w:p>
      <w:pPr>
        <w:ind w:left="720" w:right="40" w:hanging="428"/>
        <w:spacing w:after="0" w:line="266" w:lineRule="auto"/>
        <w:tabs>
          <w:tab w:leader="none" w:pos="7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ARGA Investment Management, LP reports shared voting power and shared dispositive power with respect to 86,275,437 ordinary shares of the Company represented by ADSs with Avula Rama Krishna. The addresses of ARGA Investment Management, LP and Avula Rama Krishna are 1010 Washington Blvd., 6th Fl., Stamford, CT 06901333, and c/o ARGA Investment Management, LP, 1010 Washington Blvd., 6th Fl., Stamford, CT 06901, respectively. Information regarding beneficial ownership is based on the information contained in the Schedule 13G filed by ARGA Investment Management, LP and Avula Rama Krishna with the SEC on February 9, 2023.</w:t>
      </w:r>
    </w:p>
    <w:p>
      <w:pPr>
        <w:spacing w:after="0" w:line="79" w:lineRule="exact"/>
        <w:rPr>
          <w:rFonts w:ascii="Times New Roman" w:cs="Times New Roman" w:eastAsia="Times New Roman" w:hAnsi="Times New Roman"/>
          <w:sz w:val="17"/>
          <w:szCs w:val="17"/>
          <w:color w:val="auto"/>
        </w:rPr>
      </w:pPr>
    </w:p>
    <w:p>
      <w:pPr>
        <w:ind w:left="720" w:hanging="428"/>
        <w:spacing w:after="0" w:line="269" w:lineRule="auto"/>
        <w:tabs>
          <w:tab w:leader="none" w:pos="7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81,804,750 ordinary shares represented by ADSs. The address of EuroPacific Growth Fund is 333 South Hope Street Los Angeles, California 90071. Information regarding beneficial ownership is based on the information contained in the Schedule 13G filed by EuroPacific Growth Fund with the SEC on February 14, 2019. According to information reported therein, the 81,804,750 ordinary shares may also be reflected in a filing made by Capital Research Global Investors, Capital International Investors, and/or Capital World Investors.</w:t>
      </w:r>
    </w:p>
    <w:p>
      <w:pPr>
        <w:spacing w:after="0" w:line="169" w:lineRule="exact"/>
        <w:rPr>
          <w:sz w:val="20"/>
          <w:szCs w:val="20"/>
          <w:color w:val="auto"/>
        </w:rPr>
      </w:pPr>
    </w:p>
    <w:p>
      <w:pPr>
        <w:ind w:left="300" w:right="360" w:firstLine="960"/>
        <w:spacing w:after="0" w:line="276" w:lineRule="auto"/>
        <w:rPr>
          <w:sz w:val="20"/>
          <w:szCs w:val="20"/>
          <w:color w:val="auto"/>
        </w:rPr>
      </w:pPr>
      <w:r>
        <w:rPr>
          <w:rFonts w:ascii="Times New Roman" w:cs="Times New Roman" w:eastAsia="Times New Roman" w:hAnsi="Times New Roman"/>
          <w:sz w:val="17"/>
          <w:szCs w:val="17"/>
          <w:color w:val="auto"/>
        </w:rPr>
        <w:t>Other than as provided in the table above, reports filed with or furnished to the SEC, public disclosure, including without limitation Schedule 13 filings, and this Annual Report, we are not aware of any significant change in the percentage ownership held by any major shareholder since January 1, 2021.</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0940"/>
          </w:cols>
          <w:pgMar w:left="320" w:top="473" w:right="6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As of December 31, 2023, a total of 1,329,679,067 ordinary shares were outstanding, of which 634,216,184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4. Information on the Company — C. Organizational Structure” for our current corporate structure.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25"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For discussion of significant related party transactions we entered into during the years ended December 31, 2023, 2022 and 2021, see note 22 to the consolidated financial statements included elsewhere in this annual report.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We have entered into employment agreements with key management and personnel of our Company and our subsidiaries. See “Item 6. Directors, Senior Management and Employees — C. Board Practices — Employment Agreements.”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6. Directors, Senior Management and Employees — B. Compensation of Directors and Executive Officers.”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Facility Agreement</w:t>
      </w:r>
    </w:p>
    <w:p>
      <w:pPr>
        <w:spacing w:after="0" w:line="120"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On March 28, 2022, the Company entered into a facility agreement (the “Facility Agreement”) with Melco International pursuant to which a US$250.0 million revolving loan facility was granted by the Company as lender to Melco International as borrower for a period of 12 months after the first utilization date (the last day of such period being the “Final Repayment Date”). Melco International may request for utilization of all or part of the loan from the date of the Facility Agreement until one month prior to the Final Repayment Date for general corporate purposes of Melco International and its subsidiaries (excluding the Company and its subsidiaries). Principal amounts outstanding under the Facility Agreement bear interest at an annual rate of 11.0%, with outstanding principal amounts and accrued interest payable by Melco International on the Final Repayment Date. The entry into the Facility Agreement was approved by the audit and risk committee of the board of directors of the Company. A draw down by Melco International in the amount of US$200 million was utilized on April 7, 2022 and repaid in January 2023 and, following the settlement of all other amounts due thereunder by Melco International to the Company, the Facility Agreement was terminated in March 2023.</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Melco Leisure Share Repurchases</w:t>
      </w:r>
    </w:p>
    <w:p>
      <w:pPr>
        <w:spacing w:after="0" w:line="120"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In August 2022, we repurchased 9,995,799 ordinary shares and 25,000,000 ADSs from Melco Leisure for an aggregate purchase price of approximately US$152.7 million under a share repurchase agreement entered into by the Company with Melco International and Melco Leisure in August 2022.</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0960"/>
          </w:cols>
          <w:pgMar w:left="320" w:top="472" w:right="6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520" w:firstLine="960"/>
        <w:spacing w:after="0" w:line="295" w:lineRule="auto"/>
        <w:rPr>
          <w:sz w:val="20"/>
          <w:szCs w:val="20"/>
          <w:color w:val="auto"/>
        </w:rPr>
      </w:pPr>
      <w:r>
        <w:rPr>
          <w:rFonts w:ascii="Times New Roman" w:cs="Times New Roman" w:eastAsia="Times New Roman" w:hAnsi="Times New Roman"/>
          <w:sz w:val="17"/>
          <w:szCs w:val="17"/>
          <w:color w:val="auto"/>
        </w:rPr>
        <w:t>In March 2023, we repurchased 40,373,076 ordinary shares from Melco Leisure for an aggregate purchase price of approximately US$169.8 million under a share repurchase agreement entered into by the Company with Melco International and Melco Leisure in March 2023.</w:t>
      </w: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320" w:top="473" w:right="679" w:bottom="1440" w:gutter="0" w:footer="0" w:header="0"/>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00" w:lineRule="exact"/>
        <w:rPr>
          <w:sz w:val="20"/>
          <w:szCs w:val="20"/>
          <w:color w:val="auto"/>
        </w:rPr>
      </w:pPr>
    </w:p>
    <w:p>
      <w:pPr>
        <w:spacing w:after="0" w:line="2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200" w:lineRule="exact"/>
        <w:rPr>
          <w:sz w:val="20"/>
          <w:szCs w:val="20"/>
          <w:color w:val="auto"/>
        </w:rPr>
      </w:pPr>
    </w:p>
    <w:p>
      <w:pPr>
        <w:sectPr>
          <w:pgSz w:w="11900" w:h="16838" w:orient="portrait"/>
          <w:cols w:equalWidth="0" w:num="2">
            <w:col w:w="920" w:space="440"/>
            <w:col w:w="9540"/>
          </w:cols>
          <w:pgMar w:left="320" w:top="473" w:right="679" w:bottom="1440" w:gutter="0" w:footer="0" w:header="0"/>
          <w:type w:val="continuous"/>
        </w:sectPr>
      </w:pP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ectPr>
          <w:pgSz w:w="11900" w:h="16838" w:orient="portrait"/>
          <w:cols w:equalWidth="0" w:num="1">
            <w:col w:w="10900"/>
          </w:cols>
          <w:pgMar w:left="320" w:top="473" w:right="679" w:bottom="1440" w:gutter="0" w:footer="0" w:header="0"/>
          <w:type w:val="continuous"/>
        </w:sectPr>
      </w:pP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Legal and Administrative Proceedings</w:t>
      </w:r>
    </w:p>
    <w:p>
      <w:pPr>
        <w:spacing w:after="0" w:line="225" w:lineRule="exact"/>
        <w:rPr>
          <w:sz w:val="20"/>
          <w:szCs w:val="20"/>
          <w:color w:val="auto"/>
        </w:rPr>
      </w:pPr>
    </w:p>
    <w:p>
      <w:pPr>
        <w:jc w:val="both"/>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We are currently a party to certain legal and administrative proceedings, investigations and claims, which relate to matters arising out of the ordinary course of our business. Based on the current status of such proceedings and the information currently available, our management does not believe that the outcome of such proceedings may have, or have had in the recent past, significant effects on our business, financial condition or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5"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On May 14, 2020, we announced the suspension of the Company’s quarterly dividend program to preserve liquidity in light of the COVID-19 outbreaks and to continue investing in our business. Our board will continue to review from time to time our dividend policy as part of our commitment to maximizing shareholder value, taking into consideration our financial performance and market conditions.</w:t>
      </w:r>
    </w:p>
    <w:p>
      <w:pPr>
        <w:spacing w:after="0" w:line="16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dollars for holders of ordinary shares and U.S. dollars for holders of our ADSs.</w:t>
      </w:r>
    </w:p>
    <w:p>
      <w:pPr>
        <w:spacing w:after="0" w:line="169"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Subsidiaries incorporated in Macau are required to set aside a minimum between 10% to 25% of the entity’s profit after tax to the legal reserve until the balance of the legal reserve reaches a level equivalent to between 25% to 50% of the entity’s share capital in accordance with the provisions of the Macau Commercial Code. The legal reserve is not available for distribution to the shareholders of the subsidiaries. The appropriation of legal reserve is recorded in the subsidiaries’ financial statements in the year in which it is approved by the boards of directors or administration of the relevant subsidiaries.</w:t>
      </w:r>
    </w:p>
    <w:p>
      <w:pPr>
        <w:spacing w:after="0" w:line="171"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2015 Credit Facilities, Studio City Notes, 2028 Studio City Senior Secured Credit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0900"/>
          </w:cols>
          <w:pgMar w:left="320" w:top="473" w:right="67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Under the Companies Act (as amended) of the Cayman Islands, subject to the provisions of our amended and restated memorandum and articles of association adopted on March 29, 2017,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SIGNIFICANT CHANGES</w:t>
      </w:r>
    </w:p>
    <w:p>
      <w:pPr>
        <w:spacing w:after="0" w:line="225" w:lineRule="exact"/>
        <w:rPr>
          <w:sz w:val="20"/>
          <w:szCs w:val="20"/>
          <w:color w:val="auto"/>
        </w:rPr>
      </w:pPr>
    </w:p>
    <w:p>
      <w:pPr>
        <w:ind w:left="300" w:right="660" w:firstLine="960"/>
        <w:spacing w:after="0" w:line="295"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 except for Item 9.A.4 and Item 9.C.</w:t>
      </w:r>
    </w:p>
    <w:p>
      <w:pPr>
        <w:spacing w:after="0" w:line="22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313"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MEMORANDUM AND ARTICLES OF ASSOCIATION</w:t>
      </w:r>
    </w:p>
    <w:p>
      <w:pPr>
        <w:spacing w:after="0" w:line="120" w:lineRule="exact"/>
        <w:rPr>
          <w:sz w:val="20"/>
          <w:szCs w:val="20"/>
          <w:color w:val="auto"/>
        </w:rPr>
      </w:pPr>
    </w:p>
    <w:p>
      <w:pPr>
        <w:ind w:left="300" w:right="120" w:firstLine="960"/>
        <w:spacing w:after="0" w:line="268" w:lineRule="auto"/>
        <w:rPr>
          <w:sz w:val="20"/>
          <w:szCs w:val="20"/>
          <w:color w:val="auto"/>
        </w:rPr>
      </w:pPr>
      <w:r>
        <w:rPr>
          <w:rFonts w:ascii="Times New Roman" w:cs="Times New Roman" w:eastAsia="Times New Roman" w:hAnsi="Times New Roman"/>
          <w:sz w:val="17"/>
          <w:szCs w:val="17"/>
          <w:color w:val="auto"/>
        </w:rPr>
        <w:t>We are incorporated in the Cayman Islands as an exempted company with limited liability, are registered with the Cayman Islands Registrar of Companies and have been assigned registration number 143119. Article 3 of our amended and restated memorandum of association provides that the objects for which our Company was established are unrestricted and the Company shall have full power and authority to carry out any object not prohibited by any law as provided by Section 7(4) of the Companies Act (as amended) of the Cayman Islands (hereinafter the “Companies Act”).</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are incorporated in the Cayman Islands because of certain benefits associated with being a Cayman Islands exempted company, such</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w:t>
      </w:r>
    </w:p>
    <w:p>
      <w:pPr>
        <w:spacing w:after="0" w:line="113" w:lineRule="exact"/>
        <w:rPr>
          <w:sz w:val="20"/>
          <w:szCs w:val="20"/>
          <w:color w:val="auto"/>
        </w:rPr>
      </w:pPr>
    </w:p>
    <w:p>
      <w:pPr>
        <w:ind w:left="1240" w:hanging="530"/>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stability;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effective judicial system;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favorable tax system;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exchange control or currency restrictions;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professional and support services.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0960"/>
          </w:cols>
          <w:pgMar w:left="320" w:top="473" w:right="6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However, certain disadvantages accompany incorporation in the Cayman Islands. For example, the Cayman Islands has a less developed body of securities laws as compared to the United States and provides fewer protections to investors.</w:t>
      </w:r>
    </w:p>
    <w:p>
      <w:pPr>
        <w:spacing w:after="0" w:line="147"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Virtually all of our assets are located outside of the United States. All of our current operations, and administrative and corporate functions are conducted in Macau, Hong Kong, Singapore, the Philippines and Cyprus. In addition, substantially all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could be more difficult to enforce liabilities and judgments on those individuals. For the same reasons, it may also be difficult for you to enforce in the Cayman Islands, Macau, Hong Kong, Singapore, the Philippines, Cyprus or Japan courts judgments obtained in U.S. courts based on the civil liability provisions of the U.S. federal securities laws against our Company and our officers and directors, most of whom are not residents in the United States and the substantial portion of whose assets are located outside of the United States.</w:t>
      </w:r>
    </w:p>
    <w:p>
      <w:pPr>
        <w:spacing w:after="0" w:line="174"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Singapore, the Philippines, Cyprus or Japan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0940"/>
          </w:cols>
          <w:pgMar w:left="320" w:top="473" w:right="6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340"/>
        <w:spacing w:after="0" w:line="295" w:lineRule="auto"/>
        <w:rPr>
          <w:sz w:val="20"/>
          <w:szCs w:val="20"/>
          <w:color w:val="auto"/>
        </w:rPr>
      </w:pPr>
      <w:r>
        <w:rPr>
          <w:rFonts w:ascii="Times New Roman" w:cs="Times New Roman" w:eastAsia="Times New Roman" w:hAnsi="Times New Roman"/>
          <w:sz w:val="17"/>
          <w:szCs w:val="17"/>
          <w:color w:val="auto"/>
        </w:rPr>
        <w:t>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47" w:lineRule="exact"/>
        <w:rPr>
          <w:sz w:val="20"/>
          <w:szCs w:val="20"/>
          <w:color w:val="auto"/>
        </w:rPr>
      </w:pPr>
    </w:p>
    <w:p>
      <w:pPr>
        <w:jc w:val="both"/>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Furthermore, it is uncertain whether such Cayman Islands, Macau, Hong Kong, Singapore, Philippines, Cyprus or Japan courts would be competent to hear original actions brought in the Cayman Islands, Macau, Hong Kong, Singapore, the Philippines, Cyprus or Japan against us or such persons predicated upon the securities laws of the United States or any state. See “Item 3. Key Information — D Risk Factors — Risks Relating to Our Shares and ADSs — You may have difficulty enforcing judgments obtained against us.”</w:t>
      </w:r>
    </w:p>
    <w:p>
      <w:pPr>
        <w:spacing w:after="0" w:line="169"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The following are summaries of material provisions of our memorandum and articles of association and the Companies Act, insofar as they relate to the material terms of our ordinary shares.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3 of our memorandum of association, the objects for which we were established are unrestricted and we have full power and authority to carry out any object not prohibited by any law as provided by Section 7(4) of the Companies Act.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2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holders of our ordinary shares are entitled to such dividends as may be declared by our board of directors subject to the Companies Act and our articles of association. Our articles of association do not provide a time limit after which a shareholder’s entitlement to an unclaimed dividend lapses.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2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Directors of our Company may be appointed either by an ordinary resolution of the shareholders or by the affirmative vote of all directors. Each director holds office until (i) the expiry of his or her term and until a successor has been elected or appointed, or (ii) until the director’s office is vacated by way of resignation, death, prolonged absence, bankruptcy, disqualification by applicable law, removal by a majority of the directors or removal by the shareholders by special resolution. Our articles of association do not require directors to stand for reelection at staggered intervals.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20"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of the paid up voting share capital of our Company.</w:t>
      </w:r>
    </w:p>
    <w:p>
      <w:pPr>
        <w:spacing w:after="0" w:line="162" w:lineRule="exact"/>
        <w:rPr>
          <w:sz w:val="20"/>
          <w:szCs w:val="20"/>
          <w:color w:val="auto"/>
        </w:rPr>
      </w:pPr>
    </w:p>
    <w:p>
      <w:pPr>
        <w:jc w:val="both"/>
        <w:ind w:left="300" w:firstLine="960"/>
        <w:spacing w:after="0" w:line="266"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by our board on its own initiative or upon a request to the directors by shareholders holding in aggregate at least ten percent of our paid-up capital which as at the date of deposit of the requisition carries the right of voting at such meetings. Advance notice of at least seven days is required for the convening of our annual general meeting and other shareholders meetings.</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0920"/>
          </w:cols>
          <w:pgMar w:left="320" w:top="473" w:right="6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Transfer of Ordinary Shares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Subject to the restrictions of our articles of association, as applicable, any of our shareholders may transfer all or any of his or her ordinary shares by an instrument of transfer in the usual or common form or any other form approved by our board.</w:t>
      </w:r>
    </w:p>
    <w:p>
      <w:pPr>
        <w:spacing w:after="0" w:line="147"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Our board may, in its absolute discretion, decline to register any transfer of any ordinary share which is not fully paid up or on which we have a lien. Our directors may also decline to register any transfer of any ordinary share unless:</w:t>
      </w:r>
    </w:p>
    <w:p>
      <w:pPr>
        <w:spacing w:after="0" w:line="55" w:lineRule="exact"/>
        <w:rPr>
          <w:sz w:val="20"/>
          <w:szCs w:val="20"/>
          <w:color w:val="auto"/>
        </w:rPr>
      </w:pPr>
    </w:p>
    <w:p>
      <w:pPr>
        <w:ind w:left="1240" w:right="460" w:hanging="530"/>
        <w:spacing w:after="0" w:line="295" w:lineRule="auto"/>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ordinary shares to which it relates, and such other evidence as our board may reasonably require to show the right of the transferor to make the transfer;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ordinary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 or</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ordinary share is to be transferred does not exceed four.</w:t>
      </w:r>
    </w:p>
    <w:p>
      <w:pPr>
        <w:spacing w:after="0" w:line="223" w:lineRule="exact"/>
        <w:rPr>
          <w:sz w:val="20"/>
          <w:szCs w:val="20"/>
          <w:color w:val="auto"/>
        </w:rPr>
      </w:pPr>
    </w:p>
    <w:p>
      <w:pPr>
        <w:ind w:left="300" w:right="60" w:firstLine="960"/>
        <w:spacing w:after="0" w:line="268" w:lineRule="auto"/>
        <w:rPr>
          <w:sz w:val="20"/>
          <w:szCs w:val="20"/>
          <w:color w:val="auto"/>
        </w:rPr>
      </w:pPr>
      <w:r>
        <w:rPr>
          <w:rFonts w:ascii="Times New Roman" w:cs="Times New Roman" w:eastAsia="Times New Roman" w:hAnsi="Times New Roman"/>
          <w:sz w:val="17"/>
          <w:szCs w:val="17"/>
          <w:color w:val="auto"/>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20" w:lineRule="exact"/>
        <w:rPr>
          <w:sz w:val="20"/>
          <w:szCs w:val="20"/>
          <w:color w:val="auto"/>
        </w:rPr>
      </w:pPr>
    </w:p>
    <w:p>
      <w:pPr>
        <w:ind w:left="300" w:right="60" w:firstLine="960"/>
        <w:spacing w:after="0" w:line="273" w:lineRule="auto"/>
        <w:rPr>
          <w:sz w:val="20"/>
          <w:szCs w:val="20"/>
          <w:color w:val="auto"/>
        </w:rPr>
      </w:pPr>
      <w:r>
        <w:rPr>
          <w:rFonts w:ascii="Times New Roman" w:cs="Times New Roman" w:eastAsia="Times New Roman" w:hAnsi="Times New Roman"/>
          <w:sz w:val="17"/>
          <w:szCs w:val="17"/>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Calls on Ordinary Shares and Forfeiture of Ordinary Shares</w:t>
      </w:r>
    </w:p>
    <w:p>
      <w:pPr>
        <w:spacing w:after="0" w:line="12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Ordinary Shares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Subject to the provisions of the Companies Act, we may issue shares on terms that are subject to redemption, at our option or at the option of the holders, on such terms and in such manner as the directors may determine.</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0920"/>
          </w:cols>
          <w:pgMar w:left="320" w:top="472" w:right="6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Prohibitions on the Receipt of Dividends, the Exercise of Voting or Other Rights or the Receipt of Other Remuneration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prohibit anyone who is an unsuitable person or an affiliate of an unsuitable person from:</w:t>
      </w:r>
    </w:p>
    <w:p>
      <w:pPr>
        <w:spacing w:after="0" w:line="131" w:lineRule="exact"/>
        <w:rPr>
          <w:sz w:val="20"/>
          <w:szCs w:val="20"/>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dividends or interest with regard to our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voting or other rights conferred by our shares;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any remuneration in any form from us or an affiliated company for services rendered or otherwise.</w:t>
      </w:r>
    </w:p>
    <w:p>
      <w:pPr>
        <w:spacing w:after="0" w:line="22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7"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terms “affiliated companies,” “gaming authority” and “person” have the meanings set forth in our articles of association.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Securities Owned or Controlled by an Unsuitable Person or an Affiliate</w:t>
      </w:r>
    </w:p>
    <w:p>
      <w:pPr>
        <w:spacing w:after="0" w:line="120"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85"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0940"/>
          </w:cols>
          <w:pgMar w:left="320" w:top="473" w:right="6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Variations of Rights of Shares</w:t>
      </w:r>
    </w:p>
    <w:p>
      <w:pPr>
        <w:spacing w:after="0" w:line="120"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All or any of the rights attached to any class of shares may, subject to the provisions of the Companies Act, be varied or abrogated either with the unanimous written consent of the holders of the issued shares of that class or with the sanction of a special resolution passed at a general meeting of the holders of the shares of that class.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Capital</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may from time to time by ordinary resolution:</w:t>
      </w:r>
    </w:p>
    <w:p>
      <w:pPr>
        <w:spacing w:after="0" w:line="131" w:lineRule="exact"/>
        <w:rPr>
          <w:sz w:val="20"/>
          <w:szCs w:val="20"/>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share capital by such sum, to be divided into shares of such classes and amount, as the resolution may prescribe;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our share capital into shares of a larger amount than our existing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our paid-up shares into stock and reconvert that stock into paid-up shares of any denomination;</w:t>
      </w:r>
    </w:p>
    <w:p>
      <w:pPr>
        <w:spacing w:after="0" w:line="131"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70"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our share capital by the amount of the shares so canceled.</w:t>
      </w:r>
    </w:p>
    <w:p>
      <w:pPr>
        <w:spacing w:after="0" w:line="14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by special resolution reduce our share capital and any capital redemption reserve in any manner authorized by law.</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Accounts and Audit</w:t>
      </w:r>
    </w:p>
    <w:p>
      <w:pPr>
        <w:spacing w:after="0" w:line="120"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No shareholder (other than a director) has any right to inspect any of our accounting records, or books or documents except as conferred by law or authorized by our board or our Company by ordinary resolution of the shareholders.</w:t>
      </w:r>
    </w:p>
    <w:p>
      <w:pPr>
        <w:spacing w:after="0" w:line="147"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920"/>
          </w:cols>
          <w:pgMar w:left="320" w:top="472" w:right="6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Exempted Company</w:t>
      </w:r>
    </w:p>
    <w:p>
      <w:pPr>
        <w:spacing w:after="0" w:line="120"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78" w:lineRule="exact"/>
        <w:rPr>
          <w:sz w:val="20"/>
          <w:szCs w:val="20"/>
          <w:color w:val="auto"/>
        </w:rPr>
      </w:pPr>
    </w:p>
    <w:p>
      <w:pPr>
        <w:ind w:left="1240" w:right="2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reporting requirements are minimal and consist mainly of a statement that the company has conducted its operations mainly outside of the Cayman Islands and has complied with the provisions of the Companies Act;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members is not open to inspection;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general meeting;</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no par value;</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20 years in the first instance);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limited duration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segregated portfolio company.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Differences in Corporate Law</w:t>
      </w:r>
    </w:p>
    <w:p>
      <w:pPr>
        <w:spacing w:after="0" w:line="120"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p>
    <w:p>
      <w:pPr>
        <w:spacing w:after="0" w:line="122" w:lineRule="exact"/>
        <w:rPr>
          <w:sz w:val="20"/>
          <w:szCs w:val="20"/>
          <w:color w:val="auto"/>
        </w:rPr>
      </w:pPr>
    </w:p>
    <w:p>
      <w:pPr>
        <w:ind w:left="300" w:right="1120" w:firstLine="960"/>
        <w:spacing w:after="0" w:line="295" w:lineRule="auto"/>
        <w:rPr>
          <w:sz w:val="20"/>
          <w:szCs w:val="20"/>
          <w:color w:val="auto"/>
        </w:rPr>
      </w:pPr>
      <w:r>
        <w:rPr>
          <w:rFonts w:ascii="Times New Roman" w:cs="Times New Roman" w:eastAsia="Times New Roman" w:hAnsi="Times New Roman"/>
          <w:sz w:val="17"/>
          <w:szCs w:val="17"/>
          <w:color w:val="auto"/>
        </w:rPr>
        <w:t>The Companies Act permits mergers and consolidations between Cayman Islands companies and between Cayman Islands companies and non-Cayman Islands companies. For these purposes:</w:t>
      </w:r>
    </w:p>
    <w:p>
      <w:pPr>
        <w:spacing w:after="0" w:line="55" w:lineRule="exact"/>
        <w:rPr>
          <w:sz w:val="20"/>
          <w:szCs w:val="20"/>
          <w:color w:val="auto"/>
        </w:rPr>
      </w:pPr>
    </w:p>
    <w:p>
      <w:pPr>
        <w:ind w:left="1240" w:right="40" w:hanging="530"/>
        <w:spacing w:after="0" w:line="295"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means the merging of two or more constituent companies and the vesting of their undertaking, property and liabilities in one of such companies as the surviving company; and</w:t>
      </w:r>
    </w:p>
    <w:p>
      <w:pPr>
        <w:spacing w:after="0" w:line="55" w:lineRule="exact"/>
        <w:rPr>
          <w:rFonts w:ascii="Times New Roman" w:cs="Times New Roman" w:eastAsia="Times New Roman" w:hAnsi="Times New Roman"/>
          <w:sz w:val="17"/>
          <w:szCs w:val="17"/>
          <w:color w:val="auto"/>
        </w:rPr>
      </w:pPr>
    </w:p>
    <w:p>
      <w:pPr>
        <w:ind w:left="1240" w:right="560" w:hanging="530"/>
        <w:spacing w:after="0" w:line="295"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“consolidation” means the combination of two or more constituent companies into a consolidated company and the vesting of the undertaking, property and liabilities of such companies to the consolidated company.</w:t>
      </w:r>
    </w:p>
    <w:p>
      <w:pPr>
        <w:spacing w:after="0" w:line="147" w:lineRule="exact"/>
        <w:rPr>
          <w:sz w:val="20"/>
          <w:szCs w:val="20"/>
          <w:color w:val="auto"/>
        </w:rPr>
      </w:pPr>
    </w:p>
    <w:p>
      <w:pPr>
        <w:ind w:left="300" w:right="800" w:firstLine="960"/>
        <w:spacing w:after="0" w:line="295" w:lineRule="auto"/>
        <w:rPr>
          <w:sz w:val="20"/>
          <w:szCs w:val="20"/>
          <w:color w:val="auto"/>
        </w:rPr>
      </w:pPr>
      <w:r>
        <w:rPr>
          <w:rFonts w:ascii="Times New Roman" w:cs="Times New Roman" w:eastAsia="Times New Roman" w:hAnsi="Times New Roman"/>
          <w:sz w:val="17"/>
          <w:szCs w:val="17"/>
          <w:color w:val="auto"/>
        </w:rPr>
        <w:t>In order to effect a merger or consolidation, the directors of each constituent company must approve a written plan of merger or consolidation, which must then be authorized by:</w:t>
      </w:r>
    </w:p>
    <w:p>
      <w:pPr>
        <w:spacing w:after="0" w:line="55" w:lineRule="exact"/>
        <w:rPr>
          <w:sz w:val="20"/>
          <w:szCs w:val="20"/>
          <w:color w:val="auto"/>
        </w:rPr>
      </w:pPr>
    </w:p>
    <w:p>
      <w:pPr>
        <w:ind w:left="1240" w:hanging="530"/>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resolution of the shareholders of each constituent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authorization, if any, as may be specified in such constituent company’s articles of association.</w:t>
      </w:r>
    </w:p>
    <w:p>
      <w:pPr>
        <w:spacing w:after="0" w:line="223" w:lineRule="exact"/>
        <w:rPr>
          <w:sz w:val="20"/>
          <w:szCs w:val="20"/>
          <w:color w:val="auto"/>
        </w:rPr>
      </w:pPr>
    </w:p>
    <w:p>
      <w:pPr>
        <w:jc w:val="both"/>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0940"/>
          </w:cols>
          <w:pgMar w:left="320" w:top="473" w:right="6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spacing w:after="0" w:line="295" w:lineRule="auto"/>
        <w:rPr>
          <w:sz w:val="20"/>
          <w:szCs w:val="20"/>
          <w:color w:val="auto"/>
        </w:rPr>
      </w:pPr>
      <w:r>
        <w:rPr>
          <w:rFonts w:ascii="Times New Roman" w:cs="Times New Roman" w:eastAsia="Times New Roman" w:hAnsi="Times New Roman"/>
          <w:sz w:val="17"/>
          <w:szCs w:val="17"/>
          <w:color w:val="auto"/>
        </w:rPr>
        <w:t>company to be merged unless that shareholder agrees otherwise. For this purpose, a subsidiary is a company of which at least ninety percent (90%) of the issued shares entitled to vote are owned by the parent company.</w:t>
      </w:r>
    </w:p>
    <w:p>
      <w:pPr>
        <w:spacing w:after="0" w:line="147"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The plan of merger or consolidation must be filed with the Registrar of Companies in the Cayman Islands together with a declaration (amongst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In addition, there are statutory provisions that facilitate compromises or arrangements between a Cayman Islands company and its shareholders (or any class of them). 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w:t>
      </w:r>
    </w:p>
    <w:p>
      <w:pPr>
        <w:spacing w:after="0" w:line="88" w:lineRule="exact"/>
        <w:rPr>
          <w:sz w:val="20"/>
          <w:szCs w:val="20"/>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the directions set down by the Cayman Islands court;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meeting was properly held and the statutory provisions as to the required majority vote have been met;</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 and the statutory majority are acting bona fide without coercion of the minority to promote interests adverse to those of the class;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his/her interest.</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Shareholders’ Suits</w:t>
      </w:r>
    </w:p>
    <w:p>
      <w:pPr>
        <w:spacing w:after="0" w:line="122"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Derivative actions have been brought in the Cayman Islands courts. In most cases, the company will be the proper plaintiff in any claim based on a breach of duty owed to it, and a claim against (for example) the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174</w:t>
      </w:r>
    </w:p>
    <w:p>
      <w:pPr>
        <w:sectPr>
          <w:pgSz w:w="11900" w:h="16838" w:orient="portrait"/>
          <w:cols w:equalWidth="0" w:num="1">
            <w:col w:w="10940"/>
          </w:cols>
          <w:pgMar w:left="320" w:top="473" w:right="6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95" w:lineRule="auto"/>
        <w:rPr>
          <w:sz w:val="20"/>
          <w:szCs w:val="20"/>
          <w:color w:val="auto"/>
        </w:rPr>
      </w:pPr>
      <w:r>
        <w:rPr>
          <w:rFonts w:ascii="Times New Roman" w:cs="Times New Roman" w:eastAsia="Times New Roman" w:hAnsi="Times New Roman"/>
          <w:sz w:val="17"/>
          <w:szCs w:val="17"/>
          <w:color w:val="auto"/>
        </w:rPr>
        <w:t>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55" w:lineRule="exact"/>
        <w:rPr>
          <w:sz w:val="20"/>
          <w:szCs w:val="20"/>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is acting, or proposing to act, illegally or beyond the scope of its authority;</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beyond the scope of the authority, could be effected if duly authorized by more than the number of votes which have actually been obtained; or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22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A shareholder may have a direct right of action against the company where the individual rights of that shareholder have been infringed or are about to be infringed.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4"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5"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 Action by Written Resolution</w:t>
      </w:r>
    </w:p>
    <w:p>
      <w:pPr>
        <w:spacing w:after="0" w:line="122"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175</w:t>
      </w:r>
    </w:p>
    <w:p>
      <w:pPr>
        <w:sectPr>
          <w:pgSz w:w="11900" w:h="16838" w:orient="portrait"/>
          <w:cols w:equalWidth="0" w:num="1">
            <w:col w:w="10960"/>
          </w:cols>
          <w:pgMar w:left="320" w:top="473" w:right="6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pacing w:after="0" w:line="12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permitted under Cayman Islands law, our memorandum and articles of association do not provide for cumulative voting.</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122" w:lineRule="exact"/>
        <w:rPr>
          <w:sz w:val="20"/>
          <w:szCs w:val="20"/>
          <w:color w:val="auto"/>
        </w:rPr>
      </w:pPr>
    </w:p>
    <w:p>
      <w:pPr>
        <w:ind w:left="300" w:right="72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Under our memorandum and articles of association, directors can be removed by special resolution of the shareholders.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Shareholders</w:t>
      </w:r>
    </w:p>
    <w:p>
      <w:pPr>
        <w:spacing w:after="0" w:line="12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390" w:lineRule="exact"/>
        <w:rPr>
          <w:sz w:val="20"/>
          <w:szCs w:val="20"/>
          <w:color w:val="auto"/>
        </w:rPr>
      </w:pPr>
    </w:p>
    <w:p>
      <w:pPr>
        <w:jc w:val="both"/>
        <w:ind w:left="300" w:firstLine="960"/>
        <w:spacing w:after="0" w:line="269" w:lineRule="auto"/>
        <w:rPr>
          <w:sz w:val="20"/>
          <w:szCs w:val="20"/>
          <w:color w:val="auto"/>
        </w:rPr>
      </w:pPr>
      <w:r>
        <w:rPr>
          <w:rFonts w:ascii="Times New Roman" w:cs="Times New Roman" w:eastAsia="Times New Roman" w:hAnsi="Times New Roman"/>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Dissolution and Winding Up</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69" w:lineRule="exact"/>
        <w:rPr>
          <w:sz w:val="20"/>
          <w:szCs w:val="20"/>
          <w:color w:val="auto"/>
        </w:rPr>
      </w:pPr>
    </w:p>
    <w:p>
      <w:pPr>
        <w:jc w:val="both"/>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Under our memorandum and articles of association, a resolution that our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0960"/>
          </w:cols>
          <w:pgMar w:left="320" w:top="473" w:right="6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 of Shares</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47" w:lineRule="exact"/>
        <w:rPr>
          <w:sz w:val="20"/>
          <w:szCs w:val="20"/>
          <w:color w:val="auto"/>
        </w:rPr>
      </w:pPr>
    </w:p>
    <w:p>
      <w:pPr>
        <w:jc w:val="both"/>
        <w:ind w:left="300" w:right="280" w:firstLine="960"/>
        <w:spacing w:after="0" w:line="269" w:lineRule="auto"/>
        <w:rPr>
          <w:sz w:val="20"/>
          <w:szCs w:val="20"/>
          <w:color w:val="auto"/>
        </w:rPr>
      </w:pPr>
      <w:r>
        <w:rPr>
          <w:rFonts w:ascii="Times New Roman" w:cs="Times New Roman" w:eastAsia="Times New Roman" w:hAnsi="Times New Roman"/>
          <w:sz w:val="17"/>
          <w:szCs w:val="17"/>
          <w:color w:val="auto"/>
        </w:rPr>
        <w:t>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Amendment of Governing Documents</w:t>
      </w:r>
    </w:p>
    <w:p>
      <w:pPr>
        <w:spacing w:after="0" w:line="12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may be amended by a special resolution of shareholders.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 and Records</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any shareholder of a corporation may for any proper purpose inspect or make copies of the corporation’s stock ledger, list of shareholders and other books and records.</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Holders of our shares have no general right under Cayman Islands law, nor any right under our memorandum and articles of association, to inspect or obtain copies of our register of members or our corporate records. However, we intend to provide our shareholders with annual reports containing audited financial statements.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Memorandum and Articles of Association</w:t>
      </w:r>
    </w:p>
    <w:p>
      <w:pPr>
        <w:spacing w:after="0" w:line="12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69" w:lineRule="exact"/>
        <w:rPr>
          <w:sz w:val="20"/>
          <w:szCs w:val="20"/>
          <w:color w:val="auto"/>
        </w:rPr>
      </w:pPr>
    </w:p>
    <w:p>
      <w:pPr>
        <w:jc w:val="both"/>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and adversely affected.</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Rights of Non-resident or Foreign Shareholders</w:t>
      </w:r>
    </w:p>
    <w:p>
      <w:pPr>
        <w:spacing w:after="0" w:line="122"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177</w:t>
      </w:r>
    </w:p>
    <w:p>
      <w:pPr>
        <w:sectPr>
          <w:pgSz w:w="11900" w:h="16838" w:orient="portrait"/>
          <w:cols w:equalWidth="0" w:num="1">
            <w:col w:w="10940"/>
          </w:cols>
          <w:pgMar w:left="320" w:top="472" w:right="6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4.</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25"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With regard to our operations in Macau, no foreign exchange controls exist in Macau and Hong Kong and there is a free flow of capital into and out of Macau and Hong Kong. There are no restrictions on remittances of H.K. dollars or any other currency from Macau and Hong Kong to persons not resident in Macau and Hong Kong for the purpose of paying dividends or otherwise. No foreign exchange controls exist in the Cayman Islands.</w:t>
      </w:r>
    </w:p>
    <w:p>
      <w:pPr>
        <w:spacing w:after="0" w:line="169"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With regard to our operations in the Philippines, the Philippines has been liberalizing foreign exchange controls in the country and has adopted a floating exchange rate regime. In any event, the Philippine peso still fluctuates against the H.K. dollar and the U.S. dollar from time to time. Although there are no restrictions or limits on the amounts of the Philippine peso or foreign currency that may be taken in or out of the country, the Bangko Sentral ng Pilipinas (BSP), the Central Bank of the Philippines, imposed a requirement that inward and outward transfers of the Philippine peso in excess of PHP50,000 must be with prior authorization of BSP, while foreign currency in excess of US$10,000 or its equivalent must be declared to the Bureau of Customs Desk at the airport upon arrival or before departure, as the case may be.</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With regard to our operations in Cyprus, no foreign exchange controls exist and there is a free flow of capital into and out of Cyprus. There are no restrictions on remittances of Euros or any other currency from Cyprus to persons not resident in Cyprus for the purpose of paying dividends or otherwise. There are no restrictions on the import or export of local or foreign currency. However, amounts exceeding EUR10,000 (equivalent to approximately US$11,069 in cash (or its equivalent) or in gold must be declared at the Customs and Excise department desk at the airport upon departure, regardless of whether traveling to or from a country inside or outside the European Union.</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1"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 stamp duty is payable in respect of the issue of our ordinary shares or on an instrument of transfer in respect of our ordinary shares.</w:t>
      </w:r>
    </w:p>
    <w:p>
      <w:pPr>
        <w:spacing w:after="0" w:line="1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0920"/>
          </w:cols>
          <w:pgMar w:left="320" w:top="473" w:right="6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United States Federal Income Taxation</w:t>
      </w:r>
    </w:p>
    <w:p>
      <w:pPr>
        <w:spacing w:after="0" w:line="120" w:lineRule="exact"/>
        <w:rPr>
          <w:sz w:val="20"/>
          <w:szCs w:val="20"/>
          <w:color w:val="auto"/>
        </w:rPr>
      </w:pPr>
    </w:p>
    <w:p>
      <w:pPr>
        <w:ind w:left="300" w:right="140" w:firstLine="960"/>
        <w:spacing w:after="0" w:line="262" w:lineRule="auto"/>
        <w:rPr>
          <w:sz w:val="20"/>
          <w:szCs w:val="20"/>
          <w:color w:val="auto"/>
        </w:rPr>
      </w:pPr>
      <w:r>
        <w:rPr>
          <w:rFonts w:ascii="Times New Roman" w:cs="Times New Roman" w:eastAsia="Times New Roman" w:hAnsi="Times New Roman"/>
          <w:sz w:val="17"/>
          <w:szCs w:val="17"/>
          <w:color w:val="auto"/>
        </w:rPr>
        <w:t>The following discussion describes certain material U.S. federal income tax consequences to U.S. Holders (as defined below) under present law of an investment in the ADSs or ordinary shares. The effects of any applicable state or local laws and other U.S. federal tax laws such as estate and gift tax laws, and the impact of the alternative minimum tax and the Medicare contribution tax on net investment income, are not discussed. This discussion applies only to U.S. Holders that hold the ADSs or ordinary shares as capital assets within the meaning of Section 1221 of the United States Internal Revenue Code of 1986, as amended, or the Code (generally, property held for investment), and that have the U.S. dollar as their functional currency. This discussion is based on the Code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75"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following discussion does not address all U.S. federal income tax consequences relevant to a holder’s particular circumstances or to holders subject to particular rules, including:</w:t>
      </w:r>
    </w:p>
    <w:p>
      <w:pPr>
        <w:spacing w:after="0" w:line="55" w:lineRule="exact"/>
        <w:rPr>
          <w:sz w:val="20"/>
          <w:szCs w:val="20"/>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financial institutions;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mark to market;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certain former citizens or long-term residents of the United States;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ADSs or ordinary shares as part of a straddle, hedging, conversion or integrated transaction;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10% or more of our stock by vote or value;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acquired ADSs or ordinary shares pursuant to the exercise of any employee share option or otherwise as compensation;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ADSs or ordinary shares through a permanent establishment or fixed base outside the United States;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pass-through entities, or persons holding ADSs or ordinary shares through such entities; or</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the ADSs under the constructive sale provisions of the Code.</w:t>
      </w:r>
    </w:p>
    <w:p>
      <w:pPr>
        <w:spacing w:after="0" w:line="325" w:lineRule="exact"/>
        <w:rPr>
          <w:sz w:val="20"/>
          <w:szCs w:val="20"/>
          <w:color w:val="auto"/>
        </w:rPr>
      </w:pPr>
    </w:p>
    <w:p>
      <w:pPr>
        <w:jc w:val="both"/>
        <w:ind w:left="300" w:right="120"/>
        <w:spacing w:after="0" w:line="277" w:lineRule="auto"/>
        <w:rPr>
          <w:sz w:val="20"/>
          <w:szCs w:val="20"/>
          <w:color w:val="auto"/>
        </w:rPr>
      </w:pPr>
      <w:r>
        <w:rPr>
          <w:rFonts w:ascii="Times New Roman" w:cs="Times New Roman" w:eastAsia="Times New Roman" w:hAnsi="Times New Roman"/>
          <w:sz w:val="17"/>
          <w:szCs w:val="17"/>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57"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The discussion below of the U.S. federal income tax consequences to “U.S. Holders” will apply to you if you are the beneficial owner of ADSs or ordinary shares and you are, for U.S. federal income tax purposes,</w:t>
      </w:r>
    </w:p>
    <w:p>
      <w:pPr>
        <w:spacing w:after="0" w:line="55" w:lineRule="exact"/>
        <w:rPr>
          <w:sz w:val="20"/>
          <w:szCs w:val="20"/>
          <w:color w:val="auto"/>
        </w:rPr>
      </w:pPr>
    </w:p>
    <w:p>
      <w:pPr>
        <w:ind w:left="1240" w:hanging="530"/>
        <w:spacing w:after="0"/>
        <w:tabs>
          <w:tab w:leader="none" w:pos="1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31" w:lineRule="exact"/>
        <w:rPr>
          <w:rFonts w:ascii="Times New Roman" w:cs="Times New Roman" w:eastAsia="Times New Roman" w:hAnsi="Times New Roman"/>
          <w:sz w:val="17"/>
          <w:szCs w:val="17"/>
          <w:color w:val="auto"/>
        </w:rPr>
      </w:pPr>
    </w:p>
    <w:p>
      <w:pPr>
        <w:ind w:left="5500" w:hanging="4790"/>
        <w:spacing w:after="0" w:line="472" w:lineRule="auto"/>
        <w:tabs>
          <w:tab w:leader="none" w:pos="1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created or organized in the United States or under the laws of the United States, any state thereof or the District of Columbia; 179</w:t>
      </w:r>
    </w:p>
    <w:p>
      <w:pPr>
        <w:sectPr>
          <w:pgSz w:w="11900" w:h="16838" w:orient="portrait"/>
          <w:cols w:equalWidth="0" w:num="1">
            <w:col w:w="10920"/>
          </w:cols>
          <w:pgMar w:left="320" w:top="472" w:right="6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530"/>
        <w:spacing w:after="0"/>
        <w:tabs>
          <w:tab w:leader="none" w:pos="1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31" w:lineRule="exact"/>
        <w:rPr>
          <w:rFonts w:ascii="Times New Roman" w:cs="Times New Roman" w:eastAsia="Times New Roman" w:hAnsi="Times New Roman"/>
          <w:sz w:val="17"/>
          <w:szCs w:val="17"/>
          <w:color w:val="auto"/>
        </w:rPr>
      </w:pPr>
    </w:p>
    <w:p>
      <w:pPr>
        <w:jc w:val="both"/>
        <w:ind w:left="1240" w:right="480" w:hanging="530"/>
        <w:spacing w:after="0" w:line="276" w:lineRule="auto"/>
        <w:tabs>
          <w:tab w:leader="none" w:pos="1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court within the United States and the control of one or more “United States persons” (within the meaning of Section 7701(a)(30) of the Code) or (2) has a valid election in effect under applicable U.S. Treasury regulations to be treated as a United States person for U.S. federal income tax purposes.</w:t>
      </w:r>
    </w:p>
    <w:p>
      <w:pPr>
        <w:spacing w:after="0" w:line="162" w:lineRule="exact"/>
        <w:rPr>
          <w:sz w:val="20"/>
          <w:szCs w:val="20"/>
          <w:color w:val="auto"/>
        </w:rPr>
      </w:pPr>
    </w:p>
    <w:p>
      <w:pPr>
        <w:jc w:val="both"/>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If you are a partner in an entity or arrangement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6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 Accordingly, deposits or withdrawals of ordinary shares for ADSs should not be subject to U.S. federal income tax.</w:t>
      </w:r>
    </w:p>
    <w:p>
      <w:pPr>
        <w:spacing w:after="0" w:line="169"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availability of a reduced tax rate for any dividends received by certain non-corporate U.S. Holders, including individual U.S. Holders (as discussed below), could be affected by actions taken by intermediaries in the chain of ownership between the holders of ADSs and our Company if as a result of such actions the holders of our ADSs are not properly treated as beneficial owners of underlying ordinary shares.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 and Other Distributions on the ADSs or Ordinary Shares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corporations. To the extent the amount of the distribution exceeds our current and accumulated earnings and profits (as determined under U.S. federal income tax principles), it is expected that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74" w:lineRule="exact"/>
        <w:rPr>
          <w:sz w:val="20"/>
          <w:szCs w:val="20"/>
          <w:color w:val="auto"/>
        </w:rPr>
      </w:pPr>
    </w:p>
    <w:p>
      <w:pPr>
        <w:ind w:left="300" w:right="160" w:firstLine="960"/>
        <w:spacing w:after="0" w:line="261" w:lineRule="auto"/>
        <w:rPr>
          <w:sz w:val="20"/>
          <w:szCs w:val="20"/>
          <w:color w:val="auto"/>
        </w:rPr>
      </w:pPr>
      <w:r>
        <w:rPr>
          <w:rFonts w:ascii="Times New Roman" w:cs="Times New Roman" w:eastAsia="Times New Roman" w:hAnsi="Times New Roman"/>
          <w:sz w:val="17"/>
          <w:szCs w:val="17"/>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(3) certain holding period requirements are met, and (4) the U.S. Holder is not under an obligation to make related payments with respect to positions in substantially similar or related property. Although it is not free from doubt, ADSs will generally be considered for purposes of clause (1) above to be readily tradable on an established securities market in the United States if they are listed on the Nasdaq, as are our ADSs. However, there can be no assurance that our ADSs will continue to be readily tradable on an established securities market in later years. Consequently, there can be no assurance that dividends paid on our ADSs will continue to qualify for the reduced tax rates. Our ordinary shares are not currently listed on an established securities market in the United States. You should consult your tax advisors regarding the availability of the lower capital gains rate applicable to qualified dividend income for any dividends paid with respect to our ADSs or ordinary shares.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180</w:t>
      </w:r>
    </w:p>
    <w:p>
      <w:pPr>
        <w:sectPr>
          <w:pgSz w:w="11900" w:h="16838" w:orient="portrait"/>
          <w:cols w:equalWidth="0" w:num="1">
            <w:col w:w="10960"/>
          </w:cols>
          <w:pgMar w:left="320" w:top="473" w:right="6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60" w:lineRule="auto"/>
        <w:rPr>
          <w:sz w:val="20"/>
          <w:szCs w:val="20"/>
          <w:color w:val="auto"/>
        </w:rPr>
      </w:pPr>
      <w:r>
        <w:rPr>
          <w:rFonts w:ascii="Times New Roman" w:cs="Times New Roman" w:eastAsia="Times New Roman" w:hAnsi="Times New Roman"/>
          <w:sz w:val="17"/>
          <w:szCs w:val="17"/>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Pursuant to applicable United States Treasury regulations, if a U.S. Holder may not be able to claim a foreign tax credit arising from any foreign tax imposed on a distribution on our ADSs or ordinary shares, depending on the nature of such foreign tax, although the IRS has provided temporary relief from the application of certain aspects of these regulations until new guidance or regulations are issued. The rules relating to the determination of the foreign tax credit are complex, and you should consult your tax advisor regarding the availability of a U.S. foreign tax credit in your particular circumstances and the potential impact of the applicable United States Treasury regulations and the temporary IRS guidance.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Disposition of ADSs or Ordinary Shares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Subject to the PFIC rules discussed below, you will recognize taxable gain or loss on a disposition of ADSs or ordinary shares equal to the difference between the amount realized or the ADSs or ordinary shares and your tax basis in the ADSs or ordinary shares. The gain or loss generally will be capital gain or loss. If you are a non-corporate U.S. Holder, including an individual U.S. Holder, that has held the ADSs or ordinary shares for more than one year at the time of the taxable disposition,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Based on the market price of our ADSs and ordinary shares, and the composition of our income and assets, we do not believe we were a PFIC for U.S. federal income tax purposes for our taxable year ended December 31, 2023.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80" w:lineRule="exact"/>
        <w:rPr>
          <w:sz w:val="20"/>
          <w:szCs w:val="20"/>
          <w:color w:val="auto"/>
        </w:rPr>
      </w:pPr>
    </w:p>
    <w:p>
      <w:pPr>
        <w:ind w:left="1240" w:hanging="530"/>
        <w:spacing w:after="0"/>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its gross income for such year is passive income (as defined in the relevant provisions of the Code); or</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value of its assets (generally based on a quarterly average) during such year is attributable to assets that produce passive income or are held for the production of passive income.</w:t>
      </w:r>
    </w:p>
    <w:p>
      <w:pPr>
        <w:spacing w:after="0" w:line="147"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For purposes of determining whether we are a PFIC, we will be treated as owning our proportionate share of the assets and earning our proportionate share of the income of any other corporation in which we own, directly or indirectly, more than 25% (by value) of the stock.</w:t>
      </w:r>
    </w:p>
    <w:p>
      <w:pPr>
        <w:spacing w:after="0" w:line="171"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181</w:t>
      </w:r>
    </w:p>
    <w:p>
      <w:pPr>
        <w:sectPr>
          <w:pgSz w:w="11900" w:h="16838" w:orient="portrait"/>
          <w:cols w:equalWidth="0" w:num="1">
            <w:col w:w="10960"/>
          </w:cols>
          <w:pgMar w:left="320" w:top="473" w:right="6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If we are a PFIC for any taxable year during which you hold ADSs or ordinary shares, we generally will continue to be treated as a PFIC with respect to you for that year and for all succeeding years during which you hold ADSs or ordinary shares (regardless of whether we continue to meet the tests described above), unless we cease to be a PFIC and you make a “deemed sale” election with respect to the ADSs or ordinary shares you hold.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 You are urged to consult your tax advisor about this election.</w:t>
      </w:r>
    </w:p>
    <w:p>
      <w:pPr>
        <w:spacing w:after="0" w:line="17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80" w:lineRule="exact"/>
        <w:rPr>
          <w:sz w:val="20"/>
          <w:szCs w:val="20"/>
          <w:color w:val="auto"/>
        </w:rPr>
      </w:pPr>
    </w:p>
    <w:p>
      <w:pPr>
        <w:ind w:left="1240" w:hanging="530"/>
        <w:spacing w:after="0"/>
        <w:tabs>
          <w:tab w:leader="none" w:pos="12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recognized gain will be allocated ratably over your holding period for the ADSs or ordinary shares;</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your holding period prior to the first taxable year in which we were a PFIC, will be treated as ordinary income; and</w:t>
      </w:r>
    </w:p>
    <w:p>
      <w:pPr>
        <w:spacing w:after="0" w:line="55"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other taxable year will be subject to tax at the highest income tax rate in effect for individuals or corporations, as applicable, for each such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6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If we are a PFIC with respect to you for any taxable year, to the extent any of our subsidiaries are also PFICs or we make direct or indirect equity investments in other entities that are PFICs, you will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71"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A U.S. Holder of “marketable stock” (as defined below) in a PFIC may make a mark-to-market election for such stock to elect out of the PFIC rules described above regarding excess distributions and recognized gains. If you make an effective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182</w:t>
      </w:r>
    </w:p>
    <w:p>
      <w:pPr>
        <w:sectPr>
          <w:pgSz w:w="11900" w:h="16838" w:orient="portrait"/>
          <w:cols w:equalWidth="0" w:num="1">
            <w:col w:w="10940"/>
          </w:cols>
          <w:pgMar w:left="320" w:top="473" w:right="6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spacing w:after="0" w:line="295" w:lineRule="auto"/>
        <w:rPr>
          <w:sz w:val="20"/>
          <w:szCs w:val="20"/>
          <w:color w:val="auto"/>
        </w:rPr>
      </w:pPr>
      <w:r>
        <w:rPr>
          <w:rFonts w:ascii="Times New Roman" w:cs="Times New Roman" w:eastAsia="Times New Roman" w:hAnsi="Times New Roman"/>
          <w:sz w:val="17"/>
          <w:szCs w:val="17"/>
          <w:color w:val="auto"/>
        </w:rPr>
        <w:t>subject to the rules discussed above under “— Taxation of Dividends and Other Distributions on the ADSs or Ordinary Shares,” except the lower rate applicable to qualified dividend income would not apply.</w:t>
      </w:r>
    </w:p>
    <w:p>
      <w:pPr>
        <w:spacing w:after="0" w:line="147"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generally is stock that is regularly traded in other than de minimis quantities on at least 15 days during each calendar quarter on a qualified exchange or other market, as defined in applicable U.S. Treasury regulations. Our ADSs are listed on The Nasdaq Global Select Market, or the Nasdaq, which is a qualified exchange or other market for these purposes. Consequently, if the ADSs continue to be listed on Nasdaq and are regularly traded, and you are a holder of ADSs, we</w:t>
      </w:r>
    </w:p>
    <w:p>
      <w:pPr>
        <w:spacing w:after="0" w:line="1" w:lineRule="exact"/>
        <w:rPr>
          <w:sz w:val="20"/>
          <w:szCs w:val="20"/>
          <w:color w:val="auto"/>
        </w:rPr>
      </w:pPr>
    </w:p>
    <w:p>
      <w:pPr>
        <w:ind w:left="300" w:right="60"/>
        <w:spacing w:after="0" w:line="260" w:lineRule="auto"/>
        <w:rPr>
          <w:sz w:val="20"/>
          <w:szCs w:val="20"/>
          <w:color w:val="auto"/>
        </w:rPr>
      </w:pPr>
      <w:r>
        <w:rPr>
          <w:rFonts w:ascii="Times New Roman" w:cs="Times New Roman" w:eastAsia="Times New Roman" w:hAnsi="Times New Roman"/>
          <w:sz w:val="17"/>
          <w:szCs w:val="17"/>
          <w:color w:val="auto"/>
        </w:rPr>
        <w:t>expect the mark-to-market election would be available to you if we were to become a PFIC. There can be no assurance that the ADSs will be “regularly traded” for purposes of the mark-to-market election.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8"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69"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60" w:lineRule="exact"/>
        <w:rPr>
          <w:sz w:val="20"/>
          <w:szCs w:val="20"/>
          <w:color w:val="auto"/>
        </w:rPr>
      </w:pPr>
    </w:p>
    <w:p>
      <w:pPr>
        <w:ind w:left="300" w:right="18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You are strongly urged to consult your tax advisors regarding the application of the PFIC rules to your investment in ADSs or ordinary shares.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Any dividend payments with respect to ADSs or ordinary shares and proceeds from a sale, exchange or other taxable disposition of ADSs or ordinary shares may be subject to information reporting to the U.S. Internal Revenue Service, or the IRS,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IRS Form W-9. The Company does not assume responsibility for backup withholding. U.S. Holders should consult their tax advisors regarding the application of the U.S. information reporting and backup withholding rules.</w:t>
      </w:r>
    </w:p>
    <w:p>
      <w:pPr>
        <w:spacing w:after="0" w:line="173" w:lineRule="exact"/>
        <w:rPr>
          <w:sz w:val="20"/>
          <w:szCs w:val="20"/>
          <w:color w:val="auto"/>
        </w:rPr>
      </w:pPr>
    </w:p>
    <w:p>
      <w:pPr>
        <w:jc w:val="both"/>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Backup withholding is not an additional tax. Amounts withheld as backup withholding may be credited against your U.S. federal income tax liability, if any, and you may obtain a refund of any excess amounts withheld under the backup withholding rules by filing the appropriate claim for refund with the IRS and furnishing any required information in a timely manner.</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with Respect to Foreign Financial Assets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w:t>
      </w:r>
    </w:p>
    <w:p>
      <w:pPr>
        <w:spacing w:after="0" w:line="1" w:lineRule="exact"/>
        <w:rPr>
          <w:sz w:val="20"/>
          <w:szCs w:val="20"/>
          <w:color w:val="auto"/>
        </w:rPr>
      </w:pPr>
    </w:p>
    <w:p>
      <w:pPr>
        <w:ind w:left="300" w:right="580" w:hanging="8"/>
        <w:spacing w:after="0" w:line="273" w:lineRule="auto"/>
        <w:tabs>
          <w:tab w:leader="none" w:pos="50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stocks and securities issued by non-U.S. persons, (ii) financial instruments and contracts held for investment that have non-U.S. issuers or counterparties and (iii) interests in non-U.S. entities. If a U.S. holder is subject to this information reporting regime, the failure to timely file IRS</w:t>
      </w:r>
    </w:p>
    <w:p>
      <w:pPr>
        <w:spacing w:after="0" w:line="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183</w:t>
      </w:r>
    </w:p>
    <w:p>
      <w:pPr>
        <w:sectPr>
          <w:pgSz w:w="11900" w:h="16838" w:orient="portrait"/>
          <w:cols w:equalWidth="0" w:num="1">
            <w:col w:w="10940"/>
          </w:cols>
          <w:pgMar w:left="320" w:top="473" w:right="6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spacing w:after="0" w:line="276" w:lineRule="auto"/>
        <w:rPr>
          <w:sz w:val="20"/>
          <w:szCs w:val="20"/>
          <w:color w:val="auto"/>
        </w:rPr>
      </w:pPr>
      <w:r>
        <w:rPr>
          <w:rFonts w:ascii="Times New Roman" w:cs="Times New Roman" w:eastAsia="Times New Roman" w:hAnsi="Times New Roman"/>
          <w:sz w:val="17"/>
          <w:szCs w:val="17"/>
          <w:color w:val="auto"/>
        </w:rPr>
        <w:t>Form 8938 may subject the U.S. holder to penalties.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w:t>
      </w:r>
    </w:p>
    <w:p>
      <w:pPr>
        <w:spacing w:after="0" w:line="160" w:lineRule="exact"/>
        <w:rPr>
          <w:sz w:val="20"/>
          <w:szCs w:val="20"/>
          <w:color w:val="auto"/>
        </w:rPr>
      </w:pPr>
    </w:p>
    <w:p>
      <w:pPr>
        <w:ind w:left="300" w:right="28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THE DISCUSSION ABOVE IS A GENERAL DISCUSSION. IT DOES NOT COVER ALL TAX MATTERS THAT MAY BE IMPORTANT TO A PARTICULAR INVESTOR. EACH PROSPECTIVE INVESTOR SHOULD CONSULT ITS TAX ADVISOR ABOUT THE TAX CONSEQUENCES OF AN INVESTMENT IN THE ADSs OR ORDINARY SHARES UNDER THE INVESTOR’S OWN CIRCUMSTANCES.</w:t>
      </w: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2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Copies of reports and other information, when so filed, may be accessed electronically by means of the SEC’s home page on the Internet at http://www.sec.gov.</w:t>
      </w:r>
    </w:p>
    <w:p>
      <w:pPr>
        <w:spacing w:after="0" w:line="147"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www.melco-resorts.com. Nasdaq Stock Market Rule 5615(a)(3) permits foreign private issuers like us to follow “home country practice” in certain corporate governance matters. Walkers (Hong Kong), our Cayman Islands counsel, has provided a letter to the Nasdaq certifying that under the Companies Act (as amended) of the Cayman Islands, we are not required to deliver annual reports to our shareholders prior to an annual general meeting.</w:t>
      </w:r>
    </w:p>
    <w:p>
      <w:pPr>
        <w:spacing w:after="0" w:line="3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184</w:t>
      </w:r>
    </w:p>
    <w:p>
      <w:pPr>
        <w:sectPr>
          <w:pgSz w:w="11900" w:h="16838" w:orient="portrait"/>
          <w:cols w:equalWidth="0" w:num="1">
            <w:col w:w="10940"/>
          </w:cols>
          <w:pgMar w:left="320" w:top="472" w:right="6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and foreign currency exchange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rates.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and our indebtedness and as a result of the presentation of our financial statements in U.S. dollars. The majority of our revenues are denominated in H.K. dollars, given the H.K. dollar is the predominant currency used in Macau and is often used interchangeably with the Pataca in Macau, while our expenses are denominated predominantly in Patacas, H.K. dollars, the Philippine pesos and the Euro. In addition, a significant portion of our indebtedness, including the Melco Resorts Finance Notes, the Studio City Notes, and certain expenses, have been and are denominated in U.S. dollars, and the costs associated with servicing and repaying such debt will be denominated in U.S. dollars. We also have a certain portion of our assets and liabilities denominated in the Philippine peso and the Euro.</w:t>
      </w:r>
    </w:p>
    <w:p>
      <w:pPr>
        <w:spacing w:after="0" w:line="38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value of the H.K. dollar, Pataca, the Philippine peso and the Euro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the Philippine peso or the Euro to the U.S. dollar may have a material adverse effect on our revenues and financial condition.</w:t>
      </w:r>
    </w:p>
    <w:p>
      <w:pPr>
        <w:spacing w:after="0" w:line="173"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We accept foreign currencies from our customers and as of December 31, 2023, in addition to H.K. dollars, Patacas and Philippine pesos and Euros, we also hold other foreign currencies. However, any foreign exchange risk exposure associated with those currencies is minimal.</w:t>
      </w:r>
    </w:p>
    <w:p>
      <w:pPr>
        <w:spacing w:after="0" w:line="147" w:lineRule="exact"/>
        <w:rPr>
          <w:sz w:val="20"/>
          <w:szCs w:val="20"/>
          <w:color w:val="auto"/>
        </w:rPr>
      </w:pPr>
    </w:p>
    <w:p>
      <w:pPr>
        <w:jc w:val="both"/>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We have not engaged in hedging transactions with respect to foreign exchange exposure of our revenues and expenses in our day-to-day operations during the year ended December 31, 2023.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69"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See note 11 to the consolidated financial statements included elsewhere in this annual report for further details related to our indebtedness as of December 31, 2023.</w:t>
      </w:r>
    </w:p>
    <w:p>
      <w:pPr>
        <w:spacing w:after="0" w:line="147"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Major currencies in which our cash and bank balances (including restricted cash) are held as of December 31, 2023 were the U.S. dollar, the H.K. dollar, the Philippine peso, the Euro and the Pataca. Based on the cash and bank balances as of December 31, 2023, an assumed 1% change in the exchange rates between currencies other than the U.S. dollar against the U.S. dollar would cause a maximum foreign transaction gain or loss of approximately US$11.5 million for the year ended December 31, 2023.</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Based on the balances of indebtedness denominated in currencies other than U.S. dollars as of December 31, 2023, an assumed 1% change in the exchange rates between currencies other than the U.S. dollar against the U.S. dollar would cause a foreign transaction gain or loss of approximately US$10.5 million for the year ended December 31, 2023.</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185</w:t>
      </w:r>
    </w:p>
    <w:p>
      <w:pPr>
        <w:sectPr>
          <w:pgSz w:w="11900" w:h="16838" w:orient="portrait"/>
          <w:cols w:equalWidth="0" w:num="1">
            <w:col w:w="10920"/>
          </w:cols>
          <w:pgMar w:left="320" w:top="472" w:right="6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0"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69"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As of December 31, 2023, we are subject to fluctuations in HIBOR as a result of our 2015 Credit Facilities, 2020 Credit Facilities and 2028 Studio City Senior Secured Credit Facility. As of December 31, 2023, approximately 86% of our total indebtedness was based on fixed rates. Based on our December 31, 2023 indebtedness level, an assumed 100 basis point change in HIBOR would cause our annual interest cost to change by approximately US$10.5 million.</w:t>
      </w:r>
    </w:p>
    <w:p>
      <w:pPr>
        <w:spacing w:after="0" w:line="169"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31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25"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w:t>
      </w:r>
    </w:p>
    <w:p>
      <w:pPr>
        <w:spacing w:after="0" w:line="82" w:lineRule="exact"/>
        <w:rPr>
          <w:sz w:val="20"/>
          <w:szCs w:val="20"/>
          <w:color w:val="auto"/>
        </w:rPr>
      </w:pPr>
    </w:p>
    <w:p>
      <w:pPr>
        <w:ind w:left="1240" w:hanging="530"/>
        <w:spacing w:after="0"/>
        <w:tabs>
          <w:tab w:leader="none" w:pos="12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(including any applicable interest and penalties thereon) and other governmental charges;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 telex, facsimile and electronic transmission and delivery expenses;</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186</w:t>
      </w:r>
    </w:p>
    <w:p>
      <w:pPr>
        <w:sectPr>
          <w:pgSz w:w="11900" w:h="16838" w:orient="portrait"/>
          <w:cols w:equalWidth="0" w:num="1">
            <w:col w:w="10940"/>
          </w:cols>
          <w:pgMar w:left="320" w:top="473" w:right="6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20" w:hanging="530"/>
        <w:spacing w:after="0" w:line="276" w:lineRule="auto"/>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charges incurred by the depositary in connection with the conversion of foreign currency;</w:t>
      </w:r>
    </w:p>
    <w:p>
      <w:pPr>
        <w:spacing w:after="0" w:line="131" w:lineRule="exact"/>
        <w:rPr>
          <w:rFonts w:ascii="Times New Roman" w:cs="Times New Roman" w:eastAsia="Times New Roman" w:hAnsi="Times New Roman"/>
          <w:sz w:val="17"/>
          <w:szCs w:val="17"/>
          <w:color w:val="auto"/>
        </w:rPr>
      </w:pPr>
    </w:p>
    <w:p>
      <w:pPr>
        <w:ind w:left="1240" w:right="500" w:hanging="530"/>
        <w:spacing w:after="0" w:line="295" w:lineRule="auto"/>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by the depositary in connection with compliance with exchange control regulations and other regulatory requirements applicable to the shares, deposited securities and ADSs;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fees, charges, costs or expenses that may be incurred by the depositary from time to time.</w:t>
      </w:r>
    </w:p>
    <w:p>
      <w:pPr>
        <w:spacing w:after="0" w:line="22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Fees and Other Payments Made by the Depositary to Us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2023, we did not receive any fees or other payments from the depositary.</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20" w:lineRule="exact"/>
        <w:rPr>
          <w:sz w:val="20"/>
          <w:szCs w:val="20"/>
          <w:color w:val="auto"/>
        </w:rPr>
      </w:pPr>
    </w:p>
    <w:p>
      <w:pPr>
        <w:sectPr>
          <w:pgSz w:w="11900" w:h="16838" w:orient="portrait"/>
          <w:cols w:equalWidth="0" w:num="2">
            <w:col w:w="1000" w:space="360"/>
            <w:col w:w="9580"/>
          </w:cols>
          <w:pgMar w:left="320" w:top="473" w:right="6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0940"/>
          </w:cols>
          <w:pgMar w:left="320" w:top="473" w:right="63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20" w:lineRule="exact"/>
        <w:rPr>
          <w:sz w:val="20"/>
          <w:szCs w:val="20"/>
          <w:color w:val="auto"/>
        </w:rPr>
      </w:pPr>
    </w:p>
    <w:p>
      <w:pPr>
        <w:sectPr>
          <w:pgSz w:w="11900" w:h="16838" w:orient="portrait"/>
          <w:cols w:equalWidth="0" w:num="2">
            <w:col w:w="1000" w:space="360"/>
            <w:col w:w="9580"/>
          </w:cols>
          <w:pgMar w:left="320" w:top="473" w:right="6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None.</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187</w:t>
      </w:r>
    </w:p>
    <w:p>
      <w:pPr>
        <w:sectPr>
          <w:pgSz w:w="11900" w:h="16838" w:orient="portrait"/>
          <w:cols w:equalWidth="0" w:num="1">
            <w:col w:w="10940"/>
          </w:cols>
          <w:pgMar w:left="320" w:top="473" w:right="6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20" w:lineRule="exact"/>
        <w:rPr>
          <w:sz w:val="20"/>
          <w:szCs w:val="20"/>
          <w:color w:val="auto"/>
        </w:rPr>
      </w:pPr>
    </w:p>
    <w:p>
      <w:pPr>
        <w:ind w:left="300" w:right="280" w:firstLine="960"/>
        <w:spacing w:after="0" w:line="267" w:lineRule="auto"/>
        <w:rPr>
          <w:sz w:val="20"/>
          <w:szCs w:val="20"/>
          <w:color w:val="auto"/>
        </w:rPr>
      </w:pPr>
      <w:r>
        <w:rPr>
          <w:rFonts w:ascii="Times New Roman" w:cs="Times New Roman" w:eastAsia="Times New Roman" w:hAnsi="Times New Roman"/>
          <w:sz w:val="17"/>
          <w:szCs w:val="17"/>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w:t>
      </w:r>
    </w:p>
    <w:p>
      <w:pPr>
        <w:spacing w:after="0" w:line="1" w:lineRule="exact"/>
        <w:rPr>
          <w:sz w:val="20"/>
          <w:szCs w:val="20"/>
          <w:color w:val="auto"/>
        </w:rPr>
      </w:pPr>
    </w:p>
    <w:p>
      <w:pPr>
        <w:jc w:val="both"/>
        <w:ind w:left="300" w:right="180"/>
        <w:spacing w:after="0" w:line="256" w:lineRule="auto"/>
        <w:rPr>
          <w:sz w:val="20"/>
          <w:szCs w:val="20"/>
          <w:color w:val="auto"/>
        </w:rPr>
      </w:pPr>
      <w:r>
        <w:rPr>
          <w:rFonts w:ascii="Times New Roman" w:cs="Times New Roman" w:eastAsia="Times New Roman" w:hAnsi="Times New Roman"/>
          <w:sz w:val="17"/>
          <w:szCs w:val="17"/>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20"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Our Company’s management is responsible for establishing and maintaining adequate internal control over financial reporting, as defined in Rules 13a-15(f) and 15d-15(f) of the Exchange Act.</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70" w:lineRule="exact"/>
        <w:rPr>
          <w:sz w:val="20"/>
          <w:szCs w:val="20"/>
          <w:color w:val="auto"/>
        </w:rPr>
      </w:pPr>
    </w:p>
    <w:p>
      <w:pPr>
        <w:ind w:left="1240" w:right="600" w:hanging="530"/>
        <w:spacing w:after="0" w:line="295" w:lineRule="auto"/>
        <w:tabs>
          <w:tab w:leader="none" w:pos="12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our Company’s assets;</w:t>
      </w:r>
    </w:p>
    <w:p>
      <w:pPr>
        <w:spacing w:after="0" w:line="55"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70"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Company’s assets that could have a material effect on the financial statements.</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Our Company’s management assessed the effectiveness of our Company’s internal control over financial reporting as of December 31, 2023. In making this assessment, our Company’s management used the framework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Based on this assessment, management concluded that, as of December 31, 2023, our Company’s internal control over financial reporting is effective based on the framework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Ernst &amp; Young LLP, our independent registered public accounting firm that issues the audit report included elsewhere in this annual report on Form 20-F, has issued an attestation report on management’s assessment of the issuer’s internal control over financial reporting.</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188</w:t>
      </w:r>
    </w:p>
    <w:p>
      <w:pPr>
        <w:sectPr>
          <w:pgSz w:w="11900" w:h="16838" w:orient="portrait"/>
          <w:cols w:equalWidth="0" w:num="1">
            <w:col w:w="10940"/>
          </w:cols>
          <w:pgMar w:left="320" w:top="473" w:right="6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The effectiveness of our Company’s internal control over financial reporting as of December 31, 2023, has been audited by Ernst &amp; Young LLP, located in Singapore, an independent registered public accounting firm, as stated in their report which appears herein.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There were no changes in our Company’s internal control over financial reporting (as such term is defined</w:t>
      </w:r>
    </w:p>
    <w:p>
      <w:pPr>
        <w:spacing w:after="0" w:line="32" w:lineRule="exact"/>
        <w:rPr>
          <w:sz w:val="20"/>
          <w:szCs w:val="20"/>
          <w:color w:val="auto"/>
        </w:rPr>
      </w:pPr>
    </w:p>
    <w:p>
      <w:pPr>
        <w:ind w:left="300" w:right="300"/>
        <w:spacing w:after="0" w:line="273" w:lineRule="auto"/>
        <w:rPr>
          <w:sz w:val="20"/>
          <w:szCs w:val="20"/>
          <w:color w:val="auto"/>
        </w:rPr>
      </w:pPr>
      <w:r>
        <w:rPr>
          <w:rFonts w:ascii="Times New Roman" w:cs="Times New Roman" w:eastAsia="Times New Roman" w:hAnsi="Times New Roman"/>
          <w:sz w:val="17"/>
          <w:szCs w:val="17"/>
          <w:color w:val="auto"/>
        </w:rPr>
        <w:t>in Rules 13a-15(f) and 15d-15(f) under the Exchange Act) during the year ended December 31, 2023 that have materially affected, or are reasonably likely to materially affect, our Company’s internal control over financial reporting.</w:t>
      </w:r>
    </w:p>
    <w:p>
      <w:pPr>
        <w:spacing w:after="0" w:line="30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16A.</w:t>
        <w:tab/>
        <w:t>AUDIT COMMITTEE FINANCIAL EXPERT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board has determined that Mr. John William Crawford qualifies as “audit committee financial expert” as defined in Item 16A</w:t>
      </w:r>
    </w:p>
    <w:p>
      <w:pPr>
        <w:spacing w:after="0" w:line="32" w:lineRule="exact"/>
        <w:rPr>
          <w:sz w:val="20"/>
          <w:szCs w:val="20"/>
          <w:color w:val="auto"/>
        </w:rPr>
      </w:pPr>
    </w:p>
    <w:p>
      <w:pPr>
        <w:ind w:left="300" w:right="20"/>
        <w:spacing w:after="0" w:line="273" w:lineRule="auto"/>
        <w:rPr>
          <w:sz w:val="20"/>
          <w:szCs w:val="20"/>
          <w:color w:val="auto"/>
        </w:rPr>
      </w:pPr>
      <w:r>
        <w:rPr>
          <w:rFonts w:ascii="Times New Roman" w:cs="Times New Roman" w:eastAsia="Times New Roman" w:hAnsi="Times New Roman"/>
          <w:sz w:val="17"/>
          <w:szCs w:val="17"/>
          <w:color w:val="auto"/>
        </w:rPr>
        <w:t>of Form 20-F. Each of the members of our audit and risk committee satisfies the “independence” requirements of the Nasdaq corporate governance rules and Rule 10A-3 under the Exchange Act. See “Item 6. Directors, Senior Management and Employees.”</w:t>
      </w:r>
    </w:p>
    <w:p>
      <w:pPr>
        <w:spacing w:after="0" w:line="30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16B.</w:t>
        <w:tab/>
        <w:t>CODE OF ETHICS</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May 8, 2023 to include a commitment statement on diversity, equity and inclusion. We have posted our current code of business conduct and ethics on our website at www.melco-resorts.com.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w:t>
      </w:r>
    </w:p>
    <w:p>
      <w:pPr>
        <w:spacing w:after="0" w:line="315"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16C.</w:t>
        <w:tab/>
        <w:t>PRINCIPAL ACCOUNTANT FEES AND SERVICES</w:t>
      </w:r>
    </w:p>
    <w:p>
      <w:pPr>
        <w:spacing w:after="0" w:line="120"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68"/>
        </w:trPr>
        <w:tc>
          <w:tcPr>
            <w:tcW w:w="3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137"/>
        </w:trPr>
        <w:tc>
          <w:tcPr>
            <w:tcW w:w="3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37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1"/>
                <w:szCs w:val="11"/>
                <w:color w:val="auto"/>
              </w:rPr>
            </w:pPr>
          </w:p>
        </w:tc>
      </w:tr>
      <w:tr>
        <w:trPr>
          <w:trHeight w:val="137"/>
        </w:trPr>
        <w:tc>
          <w:tcPr>
            <w:tcW w:w="3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60" w:type="dxa"/>
            <w:vAlign w:val="bottom"/>
          </w:tcPr>
          <w:p>
            <w:pPr>
              <w:spacing w:after="0"/>
              <w:rPr>
                <w:sz w:val="11"/>
                <w:szCs w:val="11"/>
                <w:color w:val="auto"/>
              </w:rPr>
            </w:pPr>
          </w:p>
        </w:tc>
      </w:tr>
      <w:tr>
        <w:trPr>
          <w:trHeight w:val="209"/>
        </w:trPr>
        <w:tc>
          <w:tcPr>
            <w:tcW w:w="37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4"/>
                <w:szCs w:val="24"/>
                <w:color w:val="auto"/>
                <w:vertAlign w:val="superscript"/>
              </w:rPr>
              <w:t>(1)</w:t>
            </w:r>
          </w:p>
        </w:tc>
        <w:tc>
          <w:tcPr>
            <w:tcW w:w="3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rPr>
              <w:t>$  3,426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3,078</w:t>
            </w:r>
          </w:p>
        </w:tc>
      </w:tr>
      <w:tr>
        <w:trPr>
          <w:trHeight w:val="209"/>
        </w:trPr>
        <w:tc>
          <w:tcPr>
            <w:tcW w:w="37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4"/>
                <w:szCs w:val="24"/>
                <w:color w:val="auto"/>
                <w:vertAlign w:val="superscript"/>
              </w:rPr>
              <w:t>(2)</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7"/>
                <w:szCs w:val="17"/>
                <w:color w:val="auto"/>
              </w:rPr>
              <w:t>1,235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341</w:t>
            </w:r>
          </w:p>
        </w:tc>
      </w:tr>
      <w:tr>
        <w:trPr>
          <w:trHeight w:val="209"/>
        </w:trPr>
        <w:tc>
          <w:tcPr>
            <w:tcW w:w="37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4"/>
                <w:szCs w:val="24"/>
                <w:color w:val="auto"/>
                <w:vertAlign w:val="superscript"/>
              </w:rPr>
              <w:t>(3)</w:t>
            </w:r>
          </w:p>
        </w:tc>
        <w:tc>
          <w:tcPr>
            <w:tcW w:w="3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rPr>
              <w:t>211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r>
      <w:tr>
        <w:trPr>
          <w:trHeight w:val="328"/>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6"/>
                <w:szCs w:val="26"/>
                <w:color w:val="auto"/>
                <w:vertAlign w:val="superscript"/>
              </w:rPr>
              <w:t>(4)</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7"/>
                <w:szCs w:val="17"/>
                <w:color w:val="auto"/>
              </w:rPr>
              <w:t>11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w:t>
            </w:r>
          </w:p>
        </w:tc>
      </w:tr>
    </w:tbl>
    <w:p>
      <w:pPr>
        <w:ind w:left="820" w:hanging="528"/>
        <w:spacing w:after="0"/>
        <w:tabs>
          <w:tab w:leader="none" w:pos="8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means the aggregate fees in each of the fiscal years indicated for our calendar year audits.</w:t>
      </w:r>
    </w:p>
    <w:p>
      <w:pPr>
        <w:spacing w:after="0" w:line="111" w:lineRule="exact"/>
        <w:rPr>
          <w:rFonts w:ascii="Times New Roman" w:cs="Times New Roman" w:eastAsia="Times New Roman" w:hAnsi="Times New Roman"/>
          <w:sz w:val="17"/>
          <w:szCs w:val="17"/>
          <w:color w:val="auto"/>
        </w:rPr>
      </w:pPr>
    </w:p>
    <w:p>
      <w:pPr>
        <w:ind w:left="820" w:right="240" w:hanging="528"/>
        <w:spacing w:after="0" w:line="295" w:lineRule="auto"/>
        <w:tabs>
          <w:tab w:leader="none" w:pos="8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primarily include the aggregate fees for professional services provided in connection with issuance of senior notes by the Company and other assurance services.</w:t>
      </w:r>
    </w:p>
    <w:p>
      <w:pPr>
        <w:spacing w:after="0" w:line="55"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include the aggregate fees for tax consultations.</w:t>
      </w:r>
    </w:p>
    <w:p>
      <w:pPr>
        <w:spacing w:after="0" w:line="131"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include the aggregate fees for advisory services and an annual charge for an online technical accounting research tool.</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189</w:t>
      </w:r>
    </w:p>
    <w:p>
      <w:pPr>
        <w:sectPr>
          <w:pgSz w:w="11900" w:h="16838" w:orient="portrait"/>
          <w:cols w:equalWidth="0" w:num="1">
            <w:col w:w="10940"/>
          </w:cols>
          <w:pgMar w:left="320" w:top="473" w:right="6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services which are approved by our audit and risk committee prior to the completion of the audit.</w:t>
      </w:r>
    </w:p>
    <w:p>
      <w:pPr>
        <w:spacing w:after="0" w:line="16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For the years ended December 31, 2023 and 2022, none of the total audit-related, tax and all other fees as described above were approved by our audit and risk committee pursuant to paragraph (c)(7)(i)(C) of Rule 2-01 of Regulation S-X, respectively.</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16D.</w:t>
        <w:tab/>
        <w:t>EXEMPTIONS FROM THE LISTING STANDARDS FOR AUDIT COMMITTEES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16E.</w:t>
        <w:tab/>
        <w:t>PURCHASES OF EQUITY SECURITIES BY THE ISSUER AND AFFILIATED PURCHASERS</w:t>
      </w:r>
    </w:p>
    <w:p>
      <w:pPr>
        <w:spacing w:after="0" w:line="120" w:lineRule="exact"/>
        <w:rPr>
          <w:sz w:val="20"/>
          <w:szCs w:val="20"/>
          <w:color w:val="auto"/>
        </w:rPr>
      </w:pPr>
    </w:p>
    <w:p>
      <w:pPr>
        <w:ind w:left="300" w:right="96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information about repurchases made by us and our affiliated purchasers in the fiscal year ended December 31, 2023.</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Dollar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12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1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May Yet be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1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1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 Publicly</w:t>
            </w:r>
          </w:p>
        </w:tc>
        <w:tc>
          <w:tcPr>
            <w:tcW w:w="0" w:type="dxa"/>
            <w:vAlign w:val="bottom"/>
          </w:tcPr>
          <w:p>
            <w:pPr>
              <w:spacing w:after="0"/>
              <w:rPr>
                <w:sz w:val="1"/>
                <w:szCs w:val="1"/>
                <w:color w:val="auto"/>
              </w:rPr>
            </w:pPr>
          </w:p>
        </w:tc>
      </w:tr>
      <w:tr>
        <w:trPr>
          <w:trHeight w:val="144"/>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Per Ordinary</w:t>
            </w:r>
          </w:p>
        </w:tc>
        <w:tc>
          <w:tcPr>
            <w:tcW w:w="118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12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61"/>
        </w:trPr>
        <w:tc>
          <w:tcPr>
            <w:tcW w:w="6060" w:type="dxa"/>
            <w:vAlign w:val="bottom"/>
            <w:gridSpan w:val="3"/>
            <w:vMerge w:val="continue"/>
          </w:tcPr>
          <w:p>
            <w:pPr>
              <w:spacing w:after="0"/>
              <w:rPr>
                <w:sz w:val="14"/>
                <w:szCs w:val="14"/>
                <w:color w:val="auto"/>
              </w:rPr>
            </w:pPr>
          </w:p>
        </w:tc>
        <w:tc>
          <w:tcPr>
            <w:tcW w:w="11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0"/>
                <w:szCs w:val="10"/>
                <w:b w:val="1"/>
                <w:bCs w:val="1"/>
                <w:color w:val="auto"/>
              </w:rPr>
              <w:t>(1)</w:t>
            </w:r>
          </w:p>
        </w:tc>
        <w:tc>
          <w:tcPr>
            <w:tcW w:w="11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March 2023</w:t>
            </w:r>
            <w:r>
              <w:rPr>
                <w:rFonts w:ascii="Times New Roman" w:cs="Times New Roman" w:eastAsia="Times New Roman" w:hAnsi="Times New Roman"/>
                <w:sz w:val="24"/>
                <w:szCs w:val="24"/>
                <w:color w:val="auto"/>
                <w:vertAlign w:val="superscript"/>
              </w:rPr>
              <w:t>(2)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40,373,076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4.2067</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April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October 2023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November 2023</w:t>
            </w:r>
            <w:r>
              <w:rPr>
                <w:rFonts w:ascii="Times New Roman" w:cs="Times New Roman" w:eastAsia="Times New Roman" w:hAnsi="Times New Roman"/>
                <w:sz w:val="24"/>
                <w:szCs w:val="24"/>
                <w:color w:val="auto"/>
                <w:vertAlign w:val="superscript"/>
              </w:rPr>
              <w:t>(3)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3,473,955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2.4917</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43,847,031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4.0651</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33,903,363</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411,860,697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720" w:right="480" w:hanging="428"/>
        <w:spacing w:after="0" w:line="295" w:lineRule="auto"/>
        <w:tabs>
          <w:tab w:leader="none" w:pos="7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2021, we announced that our board of directors approved a new US$500 million share repurchase program which replaced the share repurchase program announced in November 2018 and is effective over a three-year period commencing on June 2, 2021.</w:t>
      </w:r>
    </w:p>
    <w:p>
      <w:pPr>
        <w:spacing w:after="0" w:line="55" w:lineRule="exact"/>
        <w:rPr>
          <w:rFonts w:ascii="Times New Roman" w:cs="Times New Roman" w:eastAsia="Times New Roman" w:hAnsi="Times New Roman"/>
          <w:sz w:val="17"/>
          <w:szCs w:val="17"/>
          <w:color w:val="auto"/>
        </w:rPr>
      </w:pPr>
    </w:p>
    <w:p>
      <w:pPr>
        <w:ind w:left="720" w:right="500" w:hanging="428"/>
        <w:spacing w:after="0" w:line="295" w:lineRule="auto"/>
        <w:tabs>
          <w:tab w:leader="none" w:pos="7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we repurchased 40,373,076 ordinary shares at an average price of approximately US$4.2067 per ordinary share from Melco Leisure under the share repurchase agreement entered by the Company with Melco International and Melco Leisure in March 2023.</w:t>
      </w:r>
    </w:p>
    <w:p>
      <w:pPr>
        <w:spacing w:after="0" w:line="55"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purchases by affiliated purchasers of the Company.</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190</w:t>
      </w:r>
    </w:p>
    <w:p>
      <w:pPr>
        <w:sectPr>
          <w:pgSz w:w="11900" w:h="16838" w:orient="portrait"/>
          <w:cols w:equalWidth="0" w:num="1">
            <w:col w:w="10960"/>
          </w:cols>
          <w:pgMar w:left="320" w:top="473" w:right="6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16F.</w:t>
        <w:tab/>
        <w:t>CHANGE IN REGISTRANT’S CERTIFYING ACCOUNTANT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16G.</w:t>
        <w:tab/>
        <w:t>CORPORATE GOVERNANCE</w:t>
      </w:r>
    </w:p>
    <w:p>
      <w:pPr>
        <w:spacing w:after="0" w:line="12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Since September 5, 2018, we have had a majority of independent directors serving on our board. Prior to that, we relied on this “home country practice” exception when we did not have a majority of independent directors serving on our board.</w:t>
      </w:r>
    </w:p>
    <w:p>
      <w:pPr>
        <w:spacing w:after="0" w:line="169"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In addition, 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 Nasdaq Stock Market Rule 5635 also requires each issuer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w:t>
      </w:r>
    </w:p>
    <w:p>
      <w:pPr>
        <w:spacing w:after="0" w:line="173"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Furthermore, Nasdaq Stock Market Rule 5635(b) requires shareholder approval prior to the issuance of securities when a share option plan is to be established pursuant to which shares may be acquired by officers, directors, employees or consultants. We did not obtain such shareholder approval for our 2021 Share Incentive Plan.</w:t>
      </w:r>
    </w:p>
    <w:p>
      <w:pPr>
        <w:spacing w:after="0" w:line="16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Walkers (Hong Kong), our Cayman Islands counsel, has provided letters to Nasdaq certifying that under the Companies Act (as amended) of the Cayman Islands, we are not required to: (i) have a majority of independent directors serving on our board; (ii) deliver annual reports to our shareholders prior to an annual general meeting; (iii) obtain shareholders’ approval prior to any issuance of our ordinary shares; or (iv) obtain shareholders’ approval in connection with the adoption of our 2021 Share Incentive Plan. The foregoing is subject to our memorandum and articles of association, as amended and restated from time to time.</w:t>
      </w:r>
    </w:p>
    <w:p>
      <w:pPr>
        <w:spacing w:after="0" w:line="313"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16H.</w:t>
        <w:tab/>
        <w:t>MINE SAFETY DISCLOSURE</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w:t>
      </w:r>
    </w:p>
    <w:p>
      <w:pPr>
        <w:spacing w:after="0" w:line="223"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As disclosed under Item 4.C., Item 6.E. and Item 7.A., a majority of our voting securities are held of record by Melco Leisure, which is wholly owned by Melco International. A majority of Melco International’s voting securities are beneficially owned by our founder, Chairman and Chief Executive Officer, Mr. Lawrence Ho through his personal interest, the interests of the companies which are owned or controlled by the persons and/or trusts associated with him, the interest of his spouse and the interest of a trust in which he is one of the beneficiaries and is taken to have interest under the Securities and Futures Ordinance (Chapter 571, the Laws of Hong Kong). Neither Mr. Ho, nor any of our other directors, are members of the Chinese Communist Party.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191</w:t>
      </w:r>
    </w:p>
    <w:p>
      <w:pPr>
        <w:sectPr>
          <w:pgSz w:w="11900" w:h="16838" w:orient="portrait"/>
          <w:cols w:equalWidth="0" w:num="1">
            <w:col w:w="10940"/>
          </w:cols>
          <w:pgMar w:left="320" w:top="472" w:right="6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firstLine="960"/>
        <w:spacing w:after="0" w:line="268" w:lineRule="auto"/>
        <w:rPr>
          <w:sz w:val="20"/>
          <w:szCs w:val="20"/>
          <w:color w:val="auto"/>
        </w:rPr>
      </w:pPr>
      <w:r>
        <w:rPr>
          <w:rFonts w:ascii="Times New Roman" w:cs="Times New Roman" w:eastAsia="Times New Roman" w:hAnsi="Times New Roman"/>
          <w:sz w:val="17"/>
          <w:szCs w:val="17"/>
          <w:color w:val="auto"/>
        </w:rPr>
        <w:t>A significant portion of our voting securities, and those of Melco International, are publicly held. Based on a review of the stockholder lists of our Company and Melco International, we are not aware of any governmental entities in mainland China or Hong Kong that are beneficial or record holders of any shares of Melco or Melco International. In addition, no such governmental entities have made any disclosures on Schedule 13D, Schedule 13G or under Part XV of the Hong Kong Securities and Futures Ordinance indicating that they own any shares of Melco or Melco International.</w:t>
      </w:r>
    </w:p>
    <w:p>
      <w:pPr>
        <w:spacing w:after="0" w:line="381"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Based on the above, we believe that our Company is not owned or controlled by any governmental entities in mainland China or Hong Kong as of the date of filing of this Form 20-F.</w:t>
      </w:r>
    </w:p>
    <w:p>
      <w:pPr>
        <w:spacing w:after="0" w:line="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w:t>
      </w:r>
    </w:p>
    <w:p>
      <w:pPr>
        <w:spacing w:after="0" w:line="223" w:lineRule="exact"/>
        <w:rPr>
          <w:sz w:val="20"/>
          <w:szCs w:val="20"/>
          <w:color w:val="auto"/>
        </w:rPr>
      </w:pPr>
    </w:p>
    <w:p>
      <w:pPr>
        <w:ind w:left="300" w:right="20" w:firstLine="952"/>
        <w:spacing w:after="0" w:line="264" w:lineRule="auto"/>
        <w:tabs>
          <w:tab w:leader="none" w:pos="150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fiscal year ended December 31, 2021, Ernst &amp; Young, located in Hong Kong, Special Administrative Region of the PRC, (“EY HK”) issued an audit report for our Company. On December 16, 2021, the U.S. Public Company Accounting Oversight Board (“PCAOB”) determined that it was unable to inspect or investigate completely PCAOB-registered public accounting firms headquartered in mainland China and in Hong Kong (including EY HK) because of positions taken by authorities in the PRC and Hong Kong. On December 15, 2022, the PCAOB vacated its December 16, 2021 determination, and announced that it had secured complete access to inspect and investigate registered public accounting firms headquartered in mainland China and Hong Kong (including EY HK).</w:t>
      </w:r>
    </w:p>
    <w:p>
      <w:pPr>
        <w:spacing w:after="0" w:line="173" w:lineRule="exact"/>
        <w:rPr>
          <w:rFonts w:ascii="Times New Roman" w:cs="Times New Roman" w:eastAsia="Times New Roman" w:hAnsi="Times New Roman"/>
          <w:sz w:val="17"/>
          <w:szCs w:val="17"/>
          <w:color w:val="auto"/>
        </w:rPr>
      </w:pPr>
    </w:p>
    <w:p>
      <w:pPr>
        <w:ind w:left="300" w:right="20" w:firstLine="952"/>
        <w:spacing w:after="0" w:line="260" w:lineRule="auto"/>
        <w:tabs>
          <w:tab w:leader="none" w:pos="150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review of the stockholders lists of the Company, Studio City International, Melco International and MRP, in addition to mainland China, Hong Kong and the Cayman Islands, the Company is not aware of any governmental entities in Macau, the British Virgin Islands, the Republic of Cyprus, the Philippines, Japan or the Netherlands that are beneficial or record owners of any shares of the Company, Studio City International, Melco International or any of our subsidiaries listed on Exhibit 8.1 of this annual report on Form 20-F. In addition, no such governmental entities have made any disclosures on Schedule 13D, Schedule 13G or under Part XV of the Hong Kong Securities and Futures Ordinance indicating that they own any shares of our Company, Studio City International or Melco International. Based on the above, we believe that none of our ordinary shares or ADSs or of our subsidiaries listed on Exhibit 8.1 of this annual report on Form 20-F are owned beneficially or of record by any governmental entities in Macau, the British Virgin Islands, the Republic of Cyprus, the Philippines, Japan or the Netherlands. However, a significant, but minority, portion of the shares of our Company, Studio City International and Melco International are publicly held by intermediaries on behalf of beneficial owners who are not known to us and an insignificant portion of the shares of MRP are held by intermediaries on behalf of beneficial owners who are not known to us. None of these unknown beneficial owners has ever asserted any control or influence over us.</w:t>
      </w:r>
    </w:p>
    <w:p>
      <w:pPr>
        <w:spacing w:after="0" w:line="179" w:lineRule="exact"/>
        <w:rPr>
          <w:rFonts w:ascii="Times New Roman" w:cs="Times New Roman" w:eastAsia="Times New Roman" w:hAnsi="Times New Roman"/>
          <w:sz w:val="17"/>
          <w:szCs w:val="17"/>
          <w:color w:val="auto"/>
        </w:rPr>
      </w:pPr>
    </w:p>
    <w:p>
      <w:pPr>
        <w:jc w:val="both"/>
        <w:ind w:left="300" w:firstLine="952"/>
        <w:spacing w:after="0" w:line="276" w:lineRule="auto"/>
        <w:tabs>
          <w:tab w:leader="none" w:pos="150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review of the stockholder lists of our Company and Melco International, in addition to mainland China and Hong Kong, no governmental entities in Macau, the Cayman Islands, the British Virgin Islands, the Republic of Cyprus, the Philippines, Japan or the Netherlands have a controlling financial interest in our Company as of the date of filing of this annual report on Form 20-F.</w:t>
      </w:r>
    </w:p>
    <w:p>
      <w:pPr>
        <w:spacing w:after="0" w:line="161" w:lineRule="exact"/>
        <w:rPr>
          <w:rFonts w:ascii="Times New Roman" w:cs="Times New Roman" w:eastAsia="Times New Roman" w:hAnsi="Times New Roman"/>
          <w:sz w:val="17"/>
          <w:szCs w:val="17"/>
          <w:color w:val="auto"/>
        </w:rPr>
      </w:pPr>
    </w:p>
    <w:p>
      <w:pPr>
        <w:ind w:left="1500" w:hanging="248"/>
        <w:spacing w:after="0"/>
        <w:tabs>
          <w:tab w:leader="none" w:pos="15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members of the board of directors of our Company or any of our subsidiaries is an official of the Chinese Communist Party.</w:t>
      </w:r>
    </w:p>
    <w:p>
      <w:pPr>
        <w:spacing w:after="0" w:line="222" w:lineRule="exact"/>
        <w:rPr>
          <w:rFonts w:ascii="Times New Roman" w:cs="Times New Roman" w:eastAsia="Times New Roman" w:hAnsi="Times New Roman"/>
          <w:sz w:val="17"/>
          <w:szCs w:val="17"/>
          <w:color w:val="auto"/>
        </w:rPr>
      </w:pPr>
    </w:p>
    <w:p>
      <w:pPr>
        <w:ind w:left="1500" w:hanging="248"/>
        <w:spacing w:after="0"/>
        <w:tabs>
          <w:tab w:leader="none" w:pos="15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memorandum and articles of association of our Company and our subsidiaries listed on Exhibit 8.1 of this annual report</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Form 20-F do not contain any charter of the Chinese Communist Party or the text of any such charter.</w:t>
      </w:r>
    </w:p>
    <w:p>
      <w:pPr>
        <w:spacing w:after="0" w:line="34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16J.</w:t>
        <w:tab/>
        <w:t>INSIDER TRADING POLICIES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0940"/>
          </w:cols>
          <w:pgMar w:left="320" w:top="473" w:right="6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16K.</w:t>
        <w:tab/>
        <w:t>CYBERSECURITY</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20"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47"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designed, executed, and assessed based on the principles of internationally recognized frameworks and standards, including ISO27001, the National Institute of Standards and Technology Cybersecurity Framework (“NIST CSF”) and the Payment Card Industry Data Security Standard (“PCI-DSS”). Our program has been certified against ISO27001 since 2009.</w:t>
      </w:r>
    </w:p>
    <w:p>
      <w:pPr>
        <w:spacing w:after="0" w:line="162" w:lineRule="exact"/>
        <w:rPr>
          <w:sz w:val="20"/>
          <w:szCs w:val="20"/>
          <w:color w:val="auto"/>
        </w:rPr>
      </w:pPr>
    </w:p>
    <w:p>
      <w:pPr>
        <w:jc w:val="both"/>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131" w:lineRule="exact"/>
        <w:rPr>
          <w:sz w:val="20"/>
          <w:szCs w:val="20"/>
          <w:color w:val="auto"/>
        </w:rPr>
      </w:pPr>
    </w:p>
    <w:p>
      <w:pPr>
        <w:ind w:left="1240" w:right="380" w:hanging="530"/>
        <w:spacing w:after="0" w:line="295" w:lineRule="auto"/>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w:t>
      </w:r>
    </w:p>
    <w:p>
      <w:pPr>
        <w:spacing w:after="0" w:line="55"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information security team principally responsible for managing (1) our cybersecurity risk assessment processes, (2) our security controls, and (3) our response to cybersecurity incidents;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information security controls;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directors, senior management, employees and incident response personnel;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service providers, suppliers, and vendors.</w:t>
      </w:r>
    </w:p>
    <w:p>
      <w:pPr>
        <w:spacing w:after="0" w:line="22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 — D. Risk Factors — Risks Relating to Our Business and Operations — Our information technology and other systems are subject to cybersecurity risks, including misappropriation of customer information, other breaches of information security or other cybercrimes, as well as regulatory and other risks” and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 and/or result in damage to reputation and/or subject us to fines, penalties, lawsuits, restrictions on our use or transfer of data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20"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62"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audit and risk committee receives regular reports from management on our cybersecurity risks. In addition, management updates the audit and risk committee, as necessary, regarding any material cybersecurity incidents, as well as any incidents with lesser impact potential.</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193</w:t>
      </w:r>
    </w:p>
    <w:p>
      <w:pPr>
        <w:sectPr>
          <w:pgSz w:w="11900" w:h="16838" w:orient="portrait"/>
          <w:cols w:equalWidth="0" w:num="1">
            <w:col w:w="10940"/>
          </w:cols>
          <w:pgMar w:left="320" w:top="473" w:right="6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The audit and risk committee reports to the full board regarding its activities, including those related to cybersecurity. The full board also receives briefings from management on our cyber risk management program. Board members receive presentations on cybersecurity topics from our chief risk officer, chief information security officer and external experts as part of the board’s continuing education on topics that impact public companies.</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cybersecurity risk management team, including our chief risk officer and chief information security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cybersecurity risk management team’s experience includes previous work experience in senior cybersecurity and risk management roles in various industries including financial services, technology and consulting. Our cybersecurity risk management team also holds multiple security credentials such as Certified Information Systems Auditor, Certified Information Systems Security Professional, Certified Information Security Manager, ISO Lead Auditor Practitioner, and Certified in Risk and Systems Information Control certifications as well as various technology certifications. The team also engages leading cybersecurity and forensic incident response external service providers to provide extensive capability to run, review, challenge and advise on operational enhancements, and provide incident response capability during an incident, as required.</w:t>
      </w:r>
    </w:p>
    <w:p>
      <w:pPr>
        <w:spacing w:after="0" w:line="178"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cybersecurity risk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3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consolidated financial statements of Melco Resorts &amp; Entertainment Limited and its subsidiaries are included at the end of this annual</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report.</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194</w:t>
      </w:r>
    </w:p>
    <w:p>
      <w:pPr>
        <w:sectPr>
          <w:pgSz w:w="11900" w:h="16838" w:orient="portrait"/>
          <w:cols w:equalWidth="0" w:num="1">
            <w:col w:w="10960"/>
          </w:cols>
          <w:pgMar w:left="320" w:top="473" w:right="6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19.</w:t>
            </w:r>
          </w:p>
        </w:tc>
        <w:tc>
          <w:tcPr>
            <w:tcW w:w="9760" w:type="dxa"/>
            <w:vAlign w:val="bottom"/>
            <w:gridSpan w:val="23"/>
          </w:tcPr>
          <w:p>
            <w:pPr>
              <w:ind w:left="18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55"/>
        </w:trPr>
        <w:tc>
          <w:tcPr>
            <w:tcW w:w="8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
        </w:trPr>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1.1</w:t>
            </w:r>
          </w:p>
        </w:tc>
        <w:tc>
          <w:tcPr>
            <w:tcW w:w="200" w:type="dxa"/>
            <w:vAlign w:val="bottom"/>
          </w:tcPr>
          <w:p>
            <w:pPr>
              <w:spacing w:after="0"/>
              <w:rPr>
                <w:sz w:val="23"/>
                <w:szCs w:val="23"/>
                <w:color w:val="auto"/>
              </w:rPr>
            </w:pPr>
          </w:p>
        </w:tc>
        <w:tc>
          <w:tcPr>
            <w:tcW w:w="9560" w:type="dxa"/>
            <w:vAlign w:val="bottom"/>
            <w:gridSpan w:val="22"/>
          </w:tcPr>
          <w:p>
            <w:pPr>
              <w:spacing w:after="0"/>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Amended and Restated Memorandum and Articles of Association adopted on March 29, 2017 (incorporated by reference to Exhibit 1.1</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2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from our annual report on Form 20-F for the fiscal year ended December 31, 2016 (File No. 001-33178), filed with the SEC on April 11,</w:t>
              </w:r>
            </w:hyperlink>
          </w:p>
        </w:tc>
        <w:tc>
          <w:tcPr>
            <w:tcW w:w="40" w:type="dxa"/>
            <w:vAlign w:val="bottom"/>
            <w:gridSpan w:val="2"/>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0000EE"/>
            </w:tcBorders>
          </w:tcPr>
          <w:p>
            <w:pPr>
              <w:spacing w:after="0" w:line="189" w:lineRule="exact"/>
              <w:rPr>
                <w:rFonts w:ascii="Times New Roman" w:cs="Times New Roman" w:eastAsia="Times New Roman" w:hAnsi="Times New Roman"/>
                <w:sz w:val="17"/>
                <w:szCs w:val="17"/>
                <w:color w:val="0000EE"/>
                <w:w w:val="95"/>
              </w:rPr>
            </w:pPr>
            <w:hyperlink r:id="rId216">
              <w:r>
                <w:rPr>
                  <w:rFonts w:ascii="Times New Roman" w:cs="Times New Roman" w:eastAsia="Times New Roman" w:hAnsi="Times New Roman"/>
                  <w:sz w:val="17"/>
                  <w:szCs w:val="17"/>
                  <w:color w:val="0000EE"/>
                  <w:w w:val="95"/>
                </w:rPr>
                <w:t>2017)</w:t>
              </w:r>
            </w:hyperlink>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w:t>
            </w:r>
          </w:p>
        </w:tc>
        <w:tc>
          <w:tcPr>
            <w:tcW w:w="200" w:type="dxa"/>
            <w:vAlign w:val="bottom"/>
          </w:tcPr>
          <w:p>
            <w:pPr>
              <w:spacing w:after="0"/>
              <w:rPr>
                <w:sz w:val="24"/>
                <w:szCs w:val="24"/>
                <w:color w:val="auto"/>
              </w:rPr>
            </w:pPr>
          </w:p>
        </w:tc>
        <w:tc>
          <w:tcPr>
            <w:tcW w:w="53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Form of Registrant’s American Depositary Receipt (included in Exhibit 2.3)</w:t>
              </w:r>
            </w:hyperlink>
          </w:p>
        </w:tc>
        <w:tc>
          <w:tcPr>
            <w:tcW w:w="4260" w:type="dxa"/>
            <w:vAlign w:val="bottom"/>
            <w:gridSpan w:val="14"/>
          </w:tcPr>
          <w:p>
            <w:pPr>
              <w:spacing w:after="0"/>
              <w:rPr>
                <w:sz w:val="24"/>
                <w:szCs w:val="24"/>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2.2</w:t>
            </w:r>
          </w:p>
        </w:tc>
        <w:tc>
          <w:tcPr>
            <w:tcW w:w="200" w:type="dxa"/>
            <w:vAlign w:val="bottom"/>
          </w:tcPr>
          <w:p>
            <w:pPr>
              <w:spacing w:after="0"/>
              <w:rPr>
                <w:sz w:val="24"/>
                <w:szCs w:val="24"/>
                <w:color w:val="auto"/>
              </w:rPr>
            </w:pPr>
          </w:p>
        </w:tc>
        <w:tc>
          <w:tcPr>
            <w:tcW w:w="950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Registrant’s Specimen Certificate for Ordinary Shares (incorporated by reference to Exhibit 4.2 from our registration statement on Form</w:t>
              </w:r>
            </w:hyperlink>
          </w:p>
        </w:tc>
        <w:tc>
          <w:tcPr>
            <w:tcW w:w="60" w:type="dxa"/>
            <w:vAlign w:val="bottom"/>
            <w:gridSpan w:val="3"/>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6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F-1 registration statement (File No. 333-139088), as amended, initially filed with the SEC on December 1, 2006)</w:t>
              </w:r>
            </w:hyperlink>
          </w:p>
        </w:tc>
        <w:tc>
          <w:tcPr>
            <w:tcW w:w="1700" w:type="dxa"/>
            <w:vAlign w:val="bottom"/>
            <w:gridSpan w:val="13"/>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2.3</w:t>
            </w:r>
          </w:p>
        </w:tc>
        <w:tc>
          <w:tcPr>
            <w:tcW w:w="20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Form of Deposit Agreement among the Company, the depositary and the holders and beneficial owners of the American depositary</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shares issued thereunder (incorporated by reference to Exhibit (a) from Amendment No. 1 to our registration statement on Form F-6 (File</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No. 333-139159) filed with the SEC on November 29, 2011)</w:t>
              </w:r>
            </w:hyperlink>
          </w:p>
        </w:tc>
        <w:tc>
          <w:tcPr>
            <w:tcW w:w="5340" w:type="dxa"/>
            <w:vAlign w:val="bottom"/>
            <w:gridSpan w:val="15"/>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2.4</w:t>
            </w:r>
          </w:p>
        </w:tc>
        <w:tc>
          <w:tcPr>
            <w:tcW w:w="200" w:type="dxa"/>
            <w:vAlign w:val="bottom"/>
          </w:tcPr>
          <w:p>
            <w:pPr>
              <w:spacing w:after="0"/>
              <w:rPr>
                <w:sz w:val="24"/>
                <w:szCs w:val="24"/>
                <w:color w:val="auto"/>
              </w:rPr>
            </w:pPr>
          </w:p>
        </w:tc>
        <w:tc>
          <w:tcPr>
            <w:tcW w:w="948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Deed of Variation and Amendment dated July 27, 2007 between our Company, Melco Leisure and Entertainment Group Limited, Melco</w:t>
              </w:r>
            </w:hyperlink>
          </w:p>
        </w:tc>
        <w:tc>
          <w:tcPr>
            <w:tcW w:w="80" w:type="dxa"/>
            <w:vAlign w:val="bottom"/>
            <w:gridSpan w:val="4"/>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International Development Limited, PBL Asia Investments Limited, Publishing and Broadcasting Limited and Crown Limited</w:t>
              </w:r>
            </w:hyperlink>
          </w:p>
        </w:tc>
        <w:tc>
          <w:tcPr>
            <w:tcW w:w="760" w:type="dxa"/>
            <w:vAlign w:val="bottom"/>
            <w:gridSpan w:val="11"/>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(incorporated by reference to Exhibit 4.11 from our registration statement on Form F-1 (File No. 333-146780), as amended, initially filed</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with the SEC on October 18, 2007)</w:t>
              </w:r>
            </w:hyperlink>
          </w:p>
        </w:tc>
      </w:tr>
      <w:tr>
        <w:trPr>
          <w:trHeight w:val="20"/>
        </w:trPr>
        <w:tc>
          <w:tcPr>
            <w:tcW w:w="8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2.5</w:t>
            </w:r>
          </w:p>
        </w:tc>
        <w:tc>
          <w:tcPr>
            <w:tcW w:w="20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Form of Registration Rights Agreement among our Company, Melco Leisure and Entertainment Group Limited and PBL (incorporated</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by reference to Exhibit 4.10 from our registration statement on Form F-1 (File No. 333-139088), as amended, initially filed with the SEC</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on December 1, 2006)</w:t>
              </w:r>
            </w:hyperlink>
          </w:p>
        </w:tc>
      </w:tr>
      <w:tr>
        <w:trPr>
          <w:trHeight w:val="20"/>
        </w:trPr>
        <w:tc>
          <w:tcPr>
            <w:tcW w:w="8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2.6</w:t>
            </w:r>
          </w:p>
        </w:tc>
        <w:tc>
          <w:tcPr>
            <w:tcW w:w="20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Amendment No. 1 and Joinder to Registration Rights Agreement among our Company, Crown Asia Investments Pty Ltd, Crown Resorts</w:t>
              </w:r>
            </w:hyperlink>
          </w:p>
        </w:tc>
        <w:tc>
          <w:tcPr>
            <w:tcW w:w="20" w:type="dxa"/>
            <w:vAlign w:val="bottom"/>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2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Limited, Melco Leisure and Entertainment Group Limited and Melco International Development Limited, dated as of February 9, 2017</w:t>
              </w:r>
            </w:hyperlink>
          </w:p>
        </w:tc>
        <w:tc>
          <w:tcPr>
            <w:tcW w:w="140" w:type="dxa"/>
            <w:vAlign w:val="bottom"/>
            <w:gridSpan w:val="6"/>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(incorporated by reference to Exhibit 2.19 from our annual report on Form 20-F for the fiscal year ended December 31, 2016</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80" w:type="dxa"/>
            <w:vAlign w:val="bottom"/>
            <w:tcBorders>
              <w:top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(File No. 001-33178), filed with the SEC on April 11, 2017)</w:t>
              </w:r>
            </w:hyperlink>
          </w:p>
        </w:tc>
        <w:tc>
          <w:tcPr>
            <w:tcW w:w="880" w:type="dxa"/>
            <w:vAlign w:val="bottom"/>
            <w:gridSpan w:val="12"/>
          </w:tcPr>
          <w:p>
            <w:pPr>
              <w:spacing w:after="0"/>
              <w:rPr>
                <w:sz w:val="16"/>
                <w:szCs w:val="16"/>
                <w:color w:val="auto"/>
              </w:rPr>
            </w:pPr>
          </w:p>
        </w:tc>
      </w:tr>
      <w:tr>
        <w:trPr>
          <w:trHeight w:val="20"/>
        </w:trPr>
        <w:tc>
          <w:tcPr>
            <w:tcW w:w="8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2.7</w:t>
            </w:r>
          </w:p>
        </w:tc>
        <w:tc>
          <w:tcPr>
            <w:tcW w:w="20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Amendment No. 2 to Registration Rights Agreement among our Company, Crown Asia Investments Pty Ltd, Crown Resorts Limited,</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61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4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Melco Leisure and Entertainment Group Limited and Melco International Development Limited, dated as of May 15, 2017 (incorporated</w:t>
              </w:r>
            </w:hyperlink>
          </w:p>
        </w:tc>
        <w:tc>
          <w:tcPr>
            <w:tcW w:w="2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8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by reference to Exhibit 2.24 from our annual report on Form 20-F for the fiscal year ended December 31, 2017 (File No. 001-33178),</w:t>
              </w:r>
            </w:hyperlink>
          </w:p>
        </w:tc>
        <w:tc>
          <w:tcPr>
            <w:tcW w:w="280" w:type="dxa"/>
            <w:vAlign w:val="bottom"/>
            <w:gridSpan w:val="8"/>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filed with the SEC on April 12, 2018)</w:t>
              </w:r>
            </w:hyperlink>
          </w:p>
        </w:tc>
        <w:tc>
          <w:tcPr>
            <w:tcW w:w="6940" w:type="dxa"/>
            <w:vAlign w:val="bottom"/>
            <w:gridSpan w:val="17"/>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2.8</w:t>
            </w:r>
          </w:p>
        </w:tc>
        <w:tc>
          <w:tcPr>
            <w:tcW w:w="20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Senior Term Loan and Revolving Facilities Agreement, dated January 28, 2013, among Studio City Investments Limited, Studio City</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800" w:type="dxa"/>
            <w:vAlign w:val="bottom"/>
            <w:gridSpan w:val="11"/>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6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Company Limited, certain guarantors as specified therein, Australia and New Zealand Banking Group Limited, Bank of America, N.A.,</w:t>
              </w:r>
            </w:hyperlink>
          </w:p>
        </w:tc>
        <w:tc>
          <w:tcPr>
            <w:tcW w:w="100" w:type="dxa"/>
            <w:vAlign w:val="bottom"/>
            <w:gridSpan w:val="5"/>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Bank of China Limited, Macau Branch, Citigroup Global Markets Asia Limited, Credit Agricole Corporate and Investment Bank,</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800" w:type="dxa"/>
            <w:vAlign w:val="bottom"/>
            <w:gridSpan w:val="11"/>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2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Deutsche Bank AG, Hong Kong Branch, Industrial and Commercial Bank of China (Macau) Limited and UBS AG Hong Kong Branch</w:t>
              </w:r>
            </w:hyperlink>
          </w:p>
        </w:tc>
        <w:tc>
          <w:tcPr>
            <w:tcW w:w="140" w:type="dxa"/>
            <w:vAlign w:val="bottom"/>
            <w:gridSpan w:val="6"/>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as bookrunner mandated lead arrangers, certain other entities as specified therein as mandated lead arranger, lead arrangers, arranger,</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tcBorders>
              <w:top w:val="single" w:sz="8" w:color="0000EE"/>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senior managers and managers, certain financial institutions as lenders, Deutsche Bank AG, Hong Kong Branch as facility agent,</w:t>
              </w:r>
            </w:hyperlink>
          </w:p>
        </w:tc>
        <w:tc>
          <w:tcPr>
            <w:tcW w:w="260" w:type="dxa"/>
            <w:vAlign w:val="bottom"/>
            <w:tcBorders>
              <w:top w:val="single" w:sz="8" w:color="0000EE"/>
            </w:tcBorders>
            <w:gridSpan w:val="2"/>
          </w:tcPr>
          <w:p>
            <w:pPr>
              <w:spacing w:after="0"/>
              <w:rPr>
                <w:sz w:val="16"/>
                <w:szCs w:val="16"/>
                <w:color w:val="auto"/>
              </w:rPr>
            </w:pPr>
          </w:p>
        </w:tc>
        <w:tc>
          <w:tcPr>
            <w:tcW w:w="280" w:type="dxa"/>
            <w:vAlign w:val="bottom"/>
            <w:gridSpan w:val="8"/>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2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Industrial and Commercial Bank of China (Macau) Limited as agent and security trustee, disbursement agent and agent for the agent and</w:t>
              </w:r>
            </w:hyperlink>
          </w:p>
        </w:tc>
        <w:tc>
          <w:tcPr>
            <w:tcW w:w="40" w:type="dxa"/>
            <w:vAlign w:val="bottom"/>
            <w:gridSpan w:val="2"/>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22"/>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security trustee and Bank of China Limited, Macau Branch as issuing bank (incorporated by reference to Exhibit 2.16 from our annual</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report on Form 20-F for the fiscal year ended December 31, 2012 (File No. 001-33178), filed with the SEC on April 18, 2013)</w:t>
              </w:r>
            </w:hyperlink>
          </w:p>
        </w:tc>
        <w:tc>
          <w:tcPr>
            <w:tcW w:w="160" w:type="dxa"/>
            <w:vAlign w:val="bottom"/>
            <w:gridSpan w:val="7"/>
          </w:tcPr>
          <w:p>
            <w:pPr>
              <w:spacing w:after="0"/>
              <w:rPr>
                <w:sz w:val="16"/>
                <w:szCs w:val="16"/>
                <w:color w:val="auto"/>
              </w:rPr>
            </w:pPr>
          </w:p>
        </w:tc>
      </w:tr>
      <w:tr>
        <w:trPr>
          <w:trHeight w:val="372"/>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tcBorders>
              <w:top w:val="single" w:sz="8" w:color="0000EE"/>
            </w:tcBorders>
            <w:gridSpan w:val="8"/>
          </w:tcPr>
          <w:p>
            <w:pPr>
              <w:jc w:val="right"/>
              <w:ind w:right="920"/>
              <w:spacing w:after="0"/>
              <w:rPr>
                <w:sz w:val="20"/>
                <w:szCs w:val="20"/>
                <w:color w:val="auto"/>
              </w:rPr>
            </w:pPr>
            <w:r>
              <w:rPr>
                <w:rFonts w:ascii="Times New Roman" w:cs="Times New Roman" w:eastAsia="Times New Roman" w:hAnsi="Times New Roman"/>
                <w:sz w:val="17"/>
                <w:szCs w:val="17"/>
                <w:color w:val="auto"/>
              </w:rPr>
              <w:t>195</w:t>
            </w:r>
          </w:p>
        </w:tc>
        <w:tc>
          <w:tcPr>
            <w:tcW w:w="25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6"/>
                <w:szCs w:val="16"/>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Description of Document</w:t>
            </w:r>
          </w:p>
        </w:tc>
        <w:tc>
          <w:tcPr>
            <w:tcW w:w="8000" w:type="dxa"/>
            <w:vAlign w:val="bottom"/>
            <w:gridSpan w:val="14"/>
          </w:tcPr>
          <w:p>
            <w:pPr>
              <w:spacing w:after="0"/>
              <w:rPr>
                <w:sz w:val="16"/>
                <w:szCs w:val="16"/>
                <w:color w:val="auto"/>
              </w:rPr>
            </w:pPr>
          </w:p>
        </w:tc>
      </w:tr>
      <w:tr>
        <w:trPr>
          <w:trHeight w:val="27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2.9</w:t>
            </w:r>
          </w:p>
        </w:tc>
        <w:tc>
          <w:tcPr>
            <w:tcW w:w="936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Amendment Agreement, dated March 1, 2013, between Studio City Investments Limited and Deutsche Bank AG, Hong Kong Branch</w:t>
              </w:r>
            </w:hyperlink>
          </w:p>
        </w:tc>
        <w:tc>
          <w:tcPr>
            <w:tcW w:w="140" w:type="dxa"/>
            <w:vAlign w:val="bottom"/>
            <w:gridSpan w:val="3"/>
          </w:tcPr>
          <w:p>
            <w:pPr>
              <w:spacing w:after="0"/>
              <w:rPr>
                <w:sz w:val="23"/>
                <w:szCs w:val="23"/>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as facility agent, relating to a senior facilities agreement dated January 28, 2013 (incorporated by reference to Exhibit 2.18 from our</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32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annual report on Form 20-F for the fiscal year ended December 31, 2012 (File No. 001-33178), filed with the SEC on April 18, 2013)</w:t>
              </w:r>
            </w:hyperlink>
          </w:p>
        </w:tc>
        <w:tc>
          <w:tcPr>
            <w:tcW w:w="180" w:type="dxa"/>
            <w:vAlign w:val="bottom"/>
            <w:gridSpan w:val="4"/>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2.10</w:t>
            </w:r>
          </w:p>
        </w:tc>
        <w:tc>
          <w:tcPr>
            <w:tcW w:w="914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Indenture dated June 6, 2017 relating to Melco Resorts Finance Limited’s 4.875% 2025 Senior Notes (incorporated by reference to</w:t>
              </w:r>
            </w:hyperlink>
          </w:p>
        </w:tc>
        <w:tc>
          <w:tcPr>
            <w:tcW w:w="360" w:type="dxa"/>
            <w:vAlign w:val="bottom"/>
            <w:gridSpan w:val="7"/>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Exhibit 2.25 from our annual report on Form 20-F for the fiscal year ended December 31, 2017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0" w:type="dxa"/>
            <w:vAlign w:val="bottom"/>
            <w:tcBorders>
              <w:top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SEC on April 12, 2018)</w:t>
              </w:r>
            </w:hyperlink>
          </w:p>
        </w:tc>
        <w:tc>
          <w:tcPr>
            <w:tcW w:w="300" w:type="dxa"/>
            <w:vAlign w:val="bottom"/>
            <w:gridSpan w:val="6"/>
          </w:tcPr>
          <w:p>
            <w:pPr>
              <w:spacing w:after="0"/>
              <w:rPr>
                <w:sz w:val="16"/>
                <w:szCs w:val="16"/>
                <w:color w:val="auto"/>
              </w:rPr>
            </w:pPr>
          </w:p>
        </w:tc>
      </w:tr>
      <w:tr>
        <w:trPr>
          <w:trHeight w:val="20"/>
        </w:trPr>
        <w:tc>
          <w:tcPr>
            <w:tcW w:w="1160" w:type="dxa"/>
            <w:vAlign w:val="bottom"/>
            <w:gridSpan w:val="3"/>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2.11</w:t>
            </w:r>
          </w:p>
        </w:tc>
        <w:tc>
          <w:tcPr>
            <w:tcW w:w="9500" w:type="dxa"/>
            <w:vAlign w:val="bottom"/>
            <w:gridSpan w:val="15"/>
          </w:tcPr>
          <w:p>
            <w:pPr>
              <w:spacing w:after="0"/>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Indenture dated April 26, 2019 relating to Melco Resorts Finance Limited’s 5.250% 2026 Senior Notes (incorporated by reference to</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60" w:type="dxa"/>
            <w:vAlign w:val="bottom"/>
            <w:tcBorders>
              <w:top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Exhibit 2.28 from our annual report on Form 20-F for the fiscal year ended December 31, 2019 (File No. 001-33178), filed with the</w:t>
              </w:r>
            </w:hyperlink>
          </w:p>
        </w:tc>
        <w:tc>
          <w:tcPr>
            <w:tcW w:w="240" w:type="dxa"/>
            <w:vAlign w:val="bottom"/>
            <w:gridSpan w:val="5"/>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SEC on March 31, 2020)</w:t>
              </w:r>
            </w:hyperlink>
          </w:p>
        </w:tc>
        <w:tc>
          <w:tcPr>
            <w:tcW w:w="7440" w:type="dxa"/>
            <w:vAlign w:val="bottom"/>
            <w:tcBorders>
              <w:top w:val="single" w:sz="8" w:color="0000EE"/>
            </w:tcBorders>
            <w:gridSpan w:val="6"/>
          </w:tcPr>
          <w:p>
            <w:pPr>
              <w:spacing w:after="0"/>
              <w:rPr>
                <w:sz w:val="16"/>
                <w:szCs w:val="16"/>
                <w:color w:val="auto"/>
              </w:rPr>
            </w:pPr>
          </w:p>
        </w:tc>
        <w:tc>
          <w:tcPr>
            <w:tcW w:w="300" w:type="dxa"/>
            <w:vAlign w:val="bottom"/>
            <w:gridSpan w:val="6"/>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2.12</w:t>
            </w:r>
          </w:p>
        </w:tc>
        <w:tc>
          <w:tcPr>
            <w:tcW w:w="920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Indenture dated July 17, 2019 relating to Melco Resorts Finance Limited’s 5.625% 2027 Senior Notes (incorporated by reference to</w:t>
              </w:r>
            </w:hyperlink>
          </w:p>
        </w:tc>
        <w:tc>
          <w:tcPr>
            <w:tcW w:w="300" w:type="dxa"/>
            <w:vAlign w:val="bottom"/>
            <w:gridSpan w:val="6"/>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Exhibit 2.29 from our annual report on Form 20-F for the fiscal year ended December 31, 2019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SEC on March 31, 2020)</w:t>
              </w:r>
            </w:hyperlink>
          </w:p>
        </w:tc>
        <w:tc>
          <w:tcPr>
            <w:tcW w:w="7440" w:type="dxa"/>
            <w:vAlign w:val="bottom"/>
            <w:tcBorders>
              <w:top w:val="single" w:sz="8" w:color="0000EE"/>
            </w:tcBorders>
            <w:gridSpan w:val="6"/>
          </w:tcPr>
          <w:p>
            <w:pPr>
              <w:spacing w:after="0"/>
              <w:rPr>
                <w:sz w:val="16"/>
                <w:szCs w:val="16"/>
                <w:color w:val="auto"/>
              </w:rPr>
            </w:pPr>
          </w:p>
        </w:tc>
        <w:tc>
          <w:tcPr>
            <w:tcW w:w="300" w:type="dxa"/>
            <w:vAlign w:val="bottom"/>
            <w:gridSpan w:val="6"/>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2.13</w:t>
            </w:r>
          </w:p>
        </w:tc>
        <w:tc>
          <w:tcPr>
            <w:tcW w:w="9500" w:type="dxa"/>
            <w:vAlign w:val="bottom"/>
            <w:gridSpan w:val="15"/>
          </w:tcPr>
          <w:p>
            <w:pPr>
              <w:spacing w:after="0"/>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Indenture dated December 4, 2019 relating to Melco Resorts Finance Limited’s 5.375% 2029 Senior Notes (incorporated by reference</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to Exhibit 2.30 from our annual report on Form 20-F for the fiscal year ended December 31, 2019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SEC on March 31, 2020)</w:t>
              </w:r>
            </w:hyperlink>
          </w:p>
        </w:tc>
        <w:tc>
          <w:tcPr>
            <w:tcW w:w="7600" w:type="dxa"/>
            <w:vAlign w:val="bottom"/>
            <w:tcBorders>
              <w:top w:val="single" w:sz="8" w:color="0000EE"/>
            </w:tcBorders>
            <w:gridSpan w:val="9"/>
          </w:tcPr>
          <w:p>
            <w:pPr>
              <w:spacing w:after="0"/>
              <w:rPr>
                <w:sz w:val="16"/>
                <w:szCs w:val="16"/>
                <w:color w:val="auto"/>
              </w:rPr>
            </w:pPr>
          </w:p>
        </w:tc>
        <w:tc>
          <w:tcPr>
            <w:tcW w:w="140" w:type="dxa"/>
            <w:vAlign w:val="bottom"/>
            <w:gridSpan w:val="3"/>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2.14</w:t>
            </w:r>
          </w:p>
        </w:tc>
        <w:tc>
          <w:tcPr>
            <w:tcW w:w="932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Indenture dated July 15, 2020 relating to Studio City Finance Limited’s 6.000% 2025 Studio City Notes (incorporated by reference to</w:t>
              </w:r>
            </w:hyperlink>
          </w:p>
        </w:tc>
        <w:tc>
          <w:tcPr>
            <w:tcW w:w="180" w:type="dxa"/>
            <w:vAlign w:val="bottom"/>
            <w:gridSpan w:val="4"/>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Exhibit 2.32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SEC on March 31, 2021)</w:t>
              </w:r>
            </w:hyperlink>
          </w:p>
        </w:tc>
        <w:tc>
          <w:tcPr>
            <w:tcW w:w="7440" w:type="dxa"/>
            <w:vAlign w:val="bottom"/>
            <w:tcBorders>
              <w:top w:val="single" w:sz="8" w:color="0000EE"/>
            </w:tcBorders>
            <w:gridSpan w:val="6"/>
          </w:tcPr>
          <w:p>
            <w:pPr>
              <w:spacing w:after="0"/>
              <w:rPr>
                <w:sz w:val="16"/>
                <w:szCs w:val="16"/>
                <w:color w:val="auto"/>
              </w:rPr>
            </w:pPr>
          </w:p>
        </w:tc>
        <w:tc>
          <w:tcPr>
            <w:tcW w:w="300" w:type="dxa"/>
            <w:vAlign w:val="bottom"/>
            <w:gridSpan w:val="6"/>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2.15</w:t>
            </w:r>
          </w:p>
        </w:tc>
        <w:tc>
          <w:tcPr>
            <w:tcW w:w="932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Indenture dated July 15, 2020 relating to Studio City Finance Limited’s 6.500% 2028 Studio City Notes (incorporated by reference to</w:t>
              </w:r>
            </w:hyperlink>
          </w:p>
        </w:tc>
        <w:tc>
          <w:tcPr>
            <w:tcW w:w="180" w:type="dxa"/>
            <w:vAlign w:val="bottom"/>
            <w:gridSpan w:val="4"/>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Exhibit 2.33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SEC on March 31, 2021)</w:t>
              </w:r>
            </w:hyperlink>
          </w:p>
        </w:tc>
        <w:tc>
          <w:tcPr>
            <w:tcW w:w="7440" w:type="dxa"/>
            <w:vAlign w:val="bottom"/>
            <w:tcBorders>
              <w:top w:val="single" w:sz="8" w:color="0000EE"/>
            </w:tcBorders>
            <w:gridSpan w:val="6"/>
          </w:tcPr>
          <w:p>
            <w:pPr>
              <w:spacing w:after="0"/>
              <w:rPr>
                <w:sz w:val="16"/>
                <w:szCs w:val="16"/>
                <w:color w:val="auto"/>
              </w:rPr>
            </w:pPr>
          </w:p>
        </w:tc>
        <w:tc>
          <w:tcPr>
            <w:tcW w:w="300" w:type="dxa"/>
            <w:vAlign w:val="bottom"/>
            <w:gridSpan w:val="6"/>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2.16</w:t>
            </w:r>
          </w:p>
        </w:tc>
        <w:tc>
          <w:tcPr>
            <w:tcW w:w="920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Indenture dated July 21, 2020 relating to Melco Resorts Finance Limited’s 5.750% 2028 Senior Notes (incorporated by reference to</w:t>
              </w:r>
            </w:hyperlink>
          </w:p>
        </w:tc>
        <w:tc>
          <w:tcPr>
            <w:tcW w:w="300" w:type="dxa"/>
            <w:vAlign w:val="bottom"/>
            <w:gridSpan w:val="6"/>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Exhibit 2.34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SEC on March 31, 2021)</w:t>
              </w:r>
            </w:hyperlink>
          </w:p>
        </w:tc>
        <w:tc>
          <w:tcPr>
            <w:tcW w:w="7440" w:type="dxa"/>
            <w:vAlign w:val="bottom"/>
            <w:tcBorders>
              <w:top w:val="single" w:sz="8" w:color="0000EE"/>
            </w:tcBorders>
            <w:gridSpan w:val="6"/>
          </w:tcPr>
          <w:p>
            <w:pPr>
              <w:spacing w:after="0"/>
              <w:rPr>
                <w:sz w:val="16"/>
                <w:szCs w:val="16"/>
                <w:color w:val="auto"/>
              </w:rPr>
            </w:pPr>
          </w:p>
        </w:tc>
        <w:tc>
          <w:tcPr>
            <w:tcW w:w="300" w:type="dxa"/>
            <w:vAlign w:val="bottom"/>
            <w:gridSpan w:val="6"/>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2.17</w:t>
            </w:r>
          </w:p>
        </w:tc>
        <w:tc>
          <w:tcPr>
            <w:tcW w:w="94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Indenture dated January 14, 2021 relating to Studio City Finance Limited’s 5.000% 2029 Studio City Notes (incorporated by reference</w:t>
              </w:r>
            </w:hyperlink>
          </w:p>
        </w:tc>
        <w:tc>
          <w:tcPr>
            <w:tcW w:w="100" w:type="dxa"/>
            <w:vAlign w:val="bottom"/>
            <w:gridSpan w:val="2"/>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to Exhibit 2.35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SEC on March 31, 2021)</w:t>
              </w:r>
            </w:hyperlink>
          </w:p>
        </w:tc>
        <w:tc>
          <w:tcPr>
            <w:tcW w:w="7600" w:type="dxa"/>
            <w:vAlign w:val="bottom"/>
            <w:tcBorders>
              <w:top w:val="single" w:sz="8" w:color="0000EE"/>
            </w:tcBorders>
            <w:gridSpan w:val="9"/>
          </w:tcPr>
          <w:p>
            <w:pPr>
              <w:spacing w:after="0"/>
              <w:rPr>
                <w:sz w:val="16"/>
                <w:szCs w:val="16"/>
                <w:color w:val="auto"/>
              </w:rPr>
            </w:pPr>
          </w:p>
        </w:tc>
        <w:tc>
          <w:tcPr>
            <w:tcW w:w="140" w:type="dxa"/>
            <w:vAlign w:val="bottom"/>
            <w:gridSpan w:val="3"/>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2.18</w:t>
            </w:r>
          </w:p>
        </w:tc>
        <w:tc>
          <w:tcPr>
            <w:tcW w:w="9500" w:type="dxa"/>
            <w:vAlign w:val="bottom"/>
            <w:gridSpan w:val="15"/>
          </w:tcPr>
          <w:p>
            <w:pPr>
              <w:spacing w:after="0"/>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 xml:space="preserve">Amended and Restated Credit Agreement relating to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gridSpan w:val="15"/>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dated March 15, 2021, among Studio City Company Limited and certain of its subsidiaries and affiliates with Bank of China Limited,</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gridSpan w:val="4"/>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Macau Branch, among others (incorporated by reference to Exhibit 2.36 from our annual report on Form 20-F for the fiscal year ended</w:t>
              </w:r>
            </w:hyperlink>
          </w:p>
        </w:tc>
        <w:tc>
          <w:tcPr>
            <w:tcW w:w="100" w:type="dxa"/>
            <w:vAlign w:val="bottom"/>
            <w:gridSpan w:val="2"/>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December 31, 2020 (File No. 001-33178), filed with the SEC on March 31, 2021)</w:t>
              </w:r>
            </w:hyperlink>
          </w:p>
        </w:tc>
        <w:tc>
          <w:tcPr>
            <w:tcW w:w="3780" w:type="dxa"/>
            <w:vAlign w:val="bottom"/>
            <w:gridSpan w:val="11"/>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2.19</w:t>
            </w:r>
          </w:p>
        </w:tc>
        <w:tc>
          <w:tcPr>
            <w:tcW w:w="94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Senior Facilities Agreement, dated April 29, 2020, entered into between, among others, MCO Nominee One Limited, as borrower, and</w:t>
              </w:r>
            </w:hyperlink>
          </w:p>
        </w:tc>
        <w:tc>
          <w:tcPr>
            <w:tcW w:w="100" w:type="dxa"/>
            <w:vAlign w:val="bottom"/>
            <w:gridSpan w:val="2"/>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0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Bank of China Limited, Macau Branch, Bank of Communications Co., Ltd. Macau Branch and Morgan Stanley Senior Funding, Inc., as</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joint global coordinators regarding the 2020 Credit Facilities (incorporated by reference to Exhibit 2.37 from our annual report on Form</w:t>
              </w:r>
            </w:hyperlink>
          </w:p>
        </w:tc>
        <w:tc>
          <w:tcPr>
            <w:tcW w:w="2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2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20-F for the fiscal year ended December 31, 2020 (File No. 001-33178), filed with the SEC on March 31, 2021)</w:t>
              </w:r>
            </w:hyperlink>
          </w:p>
        </w:tc>
        <w:tc>
          <w:tcPr>
            <w:tcW w:w="1680" w:type="dxa"/>
            <w:vAlign w:val="bottom"/>
            <w:gridSpan w:val="9"/>
          </w:tcPr>
          <w:p>
            <w:pPr>
              <w:spacing w:after="0"/>
              <w:rPr>
                <w:sz w:val="16"/>
                <w:szCs w:val="16"/>
                <w:color w:val="auto"/>
              </w:rPr>
            </w:pPr>
          </w:p>
        </w:tc>
      </w:tr>
      <w:tr>
        <w:trPr>
          <w:trHeight w:val="294"/>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2.20</w:t>
            </w:r>
          </w:p>
        </w:tc>
        <w:tc>
          <w:tcPr>
            <w:tcW w:w="9500" w:type="dxa"/>
            <w:vAlign w:val="bottom"/>
            <w:gridSpan w:val="15"/>
          </w:tcPr>
          <w:p>
            <w:pPr>
              <w:spacing w:after="0"/>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Description of Registrant’s Securities (incorporated herein by reference to Exhibit 2.20 from our annual report on Form 20-F for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0" w:type="dxa"/>
            <w:vAlign w:val="bottom"/>
            <w:tcBorders>
              <w:top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fiscal year ended December 31, 2022 (File No. 001-33178), filed with the SEC on March 31, 2022)</w:t>
              </w:r>
            </w:hyperlink>
          </w:p>
        </w:tc>
        <w:tc>
          <w:tcPr>
            <w:tcW w:w="300" w:type="dxa"/>
            <w:vAlign w:val="bottom"/>
            <w:gridSpan w:val="6"/>
          </w:tcPr>
          <w:p>
            <w:pPr>
              <w:spacing w:after="0"/>
              <w:rPr>
                <w:sz w:val="16"/>
                <w:szCs w:val="16"/>
                <w:color w:val="auto"/>
              </w:rPr>
            </w:pPr>
          </w:p>
        </w:tc>
      </w:tr>
      <w:tr>
        <w:trPr>
          <w:trHeight w:val="37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Borders>
              <w:top w:val="single" w:sz="8" w:color="0000EE"/>
            </w:tcBorders>
            <w:gridSpan w:val="4"/>
          </w:tcPr>
          <w:p>
            <w:pPr>
              <w:ind w:left="4040"/>
              <w:spacing w:after="0"/>
              <w:rPr>
                <w:sz w:val="20"/>
                <w:szCs w:val="20"/>
                <w:color w:val="auto"/>
              </w:rPr>
            </w:pPr>
            <w:r>
              <w:rPr>
                <w:rFonts w:ascii="Times New Roman" w:cs="Times New Roman" w:eastAsia="Times New Roman" w:hAnsi="Times New Roman"/>
                <w:sz w:val="17"/>
                <w:szCs w:val="17"/>
                <w:color w:val="auto"/>
              </w:rPr>
              <w:t>196</w:t>
            </w:r>
          </w:p>
        </w:tc>
        <w:tc>
          <w:tcPr>
            <w:tcW w:w="122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320" w:top="473" w:right="6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880"/>
          </w:cols>
          <w:pgMar w:left="320" w:top="472" w:right="699" w:bottom="1440" w:gutter="0" w:footer="0" w:header="0"/>
        </w:sectPr>
      </w:pP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2.21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line="276" w:lineRule="auto"/>
        <w:rPr>
          <w:rFonts w:ascii="Times New Roman" w:cs="Times New Roman" w:eastAsia="Times New Roman" w:hAnsi="Times New Roman"/>
          <w:sz w:val="17"/>
          <w:szCs w:val="17"/>
          <w:u w:val="single" w:color="auto"/>
          <w:color w:val="0000EE"/>
        </w:rPr>
      </w:pPr>
      <w:hyperlink r:id="rId238">
        <w:r>
          <w:rPr>
            <w:rFonts w:ascii="Times New Roman" w:cs="Times New Roman" w:eastAsia="Times New Roman" w:hAnsi="Times New Roman"/>
            <w:sz w:val="17"/>
            <w:szCs w:val="17"/>
            <w:u w:val="single" w:color="auto"/>
            <w:color w:val="0000EE"/>
          </w:rPr>
          <w:t>Indenture relating to 7.000% senior notes due 2027 and dated February 16, 2022, among Studio City Company Limited, as issuer, the</w:t>
        </w:r>
      </w:hyperlink>
      <w:r>
        <w:rPr>
          <w:rFonts w:ascii="Times New Roman" w:cs="Times New Roman" w:eastAsia="Times New Roman" w:hAnsi="Times New Roman"/>
          <w:sz w:val="17"/>
          <w:szCs w:val="17"/>
          <w:u w:val="single" w:color="auto"/>
          <w:color w:val="0000EE"/>
        </w:rPr>
        <w:t xml:space="preserve"> </w:t>
      </w:r>
      <w:hyperlink r:id="rId238">
        <w:r>
          <w:rPr>
            <w:rFonts w:ascii="Times New Roman" w:cs="Times New Roman" w:eastAsia="Times New Roman" w:hAnsi="Times New Roman"/>
            <w:sz w:val="17"/>
            <w:szCs w:val="17"/>
            <w:u w:val="single" w:color="auto"/>
            <w:color w:val="0000EE"/>
          </w:rPr>
          <w:t>guarantors parties thereto, and Deutsche Bank Trust Company Americas, as trustee (incorporated by reference to Exhibit 2.24 from our</w:t>
        </w:r>
      </w:hyperlink>
      <w:r>
        <w:rPr>
          <w:rFonts w:ascii="Times New Roman" w:cs="Times New Roman" w:eastAsia="Times New Roman" w:hAnsi="Times New Roman"/>
          <w:sz w:val="17"/>
          <w:szCs w:val="17"/>
          <w:u w:val="single" w:color="auto"/>
          <w:color w:val="0000EE"/>
        </w:rPr>
        <w:t xml:space="preserve"> </w:t>
      </w:r>
      <w:hyperlink r:id="rId238">
        <w:r>
          <w:rPr>
            <w:rFonts w:ascii="Times New Roman" w:cs="Times New Roman" w:eastAsia="Times New Roman" w:hAnsi="Times New Roman"/>
            <w:sz w:val="17"/>
            <w:szCs w:val="17"/>
            <w:u w:val="single" w:color="auto"/>
            <w:color w:val="0000EE"/>
          </w:rPr>
          <w:t>annual report on Form 20-F for the fiscal year ended December 31, 2021 (File No. 001-33178), filed with the SEC on March 31, 2022)</w:t>
        </w:r>
      </w:hyperlink>
    </w:p>
    <w:p>
      <w:pPr>
        <w:spacing w:after="0" w:line="50"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420"/>
          </w:cols>
          <w:pgMar w:left="320" w:top="472" w:right="69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2.22</w:t>
            </w:r>
          </w:p>
        </w:tc>
        <w:tc>
          <w:tcPr>
            <w:tcW w:w="9420" w:type="dxa"/>
            <w:vAlign w:val="bottom"/>
            <w:gridSpan w:val="7"/>
          </w:tcPr>
          <w:p>
            <w:pPr>
              <w:spacing w:after="0"/>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Supplemental Indenture relating to 7.000% senior notes due 2027 and dated February 16, 2022, among Studio City Company Limited,</w:t>
              </w:r>
            </w:hyperlink>
          </w:p>
        </w:tc>
      </w:tr>
      <w:tr>
        <w:trPr>
          <w:trHeight w:val="189"/>
        </w:trPr>
        <w:tc>
          <w:tcPr>
            <w:tcW w:w="1160" w:type="dxa"/>
            <w:vAlign w:val="bottom"/>
          </w:tcPr>
          <w:p>
            <w:pPr>
              <w:spacing w:after="0"/>
              <w:rPr>
                <w:sz w:val="16"/>
                <w:szCs w:val="16"/>
                <w:color w:val="auto"/>
              </w:rPr>
            </w:pPr>
          </w:p>
        </w:tc>
        <w:tc>
          <w:tcPr>
            <w:tcW w:w="9380" w:type="dxa"/>
            <w:vAlign w:val="bottom"/>
            <w:tcBorders>
              <w:top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Industrial and Commercial Bank of China (Macau) Limited, as the security agent, DB Trustees (Hong Kong) Limited, as the</w:t>
              </w:r>
            </w:hyperlink>
          </w:p>
        </w:tc>
        <w:tc>
          <w:tcPr>
            <w:tcW w:w="4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20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intercreditor agent, and Deutsche Bank Trust Company Americas, as the trustee (incorporated by reference to Exhibit 2.25 from our</w:t>
              </w:r>
            </w:hyperlink>
          </w:p>
        </w:tc>
        <w:tc>
          <w:tcPr>
            <w:tcW w:w="220" w:type="dxa"/>
            <w:vAlign w:val="bottom"/>
            <w:gridSpan w:val="4"/>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2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annual report on Form 20-F for the fiscal year ended December 31, 2021 (File No. 001-33178), filed with the SEC on March 31, 2022)</w:t>
              </w:r>
            </w:hyperlink>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2.23</w:t>
            </w:r>
          </w:p>
        </w:tc>
        <w:tc>
          <w:tcPr>
            <w:tcW w:w="868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Amendment and Restatement Agreement dated February 7, 2022 (in respect of the Intercreditor Agreement originally dated</w:t>
              </w:r>
            </w:hyperlink>
          </w:p>
        </w:tc>
        <w:tc>
          <w:tcPr>
            <w:tcW w:w="740" w:type="dxa"/>
            <w:vAlign w:val="bottom"/>
            <w:gridSpan w:val="5"/>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2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December 1, 2016) among Studio City Company Limited, the guarantors of the 7.000% senior secured notes due 2027, the lenders and</w:t>
              </w:r>
            </w:hyperlink>
          </w:p>
        </w:tc>
      </w:tr>
      <w:tr>
        <w:trPr>
          <w:trHeight w:val="189"/>
        </w:trPr>
        <w:tc>
          <w:tcPr>
            <w:tcW w:w="1160" w:type="dxa"/>
            <w:vAlign w:val="bottom"/>
          </w:tcPr>
          <w:p>
            <w:pPr>
              <w:spacing w:after="0"/>
              <w:rPr>
                <w:sz w:val="16"/>
                <w:szCs w:val="16"/>
                <w:color w:val="auto"/>
              </w:rPr>
            </w:pPr>
          </w:p>
        </w:tc>
        <w:tc>
          <w:tcPr>
            <w:tcW w:w="9420" w:type="dxa"/>
            <w:vAlign w:val="bottom"/>
            <w:gridSpan w:val="7"/>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 xml:space="preserve">agent for Studio City Company Limited’s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 the security</w:t>
              </w:r>
            </w:hyperlink>
          </w:p>
        </w:tc>
      </w:tr>
      <w:tr>
        <w:trPr>
          <w:trHeight w:val="20"/>
        </w:trPr>
        <w:tc>
          <w:tcPr>
            <w:tcW w:w="116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20" w:type="dxa"/>
            <w:vAlign w:val="bottom"/>
            <w:gridSpan w:val="7"/>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agent and intercreditor agent named therein, among others (incorporated by reference to Exhibit 2.26 from our annual report on Form</w:t>
              </w:r>
            </w:hyperlink>
          </w:p>
        </w:tc>
      </w:tr>
      <w:tr>
        <w:trPr>
          <w:trHeight w:val="189"/>
        </w:trPr>
        <w:tc>
          <w:tcPr>
            <w:tcW w:w="1160" w:type="dxa"/>
            <w:vAlign w:val="bottom"/>
          </w:tcPr>
          <w:p>
            <w:pPr>
              <w:spacing w:after="0"/>
              <w:rPr>
                <w:sz w:val="16"/>
                <w:szCs w:val="16"/>
                <w:color w:val="auto"/>
              </w:rPr>
            </w:pPr>
          </w:p>
        </w:tc>
        <w:tc>
          <w:tcPr>
            <w:tcW w:w="9300" w:type="dxa"/>
            <w:vAlign w:val="bottom"/>
            <w:tcBorders>
              <w:top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20-F for the fiscal year ended December 31, 2021 (File No. 001-33178), filed with the SEC on March 31, 2022)</w:t>
              </w:r>
            </w:hyperlink>
          </w:p>
        </w:tc>
        <w:tc>
          <w:tcPr>
            <w:tcW w:w="120" w:type="dxa"/>
            <w:vAlign w:val="bottom"/>
            <w:gridSpan w:val="2"/>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2" w:lineRule="exact"/>
        <w:rPr>
          <w:sz w:val="20"/>
          <w:szCs w:val="20"/>
          <w:color w:val="auto"/>
        </w:rPr>
      </w:pPr>
    </w:p>
    <w:p>
      <w:pPr>
        <w:ind w:left="1460" w:right="60" w:hanging="1168"/>
        <w:spacing w:after="0" w:line="276" w:lineRule="auto"/>
        <w:tabs>
          <w:tab w:leader="none" w:pos="37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2.24*</w:t>
      </w:r>
      <w:r>
        <w:rPr>
          <w:rFonts w:ascii="Times New Roman" w:cs="Times New Roman" w:eastAsia="Times New Roman" w:hAnsi="Times New Roman"/>
          <w:sz w:val="17"/>
          <w:szCs w:val="17"/>
          <w:u w:val="single" w:color="auto"/>
          <w:color w:val="0000EE"/>
        </w:rPr>
        <w:t>Amendment and Restatement Agreement dated June 29, 2023 (in respect of the Senior Facilities Agreement originally dated April 29, 2020 regarding the 2020 Credit Facilities) among MCO Nominee One Limited, MCO Investments Limited, Melco Resorts Finance Limited, MCO International Limited, and Bank of China Limited, Macau Branch</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904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Form of Indemnification Agreement with our directors and executive officers (incorporated by reference to Exhibit 10.1 from our</w:t>
              </w:r>
            </w:hyperlink>
          </w:p>
        </w:tc>
        <w:tc>
          <w:tcPr>
            <w:tcW w:w="380" w:type="dxa"/>
            <w:vAlign w:val="bottom"/>
            <w:gridSpan w:val="5"/>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9420" w:type="dxa"/>
            <w:vAlign w:val="bottom"/>
            <w:gridSpan w:val="16"/>
          </w:tcPr>
          <w:p>
            <w:pPr>
              <w:spacing w:after="0" w:line="189"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registration statement on Form F-1 (File No. 333-139088), as amended, initially filed with the SEC on December 1, 2006)</w:t>
              </w:r>
            </w:hyperlink>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4.2</w:t>
            </w:r>
          </w:p>
        </w:tc>
        <w:tc>
          <w:tcPr>
            <w:tcW w:w="862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Form of Directors’ Agreement (incorporated by reference to Exhibit 10.2 from our registration statement on Form F-1 (File</w:t>
              </w:r>
            </w:hyperlink>
          </w:p>
        </w:tc>
        <w:tc>
          <w:tcPr>
            <w:tcW w:w="800" w:type="dxa"/>
            <w:vAlign w:val="bottom"/>
            <w:gridSpan w:val="9"/>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568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No. 333-139088), as amended, initially filed with the SEC on December 1, 2006)</w:t>
              </w:r>
            </w:hyperlink>
          </w:p>
        </w:tc>
        <w:tc>
          <w:tcPr>
            <w:tcW w:w="3740" w:type="dxa"/>
            <w:vAlign w:val="bottom"/>
            <w:gridSpan w:val="13"/>
          </w:tcPr>
          <w:p>
            <w:pPr>
              <w:spacing w:after="0"/>
              <w:rPr>
                <w:sz w:val="16"/>
                <w:szCs w:val="16"/>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4.3</w:t>
            </w:r>
          </w:p>
        </w:tc>
        <w:tc>
          <w:tcPr>
            <w:tcW w:w="942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Form of Employment Agreement between our Company and an executive officer (incorporated herein by reference to Exhibit 4.3 from</w:t>
              </w:r>
            </w:hyperlink>
          </w:p>
        </w:tc>
      </w:tr>
      <w:tr>
        <w:trPr>
          <w:trHeight w:val="189"/>
        </w:trPr>
        <w:tc>
          <w:tcPr>
            <w:tcW w:w="1160" w:type="dxa"/>
            <w:vAlign w:val="bottom"/>
          </w:tcPr>
          <w:p>
            <w:pPr>
              <w:spacing w:after="0"/>
              <w:rPr>
                <w:sz w:val="16"/>
                <w:szCs w:val="16"/>
                <w:color w:val="auto"/>
              </w:rPr>
            </w:pPr>
          </w:p>
        </w:tc>
        <w:tc>
          <w:tcPr>
            <w:tcW w:w="9420" w:type="dxa"/>
            <w:vAlign w:val="bottom"/>
            <w:gridSpan w:val="16"/>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our annual report on Form 20-F for the fiscal year ended December 31, 2022 (File No. 001-33178), filed with the SEC on March 31,</w:t>
              </w:r>
            </w:hyperlink>
          </w:p>
        </w:tc>
      </w:tr>
      <w:tr>
        <w:trPr>
          <w:trHeight w:val="189"/>
        </w:trPr>
        <w:tc>
          <w:tcPr>
            <w:tcW w:w="116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2022)</w:t>
              </w:r>
            </w:hyperlink>
          </w:p>
        </w:tc>
        <w:tc>
          <w:tcPr>
            <w:tcW w:w="3780" w:type="dxa"/>
            <w:vAlign w:val="bottom"/>
            <w:tcBorders>
              <w:top w:val="single" w:sz="8" w:color="0000EE"/>
            </w:tcBorders>
          </w:tcPr>
          <w:p>
            <w:pPr>
              <w:spacing w:after="0"/>
              <w:rPr>
                <w:sz w:val="16"/>
                <w:szCs w:val="16"/>
                <w:color w:val="auto"/>
              </w:rPr>
            </w:pPr>
          </w:p>
        </w:tc>
        <w:tc>
          <w:tcPr>
            <w:tcW w:w="1480" w:type="dxa"/>
            <w:vAlign w:val="bottom"/>
            <w:tcBorders>
              <w:top w:val="single" w:sz="8" w:color="0000EE"/>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4.4</w:t>
            </w:r>
          </w:p>
        </w:tc>
        <w:tc>
          <w:tcPr>
            <w:tcW w:w="89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English Translation of Order of the Secretary for Public Works and Transportation published in Macau Official Gazette no. 9 of</w:t>
              </w:r>
            </w:hyperlink>
          </w:p>
        </w:tc>
        <w:tc>
          <w:tcPr>
            <w:tcW w:w="520" w:type="dxa"/>
            <w:vAlign w:val="bottom"/>
            <w:gridSpan w:val="8"/>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20" w:type="dxa"/>
            <w:vAlign w:val="bottom"/>
            <w:gridSpan w:val="16"/>
          </w:tcPr>
          <w:p>
            <w:pPr>
              <w:spacing w:after="0" w:line="189" w:lineRule="exact"/>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March 1, 2006 (incorporated by reference to Exhibit 10.13 from our registration statement on Form F-1 (File No. 333-139088), as</w:t>
              </w:r>
            </w:hyperlink>
          </w:p>
        </w:tc>
      </w:tr>
      <w:tr>
        <w:trPr>
          <w:trHeight w:val="189"/>
        </w:trPr>
        <w:tc>
          <w:tcPr>
            <w:tcW w:w="1160" w:type="dxa"/>
            <w:vAlign w:val="bottom"/>
          </w:tcPr>
          <w:p>
            <w:pPr>
              <w:spacing w:after="0"/>
              <w:rPr>
                <w:sz w:val="16"/>
                <w:szCs w:val="16"/>
                <w:color w:val="auto"/>
              </w:rPr>
            </w:pPr>
          </w:p>
        </w:tc>
        <w:tc>
          <w:tcPr>
            <w:tcW w:w="9060" w:type="dxa"/>
            <w:vAlign w:val="bottom"/>
            <w:tcBorders>
              <w:top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amended, initially filed with the SEC on December 1, 2006)</w:t>
              </w:r>
            </w:hyperlink>
          </w:p>
        </w:tc>
        <w:tc>
          <w:tcPr>
            <w:tcW w:w="360" w:type="dxa"/>
            <w:vAlign w:val="bottom"/>
            <w:gridSpan w:val="4"/>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4.5</w:t>
            </w:r>
          </w:p>
        </w:tc>
        <w:tc>
          <w:tcPr>
            <w:tcW w:w="9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English Translation of the amended Order of Secretary for Public Works and Transportation published in Macau Official Gazette</w:t>
              </w:r>
            </w:hyperlink>
          </w:p>
        </w:tc>
        <w:tc>
          <w:tcPr>
            <w:tcW w:w="420" w:type="dxa"/>
            <w:vAlign w:val="bottom"/>
            <w:gridSpan w:val="6"/>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26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No. 25/2008 in relation to the City of Dreams Land Concession (incorporated by reference to Exhibit 4.30 from our annual report on</w:t>
              </w:r>
            </w:hyperlink>
          </w:p>
        </w:tc>
        <w:tc>
          <w:tcPr>
            <w:tcW w:w="16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20" w:type="dxa"/>
            <w:vAlign w:val="bottom"/>
            <w:gridSpan w:val="16"/>
          </w:tcPr>
          <w:p>
            <w:pPr>
              <w:spacing w:after="0" w:line="189"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Form 20-F for the fiscal year ended December 31, 2010 (File No. 001-33178) filed with the SEC on April 1, 2011)</w:t>
              </w:r>
            </w:hyperlink>
          </w:p>
        </w:tc>
      </w:tr>
      <w:tr>
        <w:trPr>
          <w:trHeight w:val="20"/>
        </w:trPr>
        <w:tc>
          <w:tcPr>
            <w:tcW w:w="1160" w:type="dxa"/>
            <w:vAlign w:val="bottom"/>
          </w:tcPr>
          <w:p>
            <w:pPr>
              <w:spacing w:after="0" w:line="20" w:lineRule="exact"/>
              <w:rPr>
                <w:sz w:val="1"/>
                <w:szCs w:val="1"/>
                <w:color w:val="auto"/>
              </w:rPr>
            </w:pPr>
          </w:p>
        </w:tc>
        <w:tc>
          <w:tcPr>
            <w:tcW w:w="80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4.6</w:t>
            </w:r>
          </w:p>
        </w:tc>
        <w:tc>
          <w:tcPr>
            <w:tcW w:w="9420" w:type="dxa"/>
            <w:vAlign w:val="bottom"/>
            <w:gridSpan w:val="16"/>
          </w:tcPr>
          <w:p>
            <w:pPr>
              <w:spacing w:after="0"/>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Cooperation Agreement, dated October 25, 2012, among SM Investments Corporation, SM Land, Inc., SM Hotels Corporation, SM</w:t>
              </w:r>
            </w:hyperlink>
          </w:p>
        </w:tc>
      </w:tr>
      <w:tr>
        <w:trPr>
          <w:trHeight w:val="189"/>
        </w:trPr>
        <w:tc>
          <w:tcPr>
            <w:tcW w:w="1160" w:type="dxa"/>
            <w:vAlign w:val="bottom"/>
          </w:tcPr>
          <w:p>
            <w:pPr>
              <w:spacing w:after="0"/>
              <w:rPr>
                <w:sz w:val="16"/>
                <w:szCs w:val="16"/>
                <w:color w:val="auto"/>
              </w:rPr>
            </w:pPr>
          </w:p>
        </w:tc>
        <w:tc>
          <w:tcPr>
            <w:tcW w:w="9180" w:type="dxa"/>
            <w:vAlign w:val="bottom"/>
            <w:tcBorders>
              <w:top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Commercial Properties, Inc., Belle Corporation, PremiumLeisure and Amusement, Inc., Melco Resorts Leisure, MPHIL Holdings</w:t>
              </w:r>
            </w:hyperlink>
          </w:p>
        </w:tc>
        <w:tc>
          <w:tcPr>
            <w:tcW w:w="240" w:type="dxa"/>
            <w:vAlign w:val="bottom"/>
            <w:gridSpan w:val="3"/>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8980" w:type="dxa"/>
            <w:vAlign w:val="bottom"/>
            <w:tcBorders>
              <w:top w:val="single" w:sz="8" w:color="0000EE"/>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No. 1 Corporation and MPHIL Holdings No. 2 Corporation (incorporated by reference to Exhibit 4.36 from our annual report on</w:t>
              </w:r>
            </w:hyperlink>
          </w:p>
        </w:tc>
        <w:tc>
          <w:tcPr>
            <w:tcW w:w="80" w:type="dxa"/>
            <w:vAlign w:val="bottom"/>
            <w:tcBorders>
              <w:top w:val="single" w:sz="8" w:color="0000EE"/>
            </w:tcBorders>
            <w:gridSpan w:val="3"/>
          </w:tcPr>
          <w:p>
            <w:pPr>
              <w:spacing w:after="0"/>
              <w:rPr>
                <w:sz w:val="16"/>
                <w:szCs w:val="16"/>
                <w:color w:val="auto"/>
              </w:rPr>
            </w:pPr>
          </w:p>
        </w:tc>
        <w:tc>
          <w:tcPr>
            <w:tcW w:w="360" w:type="dxa"/>
            <w:vAlign w:val="bottom"/>
            <w:gridSpan w:val="4"/>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20" w:type="dxa"/>
            <w:vAlign w:val="bottom"/>
            <w:gridSpan w:val="16"/>
          </w:tcPr>
          <w:p>
            <w:pPr>
              <w:spacing w:after="0" w:line="189"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Form 20-F for the fiscal year ended December 31, 2012 (File No. 001-33178), filed with the SEC on April 18, 2013)</w:t>
              </w:r>
            </w:hyperlink>
          </w:p>
        </w:tc>
      </w:tr>
      <w:tr>
        <w:trPr>
          <w:trHeight w:val="372"/>
        </w:trPr>
        <w:tc>
          <w:tcPr>
            <w:tcW w:w="1160" w:type="dxa"/>
            <w:vAlign w:val="bottom"/>
          </w:tcPr>
          <w:p>
            <w:pPr>
              <w:spacing w:after="0"/>
              <w:rPr>
                <w:sz w:val="24"/>
                <w:szCs w:val="24"/>
                <w:color w:val="auto"/>
              </w:rPr>
            </w:pPr>
          </w:p>
        </w:tc>
        <w:tc>
          <w:tcPr>
            <w:tcW w:w="5680" w:type="dxa"/>
            <w:vAlign w:val="bottom"/>
            <w:tcBorders>
              <w:top w:val="single" w:sz="8" w:color="0000EE"/>
            </w:tcBorders>
            <w:gridSpan w:val="3"/>
          </w:tcPr>
          <w:p>
            <w:pPr>
              <w:ind w:left="4040"/>
              <w:spacing w:after="0"/>
              <w:rPr>
                <w:sz w:val="20"/>
                <w:szCs w:val="20"/>
                <w:color w:val="auto"/>
              </w:rPr>
            </w:pPr>
            <w:r>
              <w:rPr>
                <w:rFonts w:ascii="Times New Roman" w:cs="Times New Roman" w:eastAsia="Times New Roman" w:hAnsi="Times New Roman"/>
                <w:sz w:val="17"/>
                <w:szCs w:val="17"/>
                <w:color w:val="auto"/>
              </w:rPr>
              <w:t>197</w:t>
            </w:r>
          </w:p>
        </w:tc>
        <w:tc>
          <w:tcPr>
            <w:tcW w:w="2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880"/>
          </w:cols>
          <w:pgMar w:left="320" w:top="472" w:right="69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40"/>
          </w:cols>
          <w:pgMar w:left="320" w:top="473" w:right="639" w:bottom="1440" w:gutter="0" w:footer="0" w:header="0"/>
        </w:sectPr>
      </w:pP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80" w:hanging="88"/>
        <w:spacing w:after="0"/>
        <w:tabs>
          <w:tab w:leader="none" w:pos="3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4.7</w:t>
      </w:r>
    </w:p>
    <w:p>
      <w:pPr>
        <w:spacing w:after="0" w:line="200" w:lineRule="exact"/>
        <w:rPr>
          <w:rFonts w:ascii="Times New Roman" w:cs="Times New Roman" w:eastAsia="Times New Roman" w:hAnsi="Times New Roman"/>
          <w:sz w:val="17"/>
          <w:szCs w:val="17"/>
          <w:color w:val="auto"/>
        </w:rPr>
      </w:pPr>
    </w:p>
    <w:p>
      <w:pPr>
        <w:spacing w:after="0" w:line="336" w:lineRule="exact"/>
        <w:rPr>
          <w:rFonts w:ascii="Times New Roman" w:cs="Times New Roman" w:eastAsia="Times New Roman" w:hAnsi="Times New Roman"/>
          <w:sz w:val="17"/>
          <w:szCs w:val="17"/>
          <w:color w:val="auto"/>
        </w:rPr>
      </w:pPr>
    </w:p>
    <w:p>
      <w:pPr>
        <w:ind w:left="380" w:hanging="88"/>
        <w:spacing w:after="0"/>
        <w:tabs>
          <w:tab w:leader="none" w:pos="3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line="276" w:lineRule="auto"/>
        <w:rPr>
          <w:rFonts w:ascii="Times New Roman" w:cs="Times New Roman" w:eastAsia="Times New Roman" w:hAnsi="Times New Roman"/>
          <w:sz w:val="17"/>
          <w:szCs w:val="17"/>
          <w:u w:val="single" w:color="auto"/>
          <w:color w:val="0000EE"/>
        </w:rPr>
      </w:pPr>
      <w:hyperlink r:id="rId248">
        <w:r>
          <w:rPr>
            <w:rFonts w:ascii="Times New Roman" w:cs="Times New Roman" w:eastAsia="Times New Roman" w:hAnsi="Times New Roman"/>
            <w:sz w:val="17"/>
            <w:szCs w:val="17"/>
            <w:u w:val="single" w:color="auto"/>
            <w:color w:val="0000EE"/>
          </w:rPr>
          <w:t>Contract of Lease, dated October 25, 2012, between Belle Corporation and Melco Resorts Leisure (incorporated by reference to Exhibit</w:t>
        </w:r>
      </w:hyperlink>
      <w:r>
        <w:rPr>
          <w:rFonts w:ascii="Times New Roman" w:cs="Times New Roman" w:eastAsia="Times New Roman" w:hAnsi="Times New Roman"/>
          <w:sz w:val="17"/>
          <w:szCs w:val="17"/>
          <w:u w:val="single" w:color="auto"/>
          <w:color w:val="0000EE"/>
        </w:rPr>
        <w:t xml:space="preserve"> </w:t>
      </w:r>
      <w:hyperlink r:id="rId248">
        <w:r>
          <w:rPr>
            <w:rFonts w:ascii="Times New Roman" w:cs="Times New Roman" w:eastAsia="Times New Roman" w:hAnsi="Times New Roman"/>
            <w:sz w:val="17"/>
            <w:szCs w:val="17"/>
            <w:u w:val="single" w:color="auto"/>
            <w:color w:val="0000EE"/>
          </w:rPr>
          <w:t>4.37 from our annual report on Form 20-F for the fiscal year ended December 31, 2012 (File No. 001-33178), filed with the SEC on</w:t>
        </w:r>
      </w:hyperlink>
      <w:r>
        <w:rPr>
          <w:rFonts w:ascii="Times New Roman" w:cs="Times New Roman" w:eastAsia="Times New Roman" w:hAnsi="Times New Roman"/>
          <w:sz w:val="17"/>
          <w:szCs w:val="17"/>
          <w:u w:val="single" w:color="auto"/>
          <w:color w:val="0000EE"/>
        </w:rPr>
        <w:t xml:space="preserve"> </w:t>
      </w:r>
      <w:hyperlink r:id="rId248">
        <w:r>
          <w:rPr>
            <w:rFonts w:ascii="Times New Roman" w:cs="Times New Roman" w:eastAsia="Times New Roman" w:hAnsi="Times New Roman"/>
            <w:sz w:val="17"/>
            <w:szCs w:val="17"/>
            <w:u w:val="single" w:color="auto"/>
            <w:color w:val="0000EE"/>
          </w:rPr>
          <w:t>April 18, 2013)</w:t>
        </w:r>
      </w:hyperlink>
    </w:p>
    <w:p>
      <w:pPr>
        <w:spacing w:after="0" w:line="57" w:lineRule="exact"/>
        <w:rPr>
          <w:rFonts w:ascii="Times New Roman" w:cs="Times New Roman" w:eastAsia="Times New Roman" w:hAnsi="Times New Roman"/>
          <w:sz w:val="17"/>
          <w:szCs w:val="17"/>
          <w:u w:val="single" w:color="auto"/>
          <w:color w:val="0000EE"/>
        </w:rPr>
      </w:pPr>
    </w:p>
    <w:p>
      <w:pPr>
        <w:ind w:right="260"/>
        <w:spacing w:after="0" w:line="266" w:lineRule="auto"/>
        <w:rPr>
          <w:rFonts w:ascii="Times New Roman" w:cs="Times New Roman" w:eastAsia="Times New Roman" w:hAnsi="Times New Roman"/>
          <w:sz w:val="17"/>
          <w:szCs w:val="17"/>
          <w:u w:val="single" w:color="auto"/>
          <w:color w:val="0000EE"/>
        </w:rPr>
      </w:pPr>
      <w:hyperlink r:id="rId249">
        <w:r>
          <w:rPr>
            <w:rFonts w:ascii="Times New Roman" w:cs="Times New Roman" w:eastAsia="Times New Roman" w:hAnsi="Times New Roman"/>
            <w:sz w:val="17"/>
            <w:szCs w:val="17"/>
            <w:u w:val="single" w:color="auto"/>
            <w:color w:val="0000EE"/>
          </w:rPr>
          <w:t>Closing Arrangement Agreement, dated October 25, 2012, among SM Investments Corporation, SM Land, Inc., SM Hotels</w:t>
        </w:r>
      </w:hyperlink>
      <w:r>
        <w:rPr>
          <w:rFonts w:ascii="Times New Roman" w:cs="Times New Roman" w:eastAsia="Times New Roman" w:hAnsi="Times New Roman"/>
          <w:sz w:val="17"/>
          <w:szCs w:val="17"/>
          <w:u w:val="single" w:color="auto"/>
          <w:color w:val="0000EE"/>
        </w:rPr>
        <w:t xml:space="preserve"> </w:t>
      </w:r>
      <w:hyperlink r:id="rId249">
        <w:r>
          <w:rPr>
            <w:rFonts w:ascii="Times New Roman" w:cs="Times New Roman" w:eastAsia="Times New Roman" w:hAnsi="Times New Roman"/>
            <w:sz w:val="17"/>
            <w:szCs w:val="17"/>
            <w:u w:val="single" w:color="auto"/>
            <w:color w:val="0000EE"/>
          </w:rPr>
          <w:t>Corporation, SM Commercial Properties, Inc., SM Development Corporation, Belle Corporation, PremiumLeisure and Amusement,</w:t>
        </w:r>
      </w:hyperlink>
      <w:r>
        <w:rPr>
          <w:rFonts w:ascii="Times New Roman" w:cs="Times New Roman" w:eastAsia="Times New Roman" w:hAnsi="Times New Roman"/>
          <w:sz w:val="17"/>
          <w:szCs w:val="17"/>
          <w:u w:val="single" w:color="auto"/>
          <w:color w:val="0000EE"/>
        </w:rPr>
        <w:t xml:space="preserve"> </w:t>
      </w:r>
      <w:hyperlink r:id="rId249">
        <w:r>
          <w:rPr>
            <w:rFonts w:ascii="Times New Roman" w:cs="Times New Roman" w:eastAsia="Times New Roman" w:hAnsi="Times New Roman"/>
            <w:sz w:val="17"/>
            <w:szCs w:val="17"/>
            <w:u w:val="single" w:color="auto"/>
            <w:color w:val="0000EE"/>
          </w:rPr>
          <w:t>Inc., Melco Resorts Leisure, MPHIL Holdings No. 1 Corporation, MPHIL Holdings No. 2 Corporation, MCO Projects Limited and</w:t>
        </w:r>
      </w:hyperlink>
      <w:r>
        <w:rPr>
          <w:rFonts w:ascii="Times New Roman" w:cs="Times New Roman" w:eastAsia="Times New Roman" w:hAnsi="Times New Roman"/>
          <w:sz w:val="17"/>
          <w:szCs w:val="17"/>
          <w:u w:val="single" w:color="auto"/>
          <w:color w:val="0000EE"/>
        </w:rPr>
        <w:t xml:space="preserve"> </w:t>
      </w:r>
      <w:hyperlink r:id="rId249">
        <w:r>
          <w:rPr>
            <w:rFonts w:ascii="Times New Roman" w:cs="Times New Roman" w:eastAsia="Times New Roman" w:hAnsi="Times New Roman"/>
            <w:sz w:val="17"/>
            <w:szCs w:val="17"/>
            <w:u w:val="single" w:color="auto"/>
            <w:color w:val="0000EE"/>
          </w:rPr>
          <w:t>Melco Property Development Limited (incorporated by reference to Exhibit 4.38 from our annual report on Form 20-F for the fiscal</w:t>
        </w:r>
      </w:hyperlink>
      <w:r>
        <w:rPr>
          <w:rFonts w:ascii="Times New Roman" w:cs="Times New Roman" w:eastAsia="Times New Roman" w:hAnsi="Times New Roman"/>
          <w:sz w:val="17"/>
          <w:szCs w:val="17"/>
          <w:u w:val="single" w:color="auto"/>
          <w:color w:val="0000EE"/>
        </w:rPr>
        <w:t xml:space="preserve"> </w:t>
      </w:r>
      <w:hyperlink r:id="rId249">
        <w:r>
          <w:rPr>
            <w:rFonts w:ascii="Times New Roman" w:cs="Times New Roman" w:eastAsia="Times New Roman" w:hAnsi="Times New Roman"/>
            <w:sz w:val="17"/>
            <w:szCs w:val="17"/>
            <w:u w:val="single" w:color="auto"/>
            <w:color w:val="0000EE"/>
          </w:rPr>
          <w:t>year ended December 31, 2012 (File No. 001-33178), filed with the SEC on April 18, 2013)</w:t>
        </w:r>
      </w:hyperlink>
    </w:p>
    <w:p>
      <w:pPr>
        <w:spacing w:after="0" w:line="60"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480"/>
          </w:cols>
          <w:pgMar w:left="320" w:top="473" w:right="63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4.9</w:t>
            </w:r>
          </w:p>
        </w:tc>
        <w:tc>
          <w:tcPr>
            <w:tcW w:w="9480" w:type="dxa"/>
            <w:vAlign w:val="bottom"/>
            <w:gridSpan w:val="22"/>
          </w:tcPr>
          <w:p>
            <w:pPr>
              <w:spacing w:after="0"/>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Operating Agreement, dated March 13, 2013, among Belle Corporation, SM Investments Corporation, PremiumLeisure and</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36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Amusement, Inc., MPHIL Holdings No. 2 Corporation, MPHIL Holdings No. 1 Corporation and Melco Resorts Leisure (incorporated</w:t>
              </w:r>
            </w:hyperlink>
          </w:p>
        </w:tc>
        <w:tc>
          <w:tcPr>
            <w:tcW w:w="120" w:type="dxa"/>
            <w:vAlign w:val="bottom"/>
            <w:gridSpan w:val="3"/>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32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by reference to Exhibit 4.42 from our annual report on Form 20-F for the fiscal year ended December 31, 2012 (File No. 001-33178),</w:t>
              </w:r>
            </w:hyperlink>
          </w:p>
        </w:tc>
        <w:tc>
          <w:tcPr>
            <w:tcW w:w="160" w:type="dxa"/>
            <w:vAlign w:val="bottom"/>
            <w:gridSpan w:val="5"/>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64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filed with the SEC on April 18, 2013)</w:t>
              </w:r>
            </w:hyperlink>
          </w:p>
        </w:tc>
        <w:tc>
          <w:tcPr>
            <w:tcW w:w="6840" w:type="dxa"/>
            <w:vAlign w:val="bottom"/>
            <w:gridSpan w:val="18"/>
          </w:tcPr>
          <w:p>
            <w:pPr>
              <w:spacing w:after="0"/>
              <w:rPr>
                <w:sz w:val="16"/>
                <w:szCs w:val="16"/>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4.10</w:t>
            </w:r>
          </w:p>
        </w:tc>
        <w:tc>
          <w:tcPr>
            <w:tcW w:w="948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2011 Share Incentive Plan, as amended, approved at the extraordinary general meeting on December 7, 2016 (incorporated by reference</w:t>
              </w:r>
            </w:hyperlink>
          </w:p>
        </w:tc>
      </w:tr>
      <w:tr>
        <w:trPr>
          <w:trHeight w:val="189"/>
        </w:trPr>
        <w:tc>
          <w:tcPr>
            <w:tcW w:w="1160" w:type="dxa"/>
            <w:vAlign w:val="bottom"/>
          </w:tcPr>
          <w:p>
            <w:pPr>
              <w:spacing w:after="0"/>
              <w:rPr>
                <w:sz w:val="16"/>
                <w:szCs w:val="16"/>
                <w:color w:val="auto"/>
              </w:rPr>
            </w:pPr>
          </w:p>
        </w:tc>
        <w:tc>
          <w:tcPr>
            <w:tcW w:w="938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to Exhibit 4.25 from our annual report on Form 20-F for the fiscal year ended December 31, 2016 (File No. 001-33178), filed with the</w:t>
              </w:r>
            </w:hyperlink>
          </w:p>
        </w:tc>
        <w:tc>
          <w:tcPr>
            <w:tcW w:w="100" w:type="dxa"/>
            <w:vAlign w:val="bottom"/>
            <w:gridSpan w:val="2"/>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SEC on April 11, 2017)</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4.11</w:t>
            </w:r>
          </w:p>
        </w:tc>
        <w:tc>
          <w:tcPr>
            <w:tcW w:w="9480" w:type="dxa"/>
            <w:vAlign w:val="bottom"/>
            <w:gridSpan w:val="22"/>
          </w:tcPr>
          <w:p>
            <w:pPr>
              <w:spacing w:after="0"/>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Seventh Amendment in Respect of the Senior Facilities Agreement, dated June 19, 2015, between Melco Resorts Macau, Deutsche</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Bank AG, Hong Kong Branch as agent and DB Trustees (Hong Kong) Limited as security agent (incorporated by reference to Exhibit</w:t>
              </w:r>
            </w:hyperlink>
          </w:p>
        </w:tc>
      </w:tr>
      <w:tr>
        <w:trPr>
          <w:trHeight w:val="189"/>
        </w:trPr>
        <w:tc>
          <w:tcPr>
            <w:tcW w:w="1160" w:type="dxa"/>
            <w:vAlign w:val="bottom"/>
          </w:tcPr>
          <w:p>
            <w:pPr>
              <w:spacing w:after="0"/>
              <w:rPr>
                <w:sz w:val="16"/>
                <w:szCs w:val="16"/>
                <w:color w:val="auto"/>
              </w:rPr>
            </w:pPr>
          </w:p>
        </w:tc>
        <w:tc>
          <w:tcPr>
            <w:tcW w:w="9220" w:type="dxa"/>
            <w:vAlign w:val="bottom"/>
            <w:tcBorders>
              <w:top w:val="single" w:sz="8" w:color="0000EE"/>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45</w:t>
              </w:r>
              <w:r>
                <w:rPr>
                  <w:rFonts w:ascii="Times New Roman" w:cs="Times New Roman" w:eastAsia="Times New Roman" w:hAnsi="Times New Roman"/>
                  <w:sz w:val="17"/>
                  <w:szCs w:val="17"/>
                  <w:color w:val="0000EE"/>
                </w:rPr>
                <w:t xml:space="preserve"> from our annual report on Form 20-F for the fiscal year ended December 31, 2015 (File No. 001-33178), filed with the SEC on</w:t>
              </w:r>
            </w:hyperlink>
          </w:p>
        </w:tc>
        <w:tc>
          <w:tcPr>
            <w:tcW w:w="120" w:type="dxa"/>
            <w:vAlign w:val="bottom"/>
            <w:tcBorders>
              <w:top w:val="single" w:sz="8" w:color="0000EE"/>
            </w:tcBorders>
            <w:gridSpan w:val="3"/>
          </w:tcPr>
          <w:p>
            <w:pPr>
              <w:spacing w:after="0"/>
              <w:rPr>
                <w:sz w:val="16"/>
                <w:szCs w:val="16"/>
                <w:color w:val="auto"/>
              </w:rPr>
            </w:pPr>
          </w:p>
        </w:tc>
        <w:tc>
          <w:tcPr>
            <w:tcW w:w="140" w:type="dxa"/>
            <w:vAlign w:val="bottom"/>
            <w:gridSpan w:val="4"/>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April 12, 2016)</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4.12</w:t>
            </w:r>
          </w:p>
        </w:tc>
        <w:tc>
          <w:tcPr>
            <w:tcW w:w="93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Amendments, Waivers and Consent Request Letter, dated October 26, 2015, in connection with the Senior Term Loan and Revolving</w:t>
              </w:r>
            </w:hyperlink>
          </w:p>
        </w:tc>
        <w:tc>
          <w:tcPr>
            <w:tcW w:w="180" w:type="dxa"/>
            <w:vAlign w:val="bottom"/>
            <w:gridSpan w:val="6"/>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882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Facilities Agreement dated January 28, 2013 issued by Studio City Investments Limited and Studio City Company Limited, to</w:t>
              </w:r>
            </w:hyperlink>
          </w:p>
        </w:tc>
        <w:tc>
          <w:tcPr>
            <w:tcW w:w="660" w:type="dxa"/>
            <w:vAlign w:val="bottom"/>
            <w:gridSpan w:val="11"/>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8780" w:type="dxa"/>
            <w:vAlign w:val="bottom"/>
            <w:tcBorders>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Deutsche Bank AG, Hong Kong Branch as facility agent (incorporated by reference to Exhibit 4.46 from our annual report on</w:t>
              </w:r>
            </w:hyperlink>
          </w:p>
        </w:tc>
        <w:tc>
          <w:tcPr>
            <w:tcW w:w="700" w:type="dxa"/>
            <w:vAlign w:val="bottom"/>
            <w:gridSpan w:val="12"/>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Form 20-F for the fiscal year ended December 31, 2015 (File No. 001-33178), filed with the SEC on April 12, 2016)</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4.13</w:t>
            </w:r>
          </w:p>
        </w:tc>
        <w:tc>
          <w:tcPr>
            <w:tcW w:w="9480" w:type="dxa"/>
            <w:vAlign w:val="bottom"/>
            <w:gridSpan w:val="22"/>
          </w:tcPr>
          <w:p>
            <w:pPr>
              <w:spacing w:after="0"/>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Supplemental Amendments, Waivers and Consent Request Letter, dated November 16, 2015, in connection with the Senior Term Loan</w:t>
              </w:r>
            </w:hyperlink>
          </w:p>
        </w:tc>
      </w:tr>
      <w:tr>
        <w:trPr>
          <w:trHeight w:val="189"/>
        </w:trPr>
        <w:tc>
          <w:tcPr>
            <w:tcW w:w="1160" w:type="dxa"/>
            <w:vAlign w:val="bottom"/>
          </w:tcPr>
          <w:p>
            <w:pPr>
              <w:spacing w:after="0"/>
              <w:rPr>
                <w:sz w:val="16"/>
                <w:szCs w:val="16"/>
                <w:color w:val="auto"/>
              </w:rPr>
            </w:pPr>
          </w:p>
        </w:tc>
        <w:tc>
          <w:tcPr>
            <w:tcW w:w="9400" w:type="dxa"/>
            <w:vAlign w:val="bottom"/>
            <w:tcBorders>
              <w:top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and Revolving Facilities Agreement dated January 28, 2013 issued by Studio City Investments Limited and Studio City Company</w:t>
              </w:r>
            </w:hyperlink>
          </w:p>
        </w:tc>
        <w:tc>
          <w:tcPr>
            <w:tcW w:w="8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38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Limited, to Deutsche Bank AG, Hong Kong Branch as facility agent (incorporated by reference to Exhibit 4.47 from our annual report</w:t>
              </w:r>
            </w:hyperlink>
          </w:p>
        </w:tc>
        <w:tc>
          <w:tcPr>
            <w:tcW w:w="100" w:type="dxa"/>
            <w:vAlign w:val="bottom"/>
            <w:gridSpan w:val="2"/>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on Form 20-F for the fiscal year ended December 31, 2015 (File No. 001-33178), filed with the SEC on April 12, 2016)</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4.14</w:t>
            </w:r>
          </w:p>
        </w:tc>
        <w:tc>
          <w:tcPr>
            <w:tcW w:w="9480" w:type="dxa"/>
            <w:vAlign w:val="bottom"/>
            <w:gridSpan w:val="22"/>
          </w:tcPr>
          <w:p>
            <w:pPr>
              <w:spacing w:after="0"/>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 xml:space="preserve">Amended and Restated Credit Agreement relating to Studio City Company Limited’s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233 million revolving credit facility and</w:t>
              </w:r>
            </w:hyperlink>
          </w:p>
        </w:tc>
      </w:tr>
      <w:tr>
        <w:trPr>
          <w:trHeight w:val="189"/>
        </w:trPr>
        <w:tc>
          <w:tcPr>
            <w:tcW w:w="1160" w:type="dxa"/>
            <w:vAlign w:val="bottom"/>
          </w:tcPr>
          <w:p>
            <w:pPr>
              <w:spacing w:after="0"/>
              <w:rPr>
                <w:sz w:val="16"/>
                <w:szCs w:val="16"/>
                <w:color w:val="auto"/>
              </w:rPr>
            </w:pPr>
          </w:p>
        </w:tc>
        <w:tc>
          <w:tcPr>
            <w:tcW w:w="914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 (incorporated by reference to Exhibit 99.7 from our registration statement on</w:t>
              </w:r>
            </w:hyperlink>
          </w:p>
        </w:tc>
        <w:tc>
          <w:tcPr>
            <w:tcW w:w="340" w:type="dxa"/>
            <w:vAlign w:val="bottom"/>
            <w:gridSpan w:val="8"/>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536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Form F-3 (File No. 333-215500), filed with the SEC on December 14, 2016)</w:t>
              </w:r>
            </w:hyperlink>
          </w:p>
        </w:tc>
        <w:tc>
          <w:tcPr>
            <w:tcW w:w="2260" w:type="dxa"/>
            <w:vAlign w:val="bottom"/>
            <w:tcBorders>
              <w:top w:val="single" w:sz="8" w:color="0000EE"/>
            </w:tcBorders>
          </w:tcPr>
          <w:p>
            <w:pPr>
              <w:spacing w:after="0"/>
              <w:rPr>
                <w:sz w:val="16"/>
                <w:szCs w:val="16"/>
                <w:color w:val="auto"/>
              </w:rPr>
            </w:pPr>
          </w:p>
        </w:tc>
        <w:tc>
          <w:tcPr>
            <w:tcW w:w="1860" w:type="dxa"/>
            <w:vAlign w:val="bottom"/>
            <w:gridSpan w:val="16"/>
          </w:tcPr>
          <w:p>
            <w:pPr>
              <w:spacing w:after="0"/>
              <w:rPr>
                <w:sz w:val="16"/>
                <w:szCs w:val="16"/>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4.15</w:t>
            </w:r>
          </w:p>
        </w:tc>
        <w:tc>
          <w:tcPr>
            <w:tcW w:w="9480" w:type="dxa"/>
            <w:vAlign w:val="bottom"/>
            <w:gridSpan w:val="22"/>
          </w:tcPr>
          <w:p>
            <w:pPr>
              <w:spacing w:after="0"/>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Purchase Agreement among Studio City Company Limited, as issuer, Studio City Investments Limited as parent guarantor, and</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860" w:type="dxa"/>
            <w:vAlign w:val="bottom"/>
            <w:gridSpan w:val="9"/>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80" w:type="dxa"/>
            <w:vAlign w:val="bottom"/>
            <w:gridSpan w:val="22"/>
          </w:tcPr>
          <w:p>
            <w:pPr>
              <w:spacing w:after="0" w:line="189" w:lineRule="exact"/>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subsidiary guarantors as specified therein regarding the 5.875% Senior Secured Notes due 2019 and the 7.250% Senior Secured Notes</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340" w:type="dxa"/>
            <w:vAlign w:val="bottom"/>
            <w:gridSpan w:val="1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8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due 2021 (incorporated by reference to Exhibit 99.10 from our registration statement on Form F-3 (File No. 333-215500), filed with the</w:t>
              </w:r>
            </w:hyperlink>
          </w:p>
        </w:tc>
      </w:tr>
      <w:tr>
        <w:trPr>
          <w:trHeight w:val="189"/>
        </w:trPr>
        <w:tc>
          <w:tcPr>
            <w:tcW w:w="1160" w:type="dxa"/>
            <w:vAlign w:val="bottom"/>
          </w:tcPr>
          <w:p>
            <w:pPr>
              <w:spacing w:after="0"/>
              <w:rPr>
                <w:sz w:val="16"/>
                <w:szCs w:val="16"/>
                <w:color w:val="auto"/>
              </w:rPr>
            </w:pPr>
          </w:p>
        </w:tc>
        <w:tc>
          <w:tcPr>
            <w:tcW w:w="202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SEC on December 14, 2016)</w:t>
              </w:r>
            </w:hyperlink>
          </w:p>
        </w:tc>
        <w:tc>
          <w:tcPr>
            <w:tcW w:w="7460" w:type="dxa"/>
            <w:vAlign w:val="bottom"/>
            <w:gridSpan w:val="19"/>
          </w:tcPr>
          <w:p>
            <w:pPr>
              <w:spacing w:after="0"/>
              <w:rPr>
                <w:sz w:val="16"/>
                <w:szCs w:val="16"/>
                <w:color w:val="auto"/>
              </w:rPr>
            </w:pPr>
          </w:p>
        </w:tc>
      </w:tr>
      <w:tr>
        <w:trPr>
          <w:trHeight w:val="372"/>
        </w:trPr>
        <w:tc>
          <w:tcPr>
            <w:tcW w:w="1160" w:type="dxa"/>
            <w:vAlign w:val="bottom"/>
          </w:tcPr>
          <w:p>
            <w:pPr>
              <w:spacing w:after="0"/>
              <w:rPr>
                <w:sz w:val="24"/>
                <w:szCs w:val="24"/>
                <w:color w:val="auto"/>
              </w:rPr>
            </w:pPr>
          </w:p>
        </w:tc>
        <w:tc>
          <w:tcPr>
            <w:tcW w:w="5360" w:type="dxa"/>
            <w:vAlign w:val="bottom"/>
            <w:gridSpan w:val="5"/>
          </w:tcPr>
          <w:p>
            <w:pPr>
              <w:ind w:left="4040"/>
              <w:spacing w:after="0"/>
              <w:rPr>
                <w:sz w:val="20"/>
                <w:szCs w:val="20"/>
                <w:color w:val="auto"/>
              </w:rPr>
            </w:pPr>
            <w:r>
              <w:rPr>
                <w:rFonts w:ascii="Times New Roman" w:cs="Times New Roman" w:eastAsia="Times New Roman" w:hAnsi="Times New Roman"/>
                <w:sz w:val="17"/>
                <w:szCs w:val="17"/>
                <w:color w:val="auto"/>
              </w:rPr>
              <w:t>198</w:t>
            </w: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20"/>
          </w:cols>
          <w:pgMar w:left="320" w:top="473" w:right="659" w:bottom="1440" w:gutter="0" w:footer="0" w:header="0"/>
        </w:sectPr>
      </w:pP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4.16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ind w:right="60"/>
        <w:spacing w:after="0" w:line="268" w:lineRule="auto"/>
        <w:rPr>
          <w:rFonts w:ascii="Times New Roman" w:cs="Times New Roman" w:eastAsia="Times New Roman" w:hAnsi="Times New Roman"/>
          <w:sz w:val="17"/>
          <w:szCs w:val="17"/>
          <w:u w:val="single" w:color="auto"/>
          <w:color w:val="0000EE"/>
        </w:rPr>
      </w:pPr>
      <w:hyperlink r:id="rId258">
        <w:r>
          <w:rPr>
            <w:rFonts w:ascii="Times New Roman" w:cs="Times New Roman" w:eastAsia="Times New Roman" w:hAnsi="Times New Roman"/>
            <w:sz w:val="17"/>
            <w:szCs w:val="17"/>
            <w:u w:val="single" w:color="auto"/>
            <w:color w:val="0000EE"/>
          </w:rPr>
          <w:t>Purchase Agreement, dated May 25, 2017, among Melco Resorts Finance Limited, Australia and New Zealand Banking Group</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Limited, Merrill Lynch International, BOCI Asia Limited, Industrial and Commercial Bank of China (Asia) Limited and Industrial and</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Commercial Bank of China (Macau) Limited regarding the 4.875% 2025 Senior Notes (incorporated by reference to Exhibit 4.35 from</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our annual report on Form 20-F for the fiscal year ended December 31, 2017 (File No. 001-33178), filed with the SEC on April 12,</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2018)</w:t>
        </w:r>
      </w:hyperlink>
    </w:p>
    <w:p>
      <w:pPr>
        <w:spacing w:after="0" w:line="200"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460"/>
          </w:cols>
          <w:pgMar w:left="320" w:top="473" w:right="659" w:bottom="1440" w:gutter="0" w:footer="0" w:header="0"/>
          <w:type w:val="continuous"/>
        </w:sectPr>
      </w:pPr>
    </w:p>
    <w:p>
      <w:pPr>
        <w:spacing w:after="0" w:line="70" w:lineRule="exact"/>
        <w:rPr>
          <w:rFonts w:ascii="Times New Roman" w:cs="Times New Roman" w:eastAsia="Times New Roman" w:hAnsi="Times New Roman"/>
          <w:sz w:val="17"/>
          <w:szCs w:val="17"/>
          <w:u w:val="single" w:color="auto"/>
          <w:color w:val="0000EE"/>
        </w:r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4.17</w:t>
            </w:r>
          </w:p>
        </w:tc>
        <w:tc>
          <w:tcPr>
            <w:tcW w:w="886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59">
              <w:r>
                <w:rPr>
                  <w:rFonts w:ascii="Times New Roman" w:cs="Times New Roman" w:eastAsia="Times New Roman" w:hAnsi="Times New Roman"/>
                  <w:sz w:val="17"/>
                  <w:szCs w:val="17"/>
                  <w:color w:val="0000EE"/>
                </w:rPr>
                <w:t>Purchase Agreement, dated June 27, 2017, among Melco Resorts Finance Limited, Australia and New Zealand Banking Group</w:t>
              </w:r>
            </w:hyperlink>
          </w:p>
        </w:tc>
        <w:tc>
          <w:tcPr>
            <w:tcW w:w="600" w:type="dxa"/>
            <w:vAlign w:val="bottom"/>
            <w:gridSpan w:val="15"/>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59">
              <w:r>
                <w:rPr>
                  <w:rFonts w:ascii="Times New Roman" w:cs="Times New Roman" w:eastAsia="Times New Roman" w:hAnsi="Times New Roman"/>
                  <w:sz w:val="17"/>
                  <w:szCs w:val="17"/>
                  <w:color w:val="0000EE"/>
                </w:rPr>
                <w:t>Limited, Deutsche Bank AG Singapore Branch, BOCI Asia Limited, Industrial and Commercial Bank of China (Asia) Limited and</w:t>
              </w:r>
            </w:hyperlink>
          </w:p>
        </w:tc>
      </w:tr>
      <w:tr>
        <w:trPr>
          <w:trHeight w:val="189"/>
        </w:trPr>
        <w:tc>
          <w:tcPr>
            <w:tcW w:w="1160" w:type="dxa"/>
            <w:vAlign w:val="bottom"/>
          </w:tcPr>
          <w:p>
            <w:pPr>
              <w:spacing w:after="0"/>
              <w:rPr>
                <w:sz w:val="16"/>
                <w:szCs w:val="16"/>
                <w:color w:val="auto"/>
              </w:rPr>
            </w:pPr>
          </w:p>
        </w:tc>
        <w:tc>
          <w:tcPr>
            <w:tcW w:w="9140" w:type="dxa"/>
            <w:vAlign w:val="bottom"/>
            <w:tcBorders>
              <w:top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59">
              <w:r>
                <w:rPr>
                  <w:rFonts w:ascii="Times New Roman" w:cs="Times New Roman" w:eastAsia="Times New Roman" w:hAnsi="Times New Roman"/>
                  <w:sz w:val="17"/>
                  <w:szCs w:val="17"/>
                  <w:color w:val="0000EE"/>
                </w:rPr>
                <w:t>Industrial and Commercial Bank of China (Macau) Limited regarding the 4.875% 2025 Senior Notes (incorporated by reference to</w:t>
              </w:r>
            </w:hyperlink>
          </w:p>
        </w:tc>
        <w:tc>
          <w:tcPr>
            <w:tcW w:w="320" w:type="dxa"/>
            <w:vAlign w:val="bottom"/>
            <w:gridSpan w:val="10"/>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59">
              <w:r>
                <w:rPr>
                  <w:rFonts w:ascii="Times New Roman" w:cs="Times New Roman" w:eastAsia="Times New Roman" w:hAnsi="Times New Roman"/>
                  <w:sz w:val="17"/>
                  <w:szCs w:val="17"/>
                  <w:color w:val="0000EE"/>
                </w:rPr>
                <w:t>Exhibit 4.36 from our annual report on Form 20-F for the fiscal year ended December 31, 2017 (File No. 001-33178), filed with the</w:t>
              </w:r>
            </w:hyperlink>
          </w:p>
        </w:tc>
      </w:tr>
      <w:tr>
        <w:trPr>
          <w:trHeight w:val="189"/>
        </w:trPr>
        <w:tc>
          <w:tcPr>
            <w:tcW w:w="1160" w:type="dxa"/>
            <w:vAlign w:val="bottom"/>
          </w:tcPr>
          <w:p>
            <w:pPr>
              <w:spacing w:after="0"/>
              <w:rPr>
                <w:sz w:val="16"/>
                <w:szCs w:val="16"/>
                <w:color w:val="auto"/>
              </w:rPr>
            </w:pPr>
          </w:p>
        </w:tc>
        <w:tc>
          <w:tcPr>
            <w:tcW w:w="9180" w:type="dxa"/>
            <w:vAlign w:val="bottom"/>
            <w:tcBorders>
              <w:top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59">
              <w:r>
                <w:rPr>
                  <w:rFonts w:ascii="Times New Roman" w:cs="Times New Roman" w:eastAsia="Times New Roman" w:hAnsi="Times New Roman"/>
                  <w:sz w:val="17"/>
                  <w:szCs w:val="17"/>
                  <w:color w:val="0000EE"/>
                </w:rPr>
                <w:t>SEC on April 12, 2018)</w:t>
              </w:r>
            </w:hyperlink>
          </w:p>
        </w:tc>
        <w:tc>
          <w:tcPr>
            <w:tcW w:w="280" w:type="dxa"/>
            <w:vAlign w:val="bottom"/>
            <w:gridSpan w:val="8"/>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4.18</w:t>
            </w:r>
          </w:p>
        </w:tc>
        <w:tc>
          <w:tcPr>
            <w:tcW w:w="878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260">
              <w:r>
                <w:rPr>
                  <w:rFonts w:ascii="Times New Roman" w:cs="Times New Roman" w:eastAsia="Times New Roman" w:hAnsi="Times New Roman"/>
                  <w:sz w:val="17"/>
                  <w:szCs w:val="17"/>
                  <w:color w:val="0000EE"/>
                </w:rPr>
                <w:t>Amended and Restated Shareholders’ Agreement, entered into among MCO Cotai Investments Limited, New Cotai, LLC, the</w:t>
              </w:r>
            </w:hyperlink>
          </w:p>
        </w:tc>
        <w:tc>
          <w:tcPr>
            <w:tcW w:w="680" w:type="dxa"/>
            <w:vAlign w:val="bottom"/>
            <w:gridSpan w:val="16"/>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0">
              <w:r>
                <w:rPr>
                  <w:rFonts w:ascii="Times New Roman" w:cs="Times New Roman" w:eastAsia="Times New Roman" w:hAnsi="Times New Roman"/>
                  <w:sz w:val="17"/>
                  <w:szCs w:val="17"/>
                  <w:color w:val="0000EE"/>
                </w:rPr>
                <w:t>Company and SCI in relation to SCI (incorporated by reference to Exhibit 4.25 from our annual report on Form 20-F for the fiscal year</w:t>
              </w:r>
            </w:hyperlink>
          </w:p>
        </w:tc>
      </w:tr>
      <w:tr>
        <w:trPr>
          <w:trHeight w:val="189"/>
        </w:trPr>
        <w:tc>
          <w:tcPr>
            <w:tcW w:w="1160" w:type="dxa"/>
            <w:vAlign w:val="bottom"/>
          </w:tcPr>
          <w:p>
            <w:pPr>
              <w:spacing w:after="0"/>
              <w:rPr>
                <w:sz w:val="16"/>
                <w:szCs w:val="16"/>
                <w:color w:val="auto"/>
              </w:rPr>
            </w:pPr>
          </w:p>
        </w:tc>
        <w:tc>
          <w:tcPr>
            <w:tcW w:w="9420" w:type="dxa"/>
            <w:vAlign w:val="bottom"/>
            <w:tcBorders>
              <w:top w:val="single" w:sz="8" w:color="0000EE"/>
            </w:tcBorders>
            <w:gridSpan w:val="25"/>
          </w:tcPr>
          <w:p>
            <w:pPr>
              <w:spacing w:after="0" w:line="189" w:lineRule="exact"/>
              <w:rPr>
                <w:rFonts w:ascii="Times New Roman" w:cs="Times New Roman" w:eastAsia="Times New Roman" w:hAnsi="Times New Roman"/>
                <w:sz w:val="17"/>
                <w:szCs w:val="17"/>
                <w:color w:val="0000EE"/>
              </w:rPr>
            </w:pPr>
            <w:hyperlink r:id="rId260">
              <w:r>
                <w:rPr>
                  <w:rFonts w:ascii="Times New Roman" w:cs="Times New Roman" w:eastAsia="Times New Roman" w:hAnsi="Times New Roman"/>
                  <w:sz w:val="17"/>
                  <w:szCs w:val="17"/>
                  <w:color w:val="0000EE"/>
                </w:rPr>
                <w:t>ended December 31, 2018 (File No.001-33178), filed with the SEC on March 29, 2019)</w:t>
              </w:r>
            </w:hyperlink>
          </w:p>
        </w:tc>
        <w:tc>
          <w:tcPr>
            <w:tcW w:w="4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4.19</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Purchase Agreement, dated April 17, 2019 among Melco Resorts Finance Limited, Deutsche Bank AG, Singapore Branch, Australia</w:t>
              </w:r>
            </w:hyperlink>
          </w:p>
        </w:tc>
        <w:tc>
          <w:tcPr>
            <w:tcW w:w="180" w:type="dxa"/>
            <w:vAlign w:val="bottom"/>
            <w:gridSpan w:val="6"/>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and New Zealand Banking Group Limited, Bank of Communications Co., Ltd Macau Branch, BOCI Asia Limited, Industrial and</w:t>
              </w:r>
            </w:hyperlink>
          </w:p>
        </w:tc>
      </w:tr>
      <w:tr>
        <w:trPr>
          <w:trHeight w:val="189"/>
        </w:trPr>
        <w:tc>
          <w:tcPr>
            <w:tcW w:w="1160" w:type="dxa"/>
            <w:vAlign w:val="bottom"/>
          </w:tcPr>
          <w:p>
            <w:pPr>
              <w:spacing w:after="0"/>
              <w:rPr>
                <w:sz w:val="16"/>
                <w:szCs w:val="16"/>
                <w:color w:val="auto"/>
              </w:rPr>
            </w:pPr>
          </w:p>
        </w:tc>
        <w:tc>
          <w:tcPr>
            <w:tcW w:w="8620" w:type="dxa"/>
            <w:vAlign w:val="bottom"/>
            <w:tcBorders>
              <w:top w:val="single" w:sz="8" w:color="0000EE"/>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Commercial Bank of China (Macau) Limited and Mizuho Securities Asia Limited regarding the 5.250% 2026 Senior Notes</w:t>
              </w:r>
            </w:hyperlink>
          </w:p>
        </w:tc>
        <w:tc>
          <w:tcPr>
            <w:tcW w:w="400" w:type="dxa"/>
            <w:vAlign w:val="bottom"/>
            <w:tcBorders>
              <w:top w:val="single" w:sz="8" w:color="0000EE"/>
            </w:tcBorders>
            <w:gridSpan w:val="6"/>
          </w:tcPr>
          <w:p>
            <w:pPr>
              <w:spacing w:after="0"/>
              <w:rPr>
                <w:sz w:val="16"/>
                <w:szCs w:val="16"/>
                <w:color w:val="auto"/>
              </w:rPr>
            </w:pPr>
          </w:p>
        </w:tc>
        <w:tc>
          <w:tcPr>
            <w:tcW w:w="440" w:type="dxa"/>
            <w:vAlign w:val="bottom"/>
            <w:gridSpan w:val="13"/>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(incorporated by reference to Exhibit 4.27 from our annual report on Form 20-F for the fiscal year ended December 31, 2019 (File</w:t>
              </w:r>
            </w:hyperlink>
          </w:p>
        </w:tc>
      </w:tr>
      <w:tr>
        <w:trPr>
          <w:trHeight w:val="189"/>
        </w:trPr>
        <w:tc>
          <w:tcPr>
            <w:tcW w:w="1160" w:type="dxa"/>
            <w:vAlign w:val="bottom"/>
          </w:tcPr>
          <w:p>
            <w:pPr>
              <w:spacing w:after="0"/>
              <w:rPr>
                <w:sz w:val="16"/>
                <w:szCs w:val="16"/>
                <w:color w:val="auto"/>
              </w:rPr>
            </w:pPr>
          </w:p>
        </w:tc>
        <w:tc>
          <w:tcPr>
            <w:tcW w:w="912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No.001-33178), filed with the SEC on March 31, 2020)</w:t>
              </w:r>
            </w:hyperlink>
          </w:p>
        </w:tc>
        <w:tc>
          <w:tcPr>
            <w:tcW w:w="340" w:type="dxa"/>
            <w:vAlign w:val="bottom"/>
            <w:gridSpan w:val="11"/>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4.20</w:t>
            </w:r>
          </w:p>
        </w:tc>
        <w:tc>
          <w:tcPr>
            <w:tcW w:w="916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Purchase Agreement, dated June 24, 2019, between Melco Resorts &amp; Entertainment Limited and Melco International Development</w:t>
              </w:r>
            </w:hyperlink>
          </w:p>
        </w:tc>
        <w:tc>
          <w:tcPr>
            <w:tcW w:w="300" w:type="dxa"/>
            <w:vAlign w:val="bottom"/>
            <w:gridSpan w:val="9"/>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Limited regarding the acquisition of 75% equity interest in ICR Cyprus Holdings Limited from Melco International Development</w:t>
              </w:r>
            </w:hyperlink>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Limited (incorporated by reference to Exhibit 4.29 from our annual report on Form 20-F for the fiscal year ended December 31, 2019</w:t>
              </w:r>
            </w:hyperlink>
          </w:p>
        </w:tc>
      </w:tr>
      <w:tr>
        <w:trPr>
          <w:trHeight w:val="189"/>
        </w:trPr>
        <w:tc>
          <w:tcPr>
            <w:tcW w:w="116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(File No.001-33178), filed with the SEC on March 31, 2020)</w:t>
              </w:r>
            </w:hyperlink>
          </w:p>
        </w:tc>
        <w:tc>
          <w:tcPr>
            <w:tcW w:w="5040" w:type="dxa"/>
            <w:vAlign w:val="bottom"/>
            <w:tcBorders>
              <w:top w:val="single" w:sz="8" w:color="0000EE"/>
            </w:tcBorders>
            <w:gridSpan w:val="17"/>
          </w:tcPr>
          <w:p>
            <w:pPr>
              <w:spacing w:after="0"/>
              <w:rPr>
                <w:sz w:val="16"/>
                <w:szCs w:val="16"/>
                <w:color w:val="auto"/>
              </w:rPr>
            </w:pPr>
          </w:p>
        </w:tc>
        <w:tc>
          <w:tcPr>
            <w:tcW w:w="160" w:type="dxa"/>
            <w:vAlign w:val="bottom"/>
            <w:gridSpan w:val="5"/>
          </w:tcPr>
          <w:p>
            <w:pPr>
              <w:spacing w:after="0"/>
              <w:rPr>
                <w:sz w:val="16"/>
                <w:szCs w:val="16"/>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4.21</w:t>
            </w:r>
          </w:p>
        </w:tc>
        <w:tc>
          <w:tcPr>
            <w:tcW w:w="9460" w:type="dxa"/>
            <w:vAlign w:val="bottom"/>
            <w:tcBorders>
              <w:bottom w:val="single" w:sz="8" w:color="0000EE"/>
            </w:tcBorders>
            <w:gridSpan w:val="26"/>
          </w:tcPr>
          <w:p>
            <w:pPr>
              <w:spacing w:after="0"/>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Purchase Agreement, dated July 10, 2019 among Melco Resorts Finance Limited, Deutsche Bank AG, Singapore Branch, Australia and</w:t>
              </w:r>
            </w:hyperlink>
          </w:p>
        </w:tc>
      </w:tr>
      <w:tr>
        <w:trPr>
          <w:trHeight w:val="189"/>
        </w:trPr>
        <w:tc>
          <w:tcPr>
            <w:tcW w:w="116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New Zealand Banking Group Limited, Bank of Communications Co., Ltd Macau Branch, BOCI Asia Limited, Industrial and</w:t>
              </w:r>
            </w:hyperlink>
          </w:p>
        </w:tc>
        <w:tc>
          <w:tcPr>
            <w:tcW w:w="720" w:type="dxa"/>
            <w:vAlign w:val="bottom"/>
            <w:gridSpan w:val="17"/>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32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Commercial Bank of China (Macau) Limited, Mizuho Securities Asia Limited and Morgan Stanley &amp; Co. LLC regarding the 5.625%</w:t>
              </w:r>
            </w:hyperlink>
          </w:p>
        </w:tc>
        <w:tc>
          <w:tcPr>
            <w:tcW w:w="140" w:type="dxa"/>
            <w:vAlign w:val="bottom"/>
            <w:gridSpan w:val="4"/>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2027 Senior Notes (incorporated by reference to Exhibit 4.30 from our annual report on Form 20-F for the fiscal year ended</w:t>
              </w:r>
            </w:hyperlink>
          </w:p>
        </w:tc>
      </w:tr>
      <w:tr>
        <w:trPr>
          <w:trHeight w:val="189"/>
        </w:trPr>
        <w:tc>
          <w:tcPr>
            <w:tcW w:w="1160" w:type="dxa"/>
            <w:vAlign w:val="bottom"/>
          </w:tcPr>
          <w:p>
            <w:pPr>
              <w:spacing w:after="0"/>
              <w:rPr>
                <w:sz w:val="16"/>
                <w:szCs w:val="16"/>
                <w:color w:val="auto"/>
              </w:rPr>
            </w:pPr>
          </w:p>
        </w:tc>
        <w:tc>
          <w:tcPr>
            <w:tcW w:w="8640" w:type="dxa"/>
            <w:vAlign w:val="bottom"/>
            <w:tcBorders>
              <w:top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December 31, 2019 (File No.001-33178), filed with the SEC on March 31, 2020)</w:t>
              </w:r>
            </w:hyperlink>
          </w:p>
        </w:tc>
        <w:tc>
          <w:tcPr>
            <w:tcW w:w="820" w:type="dxa"/>
            <w:vAlign w:val="bottom"/>
            <w:gridSpan w:val="18"/>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4.22</w:t>
            </w:r>
          </w:p>
        </w:tc>
        <w:tc>
          <w:tcPr>
            <w:tcW w:w="9460" w:type="dxa"/>
            <w:vAlign w:val="bottom"/>
            <w:gridSpan w:val="26"/>
          </w:tcPr>
          <w:p>
            <w:pPr>
              <w:spacing w:after="0"/>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Shareholders’ Agreement, dated July 31, 2019, between The Cyprus Phassouri (Zakaki) Limited, MCO Europe Holdings (NL) B.V.,</w:t>
              </w:r>
            </w:hyperlink>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580" w:type="dxa"/>
            <w:vAlign w:val="bottom"/>
            <w:gridSpan w:val="10"/>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ICR Cyprus Holdings Limited and Melco Resorts &amp; Entertainment Limited relating to ICR Cyprus Holdings Limited (incorporated by</w:t>
              </w:r>
            </w:hyperlink>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580" w:type="dxa"/>
            <w:vAlign w:val="bottom"/>
            <w:gridSpan w:val="10"/>
            <w:shd w:val="clear" w:color="auto" w:fill="0000EE"/>
          </w:tcPr>
          <w:p>
            <w:pPr>
              <w:spacing w:after="0" w:line="20" w:lineRule="exact"/>
              <w:rPr>
                <w:sz w:val="1"/>
                <w:szCs w:val="1"/>
                <w:color w:val="auto"/>
              </w:rPr>
            </w:pPr>
          </w:p>
        </w:tc>
        <w:tc>
          <w:tcPr>
            <w:tcW w:w="340" w:type="dxa"/>
            <w:vAlign w:val="bottom"/>
            <w:tcBorders>
              <w:right w:val="single" w:sz="8" w:color="0000EE"/>
            </w:tcBorders>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reference to Exhibit 4.31 from our annual report on Form 20-F for the fiscal year ended December 31, 2019 (File No.001-33178), filed</w:t>
              </w:r>
            </w:hyperlink>
          </w:p>
        </w:tc>
      </w:tr>
      <w:tr>
        <w:trPr>
          <w:trHeight w:val="189"/>
        </w:trPr>
        <w:tc>
          <w:tcPr>
            <w:tcW w:w="1160" w:type="dxa"/>
            <w:vAlign w:val="bottom"/>
          </w:tcPr>
          <w:p>
            <w:pPr>
              <w:spacing w:after="0"/>
              <w:rPr>
                <w:sz w:val="16"/>
                <w:szCs w:val="16"/>
                <w:color w:val="auto"/>
              </w:rPr>
            </w:pPr>
          </w:p>
        </w:tc>
        <w:tc>
          <w:tcPr>
            <w:tcW w:w="9400" w:type="dxa"/>
            <w:vAlign w:val="bottom"/>
            <w:tcBorders>
              <w:top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with the SEC on March 31, 2020)</w:t>
              </w:r>
            </w:hyperlink>
          </w:p>
        </w:tc>
        <w:tc>
          <w:tcPr>
            <w:tcW w:w="60" w:type="dxa"/>
            <w:vAlign w:val="bottom"/>
            <w:gridSpan w:val="2"/>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9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4.23</w:t>
            </w:r>
          </w:p>
        </w:tc>
        <w:tc>
          <w:tcPr>
            <w:tcW w:w="89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65">
              <w:r>
                <w:rPr>
                  <w:rFonts w:ascii="Times New Roman" w:cs="Times New Roman" w:eastAsia="Times New Roman" w:hAnsi="Times New Roman"/>
                  <w:sz w:val="17"/>
                  <w:szCs w:val="17"/>
                  <w:color w:val="0000EE"/>
                </w:rPr>
                <w:t>Purchase Agreement, dated November 26, 2019 among Melco Resorts Finance Limited, Deutsche Bank AG, Singapore Branch,</w:t>
              </w:r>
            </w:hyperlink>
          </w:p>
        </w:tc>
        <w:tc>
          <w:tcPr>
            <w:tcW w:w="520" w:type="dxa"/>
            <w:vAlign w:val="bottom"/>
            <w:gridSpan w:val="14"/>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7"/>
                <w:szCs w:val="17"/>
                <w:color w:val="0000EE"/>
              </w:rPr>
            </w:pPr>
            <w:hyperlink r:id="rId265">
              <w:r>
                <w:rPr>
                  <w:rFonts w:ascii="Times New Roman" w:cs="Times New Roman" w:eastAsia="Times New Roman" w:hAnsi="Times New Roman"/>
                  <w:sz w:val="17"/>
                  <w:szCs w:val="17"/>
                  <w:color w:val="0000EE"/>
                </w:rPr>
                <w:t>Morgan Stanley &amp; Co. LLC, Australia and New Zealand Banking Group Limited, Bank of Communications Co., Ltd Macau Branch,</w:t>
              </w:r>
            </w:hyperlink>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 w:lineRule="exact"/>
        <w:rPr>
          <w:sz w:val="20"/>
          <w:szCs w:val="20"/>
          <w:color w:val="auto"/>
        </w:rPr>
      </w:pPr>
    </w:p>
    <w:p>
      <w:pPr>
        <w:ind w:left="1460"/>
        <w:spacing w:after="0" w:line="276" w:lineRule="auto"/>
        <w:rPr>
          <w:rFonts w:ascii="Times New Roman" w:cs="Times New Roman" w:eastAsia="Times New Roman" w:hAnsi="Times New Roman"/>
          <w:sz w:val="17"/>
          <w:szCs w:val="17"/>
          <w:u w:val="single" w:color="auto"/>
          <w:color w:val="0000EE"/>
        </w:rPr>
      </w:pPr>
      <w:hyperlink r:id="rId265">
        <w:r>
          <w:rPr>
            <w:rFonts w:ascii="Times New Roman" w:cs="Times New Roman" w:eastAsia="Times New Roman" w:hAnsi="Times New Roman"/>
            <w:sz w:val="17"/>
            <w:szCs w:val="17"/>
            <w:u w:val="single" w:color="auto"/>
            <w:color w:val="0000EE"/>
          </w:rPr>
          <w:t>BOCI Asia Limited, Industrial and Commercial Bank of China (Macau) Limited and Mizuho Securities Asia Limited and regarding the</w:t>
        </w:r>
      </w:hyperlink>
      <w:r>
        <w:rPr>
          <w:rFonts w:ascii="Times New Roman" w:cs="Times New Roman" w:eastAsia="Times New Roman" w:hAnsi="Times New Roman"/>
          <w:sz w:val="17"/>
          <w:szCs w:val="17"/>
          <w:u w:val="single" w:color="auto"/>
          <w:color w:val="0000EE"/>
        </w:rPr>
        <w:t xml:space="preserve"> </w:t>
      </w:r>
      <w:hyperlink r:id="rId265">
        <w:r>
          <w:rPr>
            <w:rFonts w:ascii="Times New Roman" w:cs="Times New Roman" w:eastAsia="Times New Roman" w:hAnsi="Times New Roman"/>
            <w:sz w:val="17"/>
            <w:szCs w:val="17"/>
            <w:u w:val="single" w:color="auto"/>
            <w:color w:val="0000EE"/>
          </w:rPr>
          <w:t>5.375% 2029 Senior Notes (incorporated by reference to Exhibit 4.33 from our annual report on Form 20-F for the fiscal year ended</w:t>
        </w:r>
      </w:hyperlink>
      <w:r>
        <w:rPr>
          <w:rFonts w:ascii="Times New Roman" w:cs="Times New Roman" w:eastAsia="Times New Roman" w:hAnsi="Times New Roman"/>
          <w:sz w:val="17"/>
          <w:szCs w:val="17"/>
          <w:u w:val="single" w:color="auto"/>
          <w:color w:val="0000EE"/>
        </w:rPr>
        <w:t xml:space="preserve"> </w:t>
      </w:r>
      <w:hyperlink r:id="rId265">
        <w:r>
          <w:rPr>
            <w:rFonts w:ascii="Times New Roman" w:cs="Times New Roman" w:eastAsia="Times New Roman" w:hAnsi="Times New Roman"/>
            <w:sz w:val="17"/>
            <w:szCs w:val="17"/>
            <w:u w:val="single" w:color="auto"/>
            <w:color w:val="0000EE"/>
          </w:rPr>
          <w:t>December 31, 2019 (File No.001-33178), filed with the SEC on March 31, 2020)</w:t>
        </w:r>
      </w:hyperlink>
    </w:p>
    <w:p>
      <w:pPr>
        <w:spacing w:after="0" w:line="97" w:lineRule="exact"/>
        <w:rPr>
          <w:rFonts w:ascii="Times New Roman" w:cs="Times New Roman" w:eastAsia="Times New Roman" w:hAnsi="Times New Roman"/>
          <w:sz w:val="17"/>
          <w:szCs w:val="17"/>
          <w:u w:val="single" w:color="auto"/>
          <w:color w:val="0000EE"/>
        </w:rPr>
      </w:pPr>
    </w:p>
    <w:p>
      <w:pPr>
        <w:jc w:val="center"/>
        <w:ind w:right="-319"/>
        <w:spacing w:after="0"/>
        <w:rPr>
          <w:sz w:val="20"/>
          <w:szCs w:val="20"/>
          <w:color w:val="auto"/>
        </w:rPr>
      </w:pPr>
      <w:r>
        <w:rPr>
          <w:rFonts w:ascii="Times New Roman" w:cs="Times New Roman" w:eastAsia="Times New Roman" w:hAnsi="Times New Roman"/>
          <w:sz w:val="17"/>
          <w:szCs w:val="17"/>
          <w:color w:val="auto"/>
        </w:rPr>
        <w:t>199</w:t>
      </w:r>
    </w:p>
    <w:p>
      <w:pPr>
        <w:sectPr>
          <w:pgSz w:w="11900" w:h="16838" w:orient="portrait"/>
          <w:cols w:equalWidth="0" w:num="1">
            <w:col w:w="10920"/>
          </w:cols>
          <w:pgMar w:left="320" w:top="473" w:right="65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860"/>
          </w:cols>
          <w:pgMar w:left="320" w:top="473" w:right="719" w:bottom="1440" w:gutter="0" w:footer="0" w:header="0"/>
        </w:sect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4.24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line="269" w:lineRule="auto"/>
        <w:rPr>
          <w:rFonts w:ascii="Times New Roman" w:cs="Times New Roman" w:eastAsia="Times New Roman" w:hAnsi="Times New Roman"/>
          <w:sz w:val="17"/>
          <w:szCs w:val="17"/>
          <w:u w:val="single" w:color="auto"/>
          <w:color w:val="0000EE"/>
        </w:rPr>
      </w:pPr>
      <w:hyperlink r:id="rId267">
        <w:r>
          <w:rPr>
            <w:rFonts w:ascii="Times New Roman" w:cs="Times New Roman" w:eastAsia="Times New Roman" w:hAnsi="Times New Roman"/>
            <w:sz w:val="17"/>
            <w:szCs w:val="17"/>
            <w:u w:val="single" w:color="auto"/>
            <w:color w:val="0000EE"/>
          </w:rPr>
          <w:t>Supplemental Agreement, dated March 22, 2021, to the Operating Agreement, dated March 13, 2013, among Belle Corporation, SM</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Investments Corporation, PremiumLeisure and Amusement, Inc., MPHIL Holdings No. 2 Corporation, MPHIL Holdings No. 1</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Corporation and Melco Resorts Leisure (incorporated by reference to Exhibit 4.35 from our annual report on Form 20-F for the fiscal</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year ended December 31, 2020 (File No.001-33178), filed with the SEC on March 31, 2021)</w:t>
        </w:r>
      </w:hyperlink>
    </w:p>
    <w:p>
      <w:pPr>
        <w:spacing w:after="0" w:line="57"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80" w:space="600"/>
            <w:col w:w="9280"/>
          </w:cols>
          <w:pgMar w:left="320" w:top="473" w:right="71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4.25</w:t>
            </w:r>
          </w:p>
        </w:tc>
        <w:tc>
          <w:tcPr>
            <w:tcW w:w="9240" w:type="dxa"/>
            <w:vAlign w:val="bottom"/>
            <w:gridSpan w:val="15"/>
          </w:tcPr>
          <w:p>
            <w:pPr>
              <w:spacing w:after="0"/>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Supplemental Agreement, dated March 22, 2021, to the Contract of Lease, dated October 25, 2012, between Belle Corporation and</w:t>
              </w:r>
            </w:hyperlink>
          </w:p>
        </w:tc>
      </w:tr>
      <w:tr>
        <w:trPr>
          <w:trHeight w:val="189"/>
        </w:trPr>
        <w:tc>
          <w:tcPr>
            <w:tcW w:w="1280" w:type="dxa"/>
            <w:vAlign w:val="bottom"/>
          </w:tcPr>
          <w:p>
            <w:pPr>
              <w:spacing w:after="0"/>
              <w:rPr>
                <w:sz w:val="16"/>
                <w:szCs w:val="16"/>
                <w:color w:val="auto"/>
              </w:rPr>
            </w:pPr>
          </w:p>
        </w:tc>
        <w:tc>
          <w:tcPr>
            <w:tcW w:w="912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Melco Resorts Leisure (incorporated by reference to Exhibit 4.36 from our annual report on Form 20-F for the fiscal year ended</w:t>
              </w:r>
            </w:hyperlink>
          </w:p>
        </w:tc>
        <w:tc>
          <w:tcPr>
            <w:tcW w:w="12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5660" w:type="dxa"/>
            <w:vAlign w:val="bottom"/>
            <w:tcBorders>
              <w:top w:val="single" w:sz="8" w:color="0000EE"/>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December 31, 2020 (File No.001-33178), filed with the SEC on March 31, 2021)</w:t>
              </w:r>
            </w:hyperlink>
          </w:p>
        </w:tc>
        <w:tc>
          <w:tcPr>
            <w:tcW w:w="3240" w:type="dxa"/>
            <w:vAlign w:val="bottom"/>
            <w:tcBorders>
              <w:top w:val="single" w:sz="8" w:color="0000EE"/>
            </w:tcBorders>
            <w:gridSpan w:val="3"/>
          </w:tcPr>
          <w:p>
            <w:pPr>
              <w:spacing w:after="0"/>
              <w:rPr>
                <w:sz w:val="16"/>
                <w:szCs w:val="16"/>
                <w:color w:val="auto"/>
              </w:rPr>
            </w:pPr>
          </w:p>
        </w:tc>
        <w:tc>
          <w:tcPr>
            <w:tcW w:w="340" w:type="dxa"/>
            <w:vAlign w:val="bottom"/>
            <w:gridSpan w:val="2"/>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4.26</w:t>
            </w:r>
          </w:p>
        </w:tc>
        <w:tc>
          <w:tcPr>
            <w:tcW w:w="8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2021 Share Incentive Plan (incorporated by reference to Exhibit 4.5 from our registration statement on Form S-8 (File</w:t>
              </w:r>
            </w:hyperlink>
          </w:p>
        </w:tc>
        <w:tc>
          <w:tcPr>
            <w:tcW w:w="1020" w:type="dxa"/>
            <w:vAlign w:val="bottom"/>
            <w:gridSpan w:val="3"/>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418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No. 333-261554), filed with the SEC on December 9, 2021)</w:t>
              </w:r>
            </w:hyperlink>
          </w:p>
        </w:tc>
        <w:tc>
          <w:tcPr>
            <w:tcW w:w="5060" w:type="dxa"/>
            <w:vAlign w:val="bottom"/>
            <w:gridSpan w:val="9"/>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4.27</w:t>
            </w:r>
          </w:p>
        </w:tc>
        <w:tc>
          <w:tcPr>
            <w:tcW w:w="924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70">
              <w:r>
                <w:rPr>
                  <w:rFonts w:ascii="Times New Roman" w:cs="Times New Roman" w:eastAsia="Times New Roman" w:hAnsi="Times New Roman"/>
                  <w:sz w:val="17"/>
                  <w:szCs w:val="17"/>
                  <w:color w:val="0000EE"/>
                </w:rPr>
                <w:t>English Translation of the Provisions of the Concession Contract (incorporated by reference to Exhibit 99.3 from our Current Report</w:t>
              </w:r>
            </w:hyperlink>
          </w:p>
        </w:tc>
      </w:tr>
      <w:tr>
        <w:trPr>
          <w:trHeight w:val="189"/>
        </w:trPr>
        <w:tc>
          <w:tcPr>
            <w:tcW w:w="1280" w:type="dxa"/>
            <w:vAlign w:val="bottom"/>
          </w:tcPr>
          <w:p>
            <w:pPr>
              <w:spacing w:after="0"/>
              <w:rPr>
                <w:sz w:val="16"/>
                <w:szCs w:val="16"/>
                <w:color w:val="auto"/>
              </w:rPr>
            </w:pPr>
          </w:p>
        </w:tc>
        <w:tc>
          <w:tcPr>
            <w:tcW w:w="584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70">
              <w:r>
                <w:rPr>
                  <w:rFonts w:ascii="Times New Roman" w:cs="Times New Roman" w:eastAsia="Times New Roman" w:hAnsi="Times New Roman"/>
                  <w:sz w:val="17"/>
                  <w:szCs w:val="17"/>
                  <w:color w:val="0000EE"/>
                </w:rPr>
                <w:t>on Form 6-K (File No. 001-33178), furnished with the SEC on December 19, 2022)</w:t>
              </w:r>
            </w:hyperlink>
          </w:p>
        </w:tc>
        <w:tc>
          <w:tcPr>
            <w:tcW w:w="3400" w:type="dxa"/>
            <w:vAlign w:val="bottom"/>
            <w:gridSpan w:val="4"/>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8.1*</w:t>
            </w:r>
          </w:p>
        </w:tc>
        <w:tc>
          <w:tcPr>
            <w:tcW w:w="2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rPr>
              <w:t>List of Significant Subsidiaries</w:t>
            </w:r>
          </w:p>
        </w:tc>
        <w:tc>
          <w:tcPr>
            <w:tcW w:w="7080" w:type="dxa"/>
            <w:vAlign w:val="bottom"/>
            <w:gridSpan w:val="14"/>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12.1*</w:t>
            </w:r>
          </w:p>
        </w:tc>
        <w:tc>
          <w:tcPr>
            <w:tcW w:w="5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CEO Certification Pursuant to Section 302 of the Sarbanes-Oxley Act of 2002</w:t>
            </w:r>
          </w:p>
        </w:tc>
        <w:tc>
          <w:tcPr>
            <w:tcW w:w="3760" w:type="dxa"/>
            <w:vAlign w:val="bottom"/>
            <w:gridSpan w:val="6"/>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12.2*</w:t>
            </w:r>
          </w:p>
        </w:tc>
        <w:tc>
          <w:tcPr>
            <w:tcW w:w="5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CFO Certification Pursuant to Section 302 of the Sarbanes-Oxley Act of 2002</w:t>
            </w:r>
          </w:p>
        </w:tc>
        <w:tc>
          <w:tcPr>
            <w:tcW w:w="3780" w:type="dxa"/>
            <w:vAlign w:val="bottom"/>
            <w:gridSpan w:val="7"/>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13.1*</w:t>
            </w:r>
          </w:p>
        </w:tc>
        <w:tc>
          <w:tcPr>
            <w:tcW w:w="5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CEO Certification Pursuant to Section 906 of the Sarbanes-Oxley Act of 2002</w:t>
            </w:r>
          </w:p>
        </w:tc>
        <w:tc>
          <w:tcPr>
            <w:tcW w:w="3760" w:type="dxa"/>
            <w:vAlign w:val="bottom"/>
            <w:gridSpan w:val="6"/>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13.2*</w:t>
            </w:r>
          </w:p>
        </w:tc>
        <w:tc>
          <w:tcPr>
            <w:tcW w:w="5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CFO Certification Pursuant to Section 906 of the Sarbanes-Oxley Act of 2002</w:t>
            </w:r>
          </w:p>
        </w:tc>
        <w:tc>
          <w:tcPr>
            <w:tcW w:w="3800" w:type="dxa"/>
            <w:vAlign w:val="bottom"/>
            <w:gridSpan w:val="8"/>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15.1*</w:t>
            </w:r>
          </w:p>
        </w:tc>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Consent of Walkers (Hong Kong)</w:t>
            </w:r>
          </w:p>
        </w:tc>
        <w:tc>
          <w:tcPr>
            <w:tcW w:w="6900" w:type="dxa"/>
            <w:vAlign w:val="bottom"/>
            <w:gridSpan w:val="12"/>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15.2*</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Ernst &amp; Young, Hong Kong</w:t>
            </w:r>
          </w:p>
        </w:tc>
      </w:tr>
      <w:tr>
        <w:trPr>
          <w:trHeight w:val="20"/>
        </w:trPr>
        <w:tc>
          <w:tcPr>
            <w:tcW w:w="128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15.3*</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Ernst &amp; Young LLP, Singapore</w:t>
            </w: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97.1*</w:t>
            </w:r>
          </w:p>
        </w:tc>
        <w:tc>
          <w:tcPr>
            <w:tcW w:w="2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Compensation Recovery Policy</w:t>
            </w:r>
          </w:p>
        </w:tc>
        <w:tc>
          <w:tcPr>
            <w:tcW w:w="760" w:type="dxa"/>
            <w:vAlign w:val="bottom"/>
            <w:tcBorders>
              <w:top w:val="single" w:sz="8" w:color="0000EE"/>
            </w:tcBorders>
            <w:gridSpan w:val="3"/>
          </w:tcPr>
          <w:p>
            <w:pPr>
              <w:spacing w:after="0"/>
              <w:rPr>
                <w:sz w:val="24"/>
                <w:szCs w:val="24"/>
                <w:color w:val="auto"/>
              </w:rPr>
            </w:pPr>
          </w:p>
        </w:tc>
        <w:tc>
          <w:tcPr>
            <w:tcW w:w="6280" w:type="dxa"/>
            <w:vAlign w:val="bottom"/>
            <w:gridSpan w:val="10"/>
          </w:tcPr>
          <w:p>
            <w:pPr>
              <w:spacing w:after="0"/>
              <w:rPr>
                <w:sz w:val="24"/>
                <w:szCs w:val="24"/>
                <w:color w:val="auto"/>
              </w:rPr>
            </w:pPr>
          </w:p>
        </w:tc>
      </w:tr>
      <w:tr>
        <w:trPr>
          <w:trHeight w:val="33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2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86" w:lineRule="exact"/>
        <w:rPr>
          <w:sz w:val="20"/>
          <w:szCs w:val="20"/>
          <w:color w:val="auto"/>
        </w:rPr>
      </w:pPr>
    </w:p>
    <w:p>
      <w:pPr>
        <w:ind w:left="300" w:right="3700" w:hanging="8"/>
        <w:spacing w:after="0" w:line="401"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Filed with this annual report on Form 20-F</w:t>
      </w:r>
    </w:p>
    <w:p>
      <w:pPr>
        <w:ind w:left="720" w:right="40" w:hanging="428"/>
        <w:spacing w:after="0" w:line="295" w:lineRule="auto"/>
        <w:tabs>
          <w:tab w:leader="none" w:pos="7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601(b)(10)(iv) of Regulation S-K. The omitted information is (i) not material and (ii) would likely cause competitive harm to the Company if publicly disclosed.</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200</w:t>
      </w:r>
    </w:p>
    <w:p>
      <w:pPr>
        <w:sectPr>
          <w:pgSz w:w="11900" w:h="16838" w:orient="portrait"/>
          <w:cols w:equalWidth="0" w:num="1">
            <w:col w:w="10860"/>
          </w:cols>
          <w:pgMar w:left="320" w:top="473" w:right="71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5" w:lineRule="exact"/>
        <w:rPr>
          <w:sz w:val="20"/>
          <w:szCs w:val="20"/>
          <w:color w:val="auto"/>
        </w:rPr>
      </w:pPr>
    </w:p>
    <w:p>
      <w:pPr>
        <w:ind w:left="300"/>
        <w:spacing w:after="0"/>
        <w:tabs>
          <w:tab w:leader="none" w:pos="5460" w:val="left"/>
          <w:tab w:leader="none" w:pos="6040" w:val="left"/>
        </w:tabs>
        <w:rPr>
          <w:sz w:val="20"/>
          <w:szCs w:val="20"/>
          <w:color w:val="auto"/>
        </w:rPr>
      </w:pPr>
      <w:r>
        <w:rPr>
          <w:rFonts w:ascii="Times New Roman" w:cs="Times New Roman" w:eastAsia="Times New Roman" w:hAnsi="Times New Roman"/>
          <w:sz w:val="17"/>
          <w:szCs w:val="17"/>
          <w:color w:val="auto"/>
        </w:rPr>
        <w:t>Date: March 22,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20320</wp:posOffset>
            </wp:positionV>
            <wp:extent cx="31121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201</w:t>
      </w:r>
    </w:p>
    <w:p>
      <w:pPr>
        <w:sectPr>
          <w:pgSz w:w="11900" w:h="16838" w:orient="portrait"/>
          <w:cols w:equalWidth="0" w:num="1">
            <w:col w:w="10760"/>
          </w:cols>
          <w:pgMar w:left="320" w:top="473" w:right="81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95"/>
        </w:trPr>
        <w:tc>
          <w:tcPr>
            <w:tcW w:w="105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080" w:type="dxa"/>
            <w:vAlign w:val="bottom"/>
            <w:gridSpan w:val="9"/>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20" w:type="dxa"/>
            <w:vAlign w:val="bottom"/>
            <w:gridSpan w:val="10"/>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20" w:type="dxa"/>
            <w:vAlign w:val="bottom"/>
            <w:gridSpan w:val="10"/>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2022 AND 2021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62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EE"/>
              </w:rPr>
              <w:t>Reports of Independent Registered Public Accounting Firm (PCAOB ID: 1247 and 1409)</w:t>
            </w:r>
          </w:p>
        </w:tc>
        <w:tc>
          <w:tcPr>
            <w:tcW w:w="3980" w:type="dxa"/>
            <w:vAlign w:val="bottom"/>
            <w:gridSpan w:val="7"/>
            <w:vMerge w:val="restart"/>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240" w:type="dxa"/>
            <w:vAlign w:val="bottom"/>
            <w:tcBorders>
              <w:bottom w:val="single" w:sz="8" w:color="0000EE"/>
            </w:tcBorders>
            <w:gridSpan w:val="5"/>
            <w:vMerge w:val="continue"/>
          </w:tcPr>
          <w:p>
            <w:pPr>
              <w:spacing w:after="0"/>
              <w:rPr>
                <w:sz w:val="13"/>
                <w:szCs w:val="13"/>
                <w:color w:val="auto"/>
              </w:rPr>
            </w:pPr>
          </w:p>
        </w:tc>
        <w:tc>
          <w:tcPr>
            <w:tcW w:w="3980" w:type="dxa"/>
            <w:vAlign w:val="bottom"/>
            <w:gridSpan w:val="7"/>
            <w:vMerge w:val="continue"/>
          </w:tcPr>
          <w:p>
            <w:pPr>
              <w:spacing w:after="0"/>
              <w:rPr>
                <w:sz w:val="13"/>
                <w:szCs w:val="13"/>
                <w:color w:val="auto"/>
              </w:rPr>
            </w:pPr>
          </w:p>
        </w:tc>
        <w:tc>
          <w:tcPr>
            <w:tcW w:w="3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5"/>
                <w:szCs w:val="15"/>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2023 and 2022</w:t>
            </w:r>
          </w:p>
        </w:tc>
        <w:tc>
          <w:tcPr>
            <w:tcW w:w="5720" w:type="dxa"/>
            <w:vAlign w:val="bottom"/>
            <w:gridSpan w:val="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6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2023, 2022 and 2021</w:t>
            </w:r>
          </w:p>
        </w:tc>
        <w:tc>
          <w:tcPr>
            <w:tcW w:w="354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F-10</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7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Consolidated Statements of Comprehensive Loss for the Years Ended December 31, 2023, 2022 and 2021</w:t>
            </w:r>
          </w:p>
        </w:tc>
        <w:tc>
          <w:tcPr>
            <w:tcW w:w="28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F-12</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7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Consolidated Statements of (Deficit) Equity for the Years Ended December 31, 2023, 2022 and 2021</w:t>
            </w:r>
          </w:p>
        </w:tc>
        <w:tc>
          <w:tcPr>
            <w:tcW w:w="3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F-13</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2023, 2022 and 2021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0" w:type="dxa"/>
            <w:vAlign w:val="bottom"/>
          </w:tcPr>
          <w:p>
            <w:pPr>
              <w:spacing w:after="0"/>
              <w:rPr>
                <w:sz w:val="24"/>
                <w:szCs w:val="24"/>
                <w:color w:val="auto"/>
              </w:rPr>
            </w:pPr>
          </w:p>
        </w:tc>
        <w:tc>
          <w:tcPr>
            <w:tcW w:w="70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 for the Years Ended December 31, 2023, 2022 and 2021</w:t>
            </w:r>
          </w:p>
        </w:tc>
        <w:tc>
          <w:tcPr>
            <w:tcW w:w="322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F-16</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Schedule 1 – Melco Resorts &amp; Entertainment Limited Condensed Financial Statements as of December 31, 2023 and 2022 and for the Years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0220" w:type="dxa"/>
            <w:vAlign w:val="bottom"/>
            <w:gridSpan w:val="12"/>
          </w:tcPr>
          <w:p>
            <w:pPr>
              <w:ind w:left="160"/>
              <w:spacing w:after="0" w:line="189" w:lineRule="exact"/>
              <w:rPr>
                <w:sz w:val="20"/>
                <w:szCs w:val="20"/>
                <w:color w:val="auto"/>
              </w:rPr>
            </w:pPr>
            <w:r>
              <w:rPr>
                <w:rFonts w:ascii="Times New Roman" w:cs="Times New Roman" w:eastAsia="Times New Roman" w:hAnsi="Times New Roman"/>
                <w:sz w:val="17"/>
                <w:szCs w:val="17"/>
                <w:color w:val="0000EE"/>
              </w:rPr>
              <w:t>Ended December 31, 2023, 2022 and 2021</w:t>
            </w:r>
          </w:p>
        </w:tc>
        <w:tc>
          <w:tcPr>
            <w:tcW w:w="4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F-83</w:t>
            </w: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5720" w:type="dxa"/>
            <w:vAlign w:val="bottom"/>
            <w:gridSpan w:val="8"/>
          </w:tcPr>
          <w:p>
            <w:pPr>
              <w:jc w:val="center"/>
              <w:ind w:right="4080"/>
              <w:spacing w:after="0"/>
              <w:rPr>
                <w:sz w:val="20"/>
                <w:szCs w:val="20"/>
                <w:color w:val="auto"/>
              </w:rPr>
            </w:pPr>
            <w:r>
              <w:rPr>
                <w:rFonts w:ascii="Times New Roman" w:cs="Times New Roman" w:eastAsia="Times New Roman" w:hAnsi="Times New Roman"/>
                <w:sz w:val="17"/>
                <w:szCs w:val="17"/>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320" w:top="467"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Melco Resorts &amp; Entertainment Limited (the Company) as of December 31, 2023 and 2022, the related consolidated statements of operations, comprehensive loss, (deficit) equity and cash flows for each of the two years in the period ended December 31, 2023,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73"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22, 2024 expressed an unqualified opinion thereon.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6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40"/>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20"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920"/>
          </w:cols>
          <w:pgMar w:left="320" w:top="473" w:right="65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95"/>
        </w:trPr>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7840" w:type="dxa"/>
            <w:vAlign w:val="bottom"/>
          </w:tcPr>
          <w:p>
            <w:pPr>
              <w:spacing w:after="0"/>
              <w:rPr>
                <w:sz w:val="17"/>
                <w:szCs w:val="17"/>
                <w:color w:val="auto"/>
              </w:rPr>
            </w:pPr>
          </w:p>
        </w:tc>
      </w:tr>
      <w:tr>
        <w:trPr>
          <w:trHeight w:val="516"/>
        </w:trPr>
        <w:tc>
          <w:tcPr>
            <w:tcW w:w="130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tc>
      </w:tr>
      <w:tr>
        <w:trPr>
          <w:trHeight w:val="400"/>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 discussed in Note 2(m) to the consolidated financial statements, during 2023, the Company determined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that an indicator of impairment existed with regards to certain long-lived assets related to Altira Macau as a</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result of a change in its forecasted performance given the latest market conditions and lingering disruptions to</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business caused by COVID-19 and the Company’s earlier cessation of arrangements with gaming</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promoters in Macau. Accordingly, during the fourth quarter, the Company evaluated its long-lived assets for</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recoverability and determined that these assets were not recoverable and were impaired. As a result, the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Company recognized a $207.6 million impairment loss, which is the amount by which the carrying value</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exceeded the estimated fair value of these assets.</w:t>
            </w:r>
          </w:p>
        </w:tc>
      </w:tr>
      <w:tr>
        <w:trPr>
          <w:trHeight w:val="400"/>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Auditing the Company’s long-lived asset impairment measurement of Altira Macau involved subjectivity due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 the significant estimates underlying the forecasted cash flows used to evaluate the recoverability and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estimate the fair values of long-lived assets, which were based on assumptions about future market and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economic conditions. Significant assumptions used in the Company’s forecasted cash flows included future</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revenue growth rates and gross margin.</w:t>
            </w:r>
          </w:p>
        </w:tc>
      </w:tr>
      <w:tr>
        <w:trPr>
          <w:trHeight w:val="398"/>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How We Addressed the Matter in Our</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w:t>
            </w:r>
          </w:p>
        </w:tc>
      </w:tr>
      <w:tr>
        <w:trPr>
          <w:trHeight w:val="211"/>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Company’s process to assess the impairment of the Altira Macau asset group. This included controls over</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Company’s review of the significant assumptions underlying the forecasted cash flows, including</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projected revenue growth rate and gross margin assumptions.</w:t>
            </w:r>
          </w:p>
        </w:tc>
      </w:tr>
      <w:tr>
        <w:trPr>
          <w:trHeight w:val="400"/>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 test the Company’s impairment assessment and subsequent fair value measurement of long-lived assets of</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Altira Macau asset group, our audit procedures included, among others, evaluating the Company’s</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methodologies applied to the cash flow projections and testing the significant assumptions used. We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compared the significant assumptions of future revenue growth rates and gross margin to current industry and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economic trends, as well as changes to the Company’s strategic plans. We assessed the historical accuracy of</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Company’s cash flow projections by comparing them with actual operating results. We evaluated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management’s sensitivity analysis by performing independent sensitivity analyses on the significant</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assumptions to assess the extent of change those assumptions individually or collectively would have on the</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future cash flows.</w:t>
            </w:r>
          </w:p>
        </w:tc>
      </w:tr>
      <w:tr>
        <w:trPr>
          <w:trHeight w:val="353"/>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F-3</w:t>
            </w:r>
          </w:p>
        </w:tc>
      </w:tr>
    </w:tbl>
    <w:p>
      <w:pPr>
        <w:ind w:left="2400"/>
        <w:spacing w:after="0"/>
        <w:rPr>
          <w:sz w:val="20"/>
          <w:szCs w:val="20"/>
          <w:color w:val="auto"/>
        </w:rPr>
        <w:sectPr>
          <w:pgSz w:w="11900" w:h="16838" w:orient="portrait"/>
          <w:cols w:equalWidth="0" w:num="1">
            <w:col w:w="10940"/>
          </w:cols>
          <w:pgMar w:left="320" w:top="467"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207" w:name="page208"/>
    <w:bookmarkEnd w:id="207"/>
    <w:tbl>
      <w:tblPr>
        <w:tblLayout w:type="fixed"/>
        <w:tblInd w:w="0" w:type="dxa"/>
        <w:tblCellMar>
          <w:top w:w="0" w:type="dxa"/>
          <w:left w:w="0" w:type="dxa"/>
          <w:bottom w:w="0" w:type="dxa"/>
          <w:right w:w="0" w:type="dxa"/>
        </w:tblCellMar>
      </w:tblPr>
      <w:tr>
        <w:trPr>
          <w:trHeight w:val="195"/>
        </w:trPr>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7840" w:type="dxa"/>
            <w:vAlign w:val="bottom"/>
          </w:tcPr>
          <w:p>
            <w:pPr>
              <w:spacing w:after="0"/>
              <w:rPr>
                <w:sz w:val="17"/>
                <w:szCs w:val="17"/>
                <w:color w:val="auto"/>
              </w:rPr>
            </w:pPr>
          </w:p>
        </w:tc>
      </w:tr>
      <w:tr>
        <w:trPr>
          <w:trHeight w:val="516"/>
        </w:trPr>
        <w:tc>
          <w:tcPr>
            <w:tcW w:w="130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Goodwill impairment assessment</w:t>
            </w:r>
          </w:p>
        </w:tc>
      </w:tr>
      <w:tr>
        <w:trPr>
          <w:trHeight w:val="400"/>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 described in Notes 2(l) and 7 to the consolidated financial statements, the balance of goodwill was $81.6</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million as of December 31, 2023. Goodwill is allocated to the Mocha and Other reporting unit and is assessed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at least annually for impairment, or when circumstances indicate that the carrying value of goodwill may not</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be recoverable.</w:t>
            </w:r>
          </w:p>
        </w:tc>
      </w:tr>
      <w:tr>
        <w:trPr>
          <w:trHeight w:val="400"/>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Auditing management’s impairment assessment of goodwill was subjective due to the significant estimation</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required by management to determine the fair value of the reporting unit. To assess the fair value,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management prepares a cash flow analysis; this cash flow is sensitive to changes in significant assumptions</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such as future revenue growth rates, gross margin, discount rate and terminal growth rate. These significant</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assumptions are forward-looking and could be affected by future economic and market conditions.</w:t>
            </w:r>
          </w:p>
        </w:tc>
      </w:tr>
      <w:tr>
        <w:trPr>
          <w:trHeight w:val="398"/>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How We Addressed the Matter in Our</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w:t>
            </w:r>
          </w:p>
        </w:tc>
      </w:tr>
      <w:tr>
        <w:trPr>
          <w:trHeight w:val="211"/>
        </w:trPr>
        <w:tc>
          <w:tcPr>
            <w:tcW w:w="310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Company’s goodwill impairment assessment process. This included controls over the Company’s review</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 the significant assumptions used to develop the cash flow projections.</w:t>
            </w:r>
          </w:p>
        </w:tc>
      </w:tr>
      <w:tr>
        <w:trPr>
          <w:trHeight w:val="400"/>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 test the Company’s impairment assessment of goodwill, our audit procedures included, among others,</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evaluating the Company’s methodologies applied to the cash flow projections and testing the significant</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assumptions used. We compared the significant assumptions of future revenue growth rates and gross margin</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 current industry and economic trends, as well as changes to the Company’s strategic plans. We involved</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our valuation specialists to assist us in our evaluation of the discount rate and terminal growth rate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assumptions by calculating an independent range using observable market information and comparing the</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rates against the rates used by management. We assessed the historical accuracy of the Company’s cash flow</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projections by comparing them with actual operating results. We reconciled the carrying value of goodwill</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used in the impairment assessment to the underlying accounting records. We evaluated management’s</w:t>
            </w:r>
          </w:p>
        </w:tc>
      </w:tr>
      <w:tr>
        <w:trPr>
          <w:trHeight w:val="209"/>
        </w:trPr>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sensitivity analysis by performing independent sensitivity analyses on the significant assumptions to assess</w:t>
            </w:r>
          </w:p>
        </w:tc>
      </w:tr>
      <w:tr>
        <w:trPr>
          <w:trHeight w:val="227"/>
        </w:trPr>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extent of change those assumptions individually or collectively would have on the future cash flows.</w:t>
            </w:r>
          </w:p>
        </w:tc>
      </w:tr>
    </w:tbl>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22, 2024</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940"/>
          </w:cols>
          <w:pgMar w:left="320" w:top="467" w:right="6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operations, comprehensive loss, equity and cash flows of Melco Resorts &amp; Entertainment Limited (the Company) for the year ended December 31, 2021, and the related notes and the financial statement schedule included in Schedule 1 (collectively referred to as the “consolidated financial statements”). In our opinion, the consolidated financial statements present fairly, in all material respects, the results of operations and cash flows of the Company for the year ended December 31, 2021, in conformity with U.S. generally accepted accounting principles.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60"/>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served as the Company’s auditor from 2017 to 2022.</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31, 2022</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940"/>
          </w:cols>
          <w:pgMar w:left="320" w:top="473" w:right="6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20" w:lineRule="exact"/>
        <w:rPr>
          <w:sz w:val="20"/>
          <w:szCs w:val="20"/>
          <w:color w:val="auto"/>
        </w:rPr>
      </w:pPr>
    </w:p>
    <w:p>
      <w:pPr>
        <w:ind w:left="300" w:right="140"/>
        <w:spacing w:after="0" w:line="269" w:lineRule="auto"/>
        <w:rPr>
          <w:sz w:val="20"/>
          <w:szCs w:val="20"/>
          <w:color w:val="auto"/>
        </w:rPr>
      </w:pPr>
      <w:r>
        <w:rPr>
          <w:rFonts w:ascii="Times New Roman" w:cs="Times New Roman" w:eastAsia="Times New Roman" w:hAnsi="Times New Roman"/>
          <w:sz w:val="17"/>
          <w:szCs w:val="17"/>
          <w:color w:val="auto"/>
        </w:rPr>
        <w:t>We have audited Melco Resorts &amp; Entertainment Limited’s internal control over financial reporting as of December 31, 2023, based on criteria established in Internal Control—Integrated Framework issued by the Committee of Sponsoring Organizations of the Treadway Commission (2013 framework) (the COSO criteria). In our opinion, Melco Resorts &amp; Entertainment Limited (the Company) maintained, in all material respects, effective internal control over financial reporting as of December 31, 2023, based on the COSO criteria.</w:t>
      </w:r>
    </w:p>
    <w:p>
      <w:pPr>
        <w:spacing w:after="0" w:line="169"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(deficit) equity and cash flows for each of the two years in the period ended December 31, 2023 and the related notes and the financial statement schedule included in Schedule 1, and our report dated March 22, 2024 expressed an unqualified opinion thereon.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300" w:right="740"/>
        <w:spacing w:after="0" w:line="29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300" w:right="60"/>
        <w:spacing w:after="0" w:line="276"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20" w:lineRule="exact"/>
        <w:rPr>
          <w:sz w:val="20"/>
          <w:szCs w:val="20"/>
          <w:color w:val="auto"/>
        </w:rPr>
      </w:pPr>
    </w:p>
    <w:p>
      <w:pPr>
        <w:ind w:left="300" w:right="80"/>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920"/>
          </w:cols>
          <w:pgMar w:left="320" w:top="473" w:right="6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22, 2024</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0900"/>
          </w:cols>
          <w:pgMar w:left="320" w:top="473" w:right="67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95"/>
        </w:trPr>
        <w:tc>
          <w:tcPr>
            <w:tcW w:w="8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520" w:type="dxa"/>
            <w:vAlign w:val="bottom"/>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520" w:type="dxa"/>
            <w:vAlign w:val="bottom"/>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4"/>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6"/>
          </w:tcPr>
          <w:p>
            <w:pPr>
              <w:ind w:left="42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300" w:type="dxa"/>
            <w:vAlign w:val="bottom"/>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CCEEFF"/>
            </w:tcBorders>
          </w:tcPr>
          <w:p>
            <w:pPr>
              <w:spacing w:after="0"/>
              <w:rPr>
                <w:sz w:val="17"/>
                <w:szCs w:val="17"/>
                <w:color w:val="auto"/>
              </w:rPr>
            </w:pPr>
          </w:p>
        </w:tc>
      </w:tr>
      <w:tr>
        <w:trPr>
          <w:trHeight w:val="189"/>
        </w:trPr>
        <w:tc>
          <w:tcPr>
            <w:tcW w:w="300" w:type="dxa"/>
            <w:vAlign w:val="bottom"/>
          </w:tcPr>
          <w:p>
            <w:pPr>
              <w:spacing w:after="0"/>
              <w:rPr>
                <w:sz w:val="16"/>
                <w:szCs w:val="16"/>
                <w:color w:val="auto"/>
              </w:rPr>
            </w:pPr>
          </w:p>
        </w:tc>
        <w:tc>
          <w:tcPr>
            <w:tcW w:w="8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1,310,715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1,812,729</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50,992</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allowances for credit losses of $153,863 and $202,278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91,638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55,992</w:t>
            </w: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630</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29,427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26,416</w:t>
            </w: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111,688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119,410</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Assets held for sale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8,503</w:t>
            </w:r>
          </w:p>
        </w:tc>
        <w:tc>
          <w:tcPr>
            <w:tcW w:w="60" w:type="dxa"/>
            <w:vAlign w:val="bottom"/>
            <w:shd w:val="clear" w:color="auto" w:fill="CCEEFF"/>
          </w:tcPr>
          <w:p>
            <w:pPr>
              <w:spacing w:after="0"/>
              <w:rPr>
                <w:sz w:val="18"/>
                <w:szCs w:val="18"/>
                <w:color w:val="auto"/>
              </w:rPr>
            </w:pPr>
          </w:p>
        </w:tc>
      </w:tr>
      <w:tr>
        <w:trPr>
          <w:trHeight w:val="221"/>
        </w:trPr>
        <w:tc>
          <w:tcPr>
            <w:tcW w:w="88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1,544,292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2,074,672</w:t>
            </w:r>
          </w:p>
        </w:tc>
        <w:tc>
          <w:tcPr>
            <w:tcW w:w="6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5,870,905</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43,610</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81,582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81,606</w:t>
            </w: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 net of allowances for credit losses of $2,377 and $14,966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159,697</w:t>
            </w: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from an affiliated company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216,333</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124,736</w:t>
            </w: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638</w:t>
            </w: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62,356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58,715</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rights, net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582,782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670,872</w:t>
            </w:r>
          </w:p>
        </w:tc>
        <w:tc>
          <w:tcPr>
            <w:tcW w:w="60" w:type="dxa"/>
            <w:vAlign w:val="bottom"/>
            <w:shd w:val="clear" w:color="auto" w:fill="CCEEFF"/>
          </w:tcPr>
          <w:p>
            <w:pPr>
              <w:spacing w:after="0"/>
              <w:rPr>
                <w:sz w:val="18"/>
                <w:szCs w:val="18"/>
                <w:color w:val="auto"/>
              </w:rPr>
            </w:pPr>
          </w:p>
        </w:tc>
      </w:tr>
      <w:tr>
        <w:trPr>
          <w:trHeight w:val="215"/>
        </w:trPr>
        <w:tc>
          <w:tcPr>
            <w:tcW w:w="88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8,335,072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9,301,784</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300" w:type="dxa"/>
            <w:vAlign w:val="bottom"/>
          </w:tcPr>
          <w:p>
            <w:pPr>
              <w:spacing w:after="0"/>
              <w:rPr>
                <w:sz w:val="17"/>
                <w:szCs w:val="17"/>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DEFICIT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6,730</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809,305</w:t>
            </w: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payable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28,183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11,610</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12,761</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lease liabilities, current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35,307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34,959</w:t>
            </w:r>
          </w:p>
        </w:tc>
      </w:tr>
      <w:tr>
        <w:trPr>
          <w:trHeight w:val="209"/>
        </w:trPr>
        <w:tc>
          <w:tcPr>
            <w:tcW w:w="3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322,500</w:t>
            </w:r>
          </w:p>
        </w:tc>
        <w:tc>
          <w:tcPr>
            <w:tcW w:w="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Payables to affiliated companies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761</w:t>
            </w:r>
          </w:p>
        </w:tc>
      </w:tr>
      <w:tr>
        <w:trPr>
          <w:trHeight w:val="221"/>
        </w:trPr>
        <w:tc>
          <w:tcPr>
            <w:tcW w:w="88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1,198,626</w:t>
            </w:r>
          </w:p>
        </w:tc>
        <w:tc>
          <w:tcPr>
            <w:tcW w:w="6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8,090,008</w:t>
            </w:r>
          </w:p>
        </w:tc>
        <w:tc>
          <w:tcPr>
            <w:tcW w:w="6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33,712</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34,959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39,677</w:t>
            </w:r>
          </w:p>
        </w:tc>
      </w:tr>
      <w:tr>
        <w:trPr>
          <w:trHeight w:val="209"/>
        </w:trPr>
        <w:tc>
          <w:tcPr>
            <w:tcW w:w="30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53,858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55,832</w:t>
            </w: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liabilities, non-current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198,291</w:t>
            </w:r>
          </w:p>
        </w:tc>
        <w:tc>
          <w:tcPr>
            <w:tcW w:w="60" w:type="dxa"/>
            <w:vAlign w:val="bottom"/>
            <w:shd w:val="clear" w:color="auto" w:fill="CCEEFF"/>
          </w:tcPr>
          <w:p>
            <w:pPr>
              <w:spacing w:after="0"/>
              <w:rPr>
                <w:sz w:val="18"/>
                <w:szCs w:val="18"/>
                <w:color w:val="auto"/>
              </w:rPr>
            </w:pPr>
          </w:p>
        </w:tc>
      </w:tr>
      <w:tr>
        <w:trPr>
          <w:trHeight w:val="221"/>
        </w:trPr>
        <w:tc>
          <w:tcPr>
            <w:tcW w:w="882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9,175,122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 9,616,146</w:t>
            </w:r>
          </w:p>
        </w:tc>
        <w:tc>
          <w:tcPr>
            <w:tcW w:w="6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21)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53"/>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F-8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320" w:top="467" w:right="6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212" w:name="page213"/>
    <w:bookmarkEnd w:id="212"/>
    <w:tbl>
      <w:tblPr>
        <w:tblLayout w:type="fixed"/>
        <w:tblInd w:w="0" w:type="dxa"/>
        <w:tblCellMar>
          <w:top w:w="0" w:type="dxa"/>
          <w:left w:w="0" w:type="dxa"/>
          <w:bottom w:w="0" w:type="dxa"/>
          <w:right w:w="0" w:type="dxa"/>
        </w:tblCellMar>
      </w:tblPr>
      <w:tr>
        <w:trPr>
          <w:trHeight w:val="195"/>
        </w:trPr>
        <w:tc>
          <w:tcPr>
            <w:tcW w:w="8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0" w:type="dxa"/>
            <w:vAlign w:val="bottom"/>
          </w:tcPr>
          <w:p>
            <w:pPr>
              <w:jc w:val="center"/>
              <w:ind w:left="117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CONSOLIDATED BALANCE SHEETS</w:t>
            </w:r>
            <w:r>
              <w:rPr>
                <w:rFonts w:ascii="Times New Roman" w:cs="Times New Roman" w:eastAsia="Times New Roman" w:hAnsi="Times New Roman"/>
                <w:sz w:val="17"/>
                <w:szCs w:val="17"/>
                <w:color w:val="auto"/>
              </w:rPr>
              <w:t xml:space="preserve"> - continued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Deficit: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4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Ordinary shares, par value $0.01; 7,300,000,000 shares authorized;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1,404,679,067 and 1,445,052,143 shares issued;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1,311,270,775 and 1,335,307,327 shares outstanding,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14,047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14,451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Treasury shares, at cost; 93,408,292 and 109,744,816 shares, respectively</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(255,068)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(241,750)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3,109,212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3,218,895</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(98,599)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(111,969)</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Accumulated losses</w:t>
            </w:r>
          </w:p>
        </w:tc>
        <w:tc>
          <w:tcPr>
            <w:tcW w:w="1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(4,056,872)</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(3,729,952)</w:t>
            </w:r>
          </w:p>
        </w:tc>
        <w:tc>
          <w:tcPr>
            <w:tcW w:w="0" w:type="dxa"/>
            <w:vAlign w:val="bottom"/>
          </w:tcPr>
          <w:p>
            <w:pPr>
              <w:spacing w:after="0"/>
              <w:rPr>
                <w:sz w:val="1"/>
                <w:szCs w:val="1"/>
                <w:color w:val="auto"/>
              </w:rPr>
            </w:pPr>
          </w:p>
        </w:tc>
      </w:tr>
      <w:tr>
        <w:trPr>
          <w:trHeight w:val="26"/>
        </w:trPr>
        <w:tc>
          <w:tcPr>
            <w:tcW w:w="30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Melco Resorts &amp; Entertainment Limited shareholders’ deficit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(1,287,280)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(850,325)</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447,230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deficit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(840,050)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(314,362)</w:t>
            </w: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liabilities and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8,335,072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9,301,784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960"/>
          </w:cols>
          <w:pgMar w:left="320" w:top="467" w:right="6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3"/>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Casino</w:t>
            </w:r>
          </w:p>
        </w:tc>
        <w:tc>
          <w:tcPr>
            <w:tcW w:w="16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3,077,312</w:t>
            </w:r>
          </w:p>
        </w:tc>
        <w:tc>
          <w:tcPr>
            <w:tcW w:w="68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78"/>
              <w:spacing w:after="0"/>
              <w:rPr>
                <w:sz w:val="20"/>
                <w:szCs w:val="20"/>
                <w:color w:val="auto"/>
              </w:rPr>
            </w:pPr>
            <w:r>
              <w:rPr>
                <w:rFonts w:ascii="Times New Roman" w:cs="Times New Roman" w:eastAsia="Times New Roman" w:hAnsi="Times New Roman"/>
                <w:sz w:val="17"/>
                <w:szCs w:val="17"/>
                <w:color w:val="auto"/>
              </w:rPr>
              <w:t>1,076,398</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1,676,263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Rooms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338,224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116,552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157,501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Food and beverage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208,885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78"/>
              <w:spacing w:after="0"/>
              <w:rPr>
                <w:sz w:val="20"/>
                <w:szCs w:val="20"/>
                <w:color w:val="auto"/>
              </w:rPr>
            </w:pPr>
            <w:r>
              <w:rPr>
                <w:rFonts w:ascii="Times New Roman" w:cs="Times New Roman" w:eastAsia="Times New Roman" w:hAnsi="Times New Roman"/>
                <w:sz w:val="17"/>
                <w:szCs w:val="17"/>
                <w:color w:val="auto"/>
              </w:rPr>
              <w:t>85,518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97,665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150,826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71,509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80,927</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3,775,247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1,349,977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Casino</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(2,034,848)</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(912,839)</w:t>
            </w:r>
          </w:p>
        </w:tc>
        <w:tc>
          <w:tcPr>
            <w:tcW w:w="1140" w:type="dxa"/>
            <w:vAlign w:val="bottom"/>
            <w:gridSpan w:val="4"/>
          </w:tcPr>
          <w:p>
            <w:pPr>
              <w:jc w:val="right"/>
              <w:ind w:right="22"/>
              <w:spacing w:after="0"/>
              <w:rPr>
                <w:sz w:val="20"/>
                <w:szCs w:val="20"/>
                <w:color w:val="auto"/>
              </w:rPr>
            </w:pPr>
            <w:r>
              <w:rPr>
                <w:rFonts w:ascii="Times New Roman" w:cs="Times New Roman" w:eastAsia="Times New Roman" w:hAnsi="Times New Roman"/>
                <w:sz w:val="17"/>
                <w:szCs w:val="17"/>
                <w:color w:val="auto"/>
              </w:rPr>
              <w:t>(1,320,882)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Rooms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(87,637)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(46,199)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(49,895)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Food and beverage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(163,492)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(82,000)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(91,533)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(22,419)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(29,463)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(488,127)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(423,225)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(426,407)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to the Philippine Parties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(42,451)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(28,894)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(26,371)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Pre-opening costs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(43,994)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(15,585)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(30,677)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gaming subconcession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(32,785)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(57,276)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(22,662)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(22,832)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(520,726)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(466,492)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(499,739)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(228,437)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(39,982)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(30,575)</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(3,710,288)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(2,093,082)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(2,589,807)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(743,105)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(577,451)</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1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26,458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6,618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net of amounts capitalized</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(492,391)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(376,722)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(350,544)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costs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(6,396)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(11,033)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gains, net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78"/>
              <w:spacing w:after="0"/>
              <w:rPr>
                <w:sz w:val="20"/>
                <w:szCs w:val="20"/>
                <w:color w:val="auto"/>
              </w:rPr>
            </w:pPr>
            <w:r>
              <w:rPr>
                <w:rFonts w:ascii="Times New Roman" w:cs="Times New Roman" w:eastAsia="Times New Roman" w:hAnsi="Times New Roman"/>
                <w:sz w:val="17"/>
                <w:szCs w:val="17"/>
                <w:color w:val="auto"/>
              </w:rPr>
              <w:t>3,904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4,566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3,930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(28,817)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(466,867)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(348,826)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(376,128)</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1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(401,908)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(1,091,931)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(5,236)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(2,885)</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(415,330)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(1,097,167)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88,410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166,641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144,713</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w:t>
            </w:r>
          </w:p>
        </w:tc>
        <w:tc>
          <w:tcPr>
            <w:tcW w:w="1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(326,920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(930,526</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(811,751</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 per share:</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16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(0.249)</w:t>
            </w:r>
          </w:p>
        </w:tc>
        <w:tc>
          <w:tcPr>
            <w:tcW w:w="68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(0.669)</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16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(0.249)</w:t>
            </w:r>
          </w:p>
        </w:tc>
        <w:tc>
          <w:tcPr>
            <w:tcW w:w="6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(0.669)</w:t>
            </w:r>
          </w:p>
        </w:tc>
        <w:tc>
          <w:tcPr>
            <w:tcW w:w="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2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w w:val="93"/>
              </w:rPr>
              <w:t>F-10</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3340" w:type="dxa"/>
            <w:vAlign w:val="bottom"/>
            <w:tcBorders>
              <w:bottom w:val="single" w:sz="8" w:color="auto"/>
            </w:tcBorders>
            <w:gridSpan w:val="5"/>
          </w:tcPr>
          <w:p>
            <w:pPr>
              <w:jc w:val="center"/>
              <w:ind w:left="1093"/>
              <w:spacing w:after="0"/>
              <w:rPr>
                <w:sz w:val="20"/>
                <w:szCs w:val="20"/>
                <w:color w:val="auto"/>
              </w:rPr>
            </w:pPr>
            <w:r>
              <w:rPr>
                <w:rFonts w:ascii="Times New Roman" w:cs="Times New Roman" w:eastAsia="Times New Roman" w:hAnsi="Times New Roman"/>
                <w:sz w:val="17"/>
                <w:szCs w:val="17"/>
                <w:color w:val="auto"/>
              </w:rPr>
              <w:t>Year Ended December 31,</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060" w:type="dxa"/>
            <w:vAlign w:val="bottom"/>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r>
      <w:tr>
        <w:trPr>
          <w:trHeight w:val="184"/>
        </w:trPr>
        <w:tc>
          <w:tcPr>
            <w:tcW w:w="6060" w:type="dxa"/>
            <w:vAlign w:val="bottom"/>
            <w:shd w:val="clear" w:color="auto" w:fill="CCEEFF"/>
          </w:tcPr>
          <w:p>
            <w:pPr>
              <w:jc w:val="center"/>
              <w:ind w:right="1273"/>
              <w:spacing w:after="0" w:line="184" w:lineRule="exact"/>
              <w:rPr>
                <w:sz w:val="20"/>
                <w:szCs w:val="20"/>
                <w:color w:val="auto"/>
              </w:rPr>
            </w:pPr>
            <w:r>
              <w:rPr>
                <w:rFonts w:ascii="Times New Roman" w:cs="Times New Roman" w:eastAsia="Times New Roman" w:hAnsi="Times New Roman"/>
                <w:sz w:val="17"/>
                <w:szCs w:val="17"/>
                <w:color w:val="auto"/>
              </w:rPr>
              <w:t>Weighted average shares outstanding used in net loss attributable to</w:t>
            </w: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7"/>
        </w:trPr>
        <w:tc>
          <w:tcPr>
            <w:tcW w:w="6060" w:type="dxa"/>
            <w:vAlign w:val="bottom"/>
            <w:shd w:val="clear" w:color="auto" w:fill="CCEEFF"/>
          </w:tcPr>
          <w:p>
            <w:pPr>
              <w:jc w:val="center"/>
              <w:ind w:right="1293"/>
              <w:spacing w:after="0"/>
              <w:rPr>
                <w:sz w:val="20"/>
                <w:szCs w:val="20"/>
                <w:color w:val="auto"/>
              </w:rPr>
            </w:pPr>
            <w:r>
              <w:rPr>
                <w:rFonts w:ascii="Times New Roman" w:cs="Times New Roman" w:eastAsia="Times New Roman" w:hAnsi="Times New Roman"/>
                <w:sz w:val="17"/>
                <w:szCs w:val="17"/>
                <w:color w:val="auto"/>
              </w:rPr>
              <w:t>Melco Resorts &amp; Entertainment Limited per share calculation:</w:t>
            </w:r>
          </w:p>
        </w:tc>
        <w:tc>
          <w:tcPr>
            <w:tcW w:w="156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 xml:space="preserve">                </w:t>
            </w:r>
          </w:p>
        </w:tc>
        <w:tc>
          <w:tcPr>
            <w:tcW w:w="1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12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9"/>
        </w:trPr>
        <w:tc>
          <w:tcPr>
            <w:tcW w:w="6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gridSpan w:val="2"/>
          </w:tcPr>
          <w:p>
            <w:pPr>
              <w:jc w:val="center"/>
              <w:ind w:left="113"/>
              <w:spacing w:after="0"/>
              <w:rPr>
                <w:sz w:val="20"/>
                <w:szCs w:val="20"/>
                <w:color w:val="auto"/>
              </w:rPr>
            </w:pPr>
            <w:r>
              <w:rPr>
                <w:rFonts w:ascii="Times New Roman" w:cs="Times New Roman" w:eastAsia="Times New Roman" w:hAnsi="Times New Roman"/>
                <w:sz w:val="17"/>
                <w:szCs w:val="17"/>
                <w:color w:val="auto"/>
              </w:rPr>
              <w:t>1,314,605,173</w:t>
            </w:r>
          </w:p>
        </w:tc>
        <w:tc>
          <w:tcPr>
            <w:tcW w:w="1560" w:type="dxa"/>
            <w:vAlign w:val="bottom"/>
            <w:gridSpan w:val="2"/>
          </w:tcPr>
          <w:p>
            <w:pPr>
              <w:jc w:val="center"/>
              <w:ind w:left="113"/>
              <w:spacing w:after="0"/>
              <w:rPr>
                <w:sz w:val="20"/>
                <w:szCs w:val="20"/>
                <w:color w:val="auto"/>
              </w:rPr>
            </w:pPr>
            <w:r>
              <w:rPr>
                <w:rFonts w:ascii="Times New Roman" w:cs="Times New Roman" w:eastAsia="Times New Roman" w:hAnsi="Times New Roman"/>
                <w:sz w:val="17"/>
                <w:szCs w:val="17"/>
                <w:color w:val="auto"/>
              </w:rPr>
              <w:t>1,391,154,836</w:t>
            </w:r>
          </w:p>
        </w:tc>
        <w:tc>
          <w:tcPr>
            <w:tcW w:w="220" w:type="dxa"/>
            <w:vAlign w:val="bottom"/>
          </w:tcPr>
          <w:p>
            <w:pPr>
              <w:spacing w:after="0"/>
              <w:rPr>
                <w:sz w:val="18"/>
                <w:szCs w:val="18"/>
                <w:color w:val="auto"/>
              </w:rPr>
            </w:pPr>
          </w:p>
        </w:tc>
        <w:tc>
          <w:tcPr>
            <w:tcW w:w="12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1,434,087,641</w:t>
            </w:r>
          </w:p>
        </w:tc>
      </w:tr>
      <w:tr>
        <w:trPr>
          <w:trHeight w:val="20"/>
        </w:trPr>
        <w:tc>
          <w:tcPr>
            <w:tcW w:w="60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1,314,605,173</w:t>
            </w:r>
          </w:p>
        </w:tc>
        <w:tc>
          <w:tcPr>
            <w:tcW w:w="156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1,391,154,836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1,434,087,641</w:t>
            </w:r>
          </w:p>
        </w:tc>
      </w:tr>
      <w:tr>
        <w:trPr>
          <w:trHeight w:val="20"/>
        </w:trPr>
        <w:tc>
          <w:tcPr>
            <w:tcW w:w="60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960"/>
          </w:cols>
          <w:pgMar w:left="320" w:top="473" w:right="6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(415,330)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(1,097,167)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(956,464)</w:t>
            </w: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00" w:type="dxa"/>
            <w:vAlign w:val="bottom"/>
          </w:tcPr>
          <w:p>
            <w:pPr>
              <w:spacing w:after="0"/>
              <w:rPr>
                <w:sz w:val="18"/>
                <w:szCs w:val="18"/>
                <w:color w:val="auto"/>
              </w:rPr>
            </w:pP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xml:space="preserve">            </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(41,082)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(78,992)</w:t>
            </w:r>
          </w:p>
        </w:tc>
      </w:tr>
      <w:tr>
        <w:trPr>
          <w:trHeight w:val="221"/>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(41,082)</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(78,992)</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(1,138,249)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(1,035,456)</w:t>
            </w: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88,470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171,762</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159,029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 attributable to Melco Resorts &amp; Entertainment Limited</w:t>
            </w:r>
          </w:p>
        </w:tc>
        <w:tc>
          <w:tcPr>
            <w:tcW w:w="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(966,487)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(876,427)</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960"/>
          </w:cols>
          <w:pgMar w:left="320" w:top="473" w:right="6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(DEFICIT) EQUITY</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12"/>
          </w:tcPr>
          <w:p>
            <w:pPr>
              <w:jc w:val="right"/>
              <w:ind w:right="420"/>
              <w:spacing w:after="0"/>
              <w:rPr>
                <w:sz w:val="20"/>
                <w:szCs w:val="20"/>
                <w:color w:val="auto"/>
              </w:rPr>
            </w:pPr>
            <w:r>
              <w:rPr>
                <w:rFonts w:ascii="Times New Roman" w:cs="Times New Roman" w:eastAsia="Times New Roman" w:hAnsi="Times New Roman"/>
                <w:sz w:val="12"/>
                <w:szCs w:val="12"/>
                <w:color w:val="auto"/>
              </w:rPr>
              <w:t>Melco Resorts &amp; Entertainment Limited Shareholders’ (Deficit) Equity</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74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2"/>
                <w:szCs w:val="12"/>
                <w:color w:val="auto"/>
              </w:rPr>
              <w:t>Ordinary Shares</w:t>
            </w:r>
          </w:p>
        </w:tc>
        <w:tc>
          <w:tcPr>
            <w:tcW w:w="16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2"/>
                <w:szCs w:val="12"/>
                <w:color w:val="auto"/>
              </w:rPr>
              <w:t>Treasury Shares</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2"/>
                <w:szCs w:val="12"/>
                <w:color w:val="auto"/>
                <w:w w:val="99"/>
              </w:rPr>
              <w:t>Accumulated</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7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Additional</w:t>
            </w:r>
          </w:p>
        </w:tc>
        <w:tc>
          <w:tcPr>
            <w:tcW w:w="6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280"/>
              <w:spacing w:after="0" w:line="106"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2"/>
                <w:szCs w:val="12"/>
                <w:color w:val="auto"/>
                <w:w w:val="96"/>
              </w:rPr>
              <w:t>Accumulated</w:t>
            </w:r>
          </w:p>
        </w:tc>
        <w:tc>
          <w:tcPr>
            <w:tcW w:w="60" w:type="dxa"/>
            <w:vAlign w:val="bottom"/>
          </w:tcPr>
          <w:p>
            <w:pPr>
              <w:spacing w:after="0"/>
              <w:rPr>
                <w:sz w:val="9"/>
                <w:szCs w:val="9"/>
                <w:color w:val="auto"/>
              </w:rPr>
            </w:pPr>
          </w:p>
        </w:tc>
        <w:tc>
          <w:tcPr>
            <w:tcW w:w="94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auto"/>
              </w:rPr>
              <w:t>Noncontrolling</w:t>
            </w: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2"/>
                <w:szCs w:val="12"/>
                <w:color w:val="auto"/>
              </w:rPr>
              <w:t>(Deficit)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Shares</w:t>
            </w:r>
          </w:p>
        </w:tc>
        <w:tc>
          <w:tcPr>
            <w:tcW w:w="6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Amount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Shares</w:t>
            </w:r>
          </w:p>
        </w:tc>
        <w:tc>
          <w:tcPr>
            <w:tcW w:w="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Amount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Capital</w:t>
            </w:r>
          </w:p>
        </w:tc>
        <w:tc>
          <w:tcPr>
            <w:tcW w:w="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Losses</w:t>
            </w:r>
          </w:p>
        </w:tc>
        <w:tc>
          <w:tcPr>
            <w:tcW w:w="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Interests</w:t>
            </w: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Balance at January 1, 2021</w:t>
            </w: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1,456,547,942</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14,565</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(25,582,630)</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(121,028)</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4"/>
              </w:rPr>
              <w:t>$ 3,207,312</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(11,332)</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(1,987,396)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735,950</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1,838,071</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(811,751)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(144,713)</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(956,464)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(64,676)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(14,316)</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(78,992)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Share-based compensation</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71,894</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71,908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(16,116,135)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(52,026)</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(52,026)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6,042,543</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28,516</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(28,749)</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Exercise of share options</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2,478,594</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w w:val="96"/>
              </w:rPr>
              <w:t>         11,682</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(5,314)</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6,368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(6,951)</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(1,567)</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(8,518)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Restricted shares granted to employees of an affiliated</w:t>
            </w: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company</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Dividends declared to noncontrolling interests</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20"/>
              <w:spacing w:after="0" w:line="131" w:lineRule="exact"/>
              <w:rPr>
                <w:sz w:val="20"/>
                <w:szCs w:val="20"/>
                <w:color w:val="auto"/>
              </w:rPr>
            </w:pPr>
            <w:r>
              <w:rPr>
                <w:rFonts w:ascii="Times New Roman" w:cs="Times New Roman" w:eastAsia="Times New Roman" w:hAnsi="Times New Roman"/>
                <w:sz w:val="12"/>
                <w:szCs w:val="12"/>
                <w:color w:val="auto"/>
                <w:w w:val="99"/>
              </w:rPr>
              <w:t>— </w:t>
            </w:r>
          </w:p>
        </w:tc>
        <w:tc>
          <w:tcPr>
            <w:tcW w:w="16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(229)</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Balance at December 31, 2021</w:t>
            </w:r>
          </w:p>
        </w:tc>
        <w:tc>
          <w:tcPr>
            <w:tcW w:w="90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1,456,547,942</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w w:val="96"/>
              </w:rPr>
              <w:t>         14,565</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(33,177,628)</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(132,856)</w:t>
            </w:r>
          </w:p>
        </w:tc>
        <w:tc>
          <w:tcPr>
            <w:tcW w:w="7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3,238,600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(76,008)</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(2,799,555)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575,139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819,885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(930,526)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(166,641)</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w w:val="99"/>
              </w:rPr>
              <w:t>(1,097,167)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(35,961)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(5,121)</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(41,082)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Share-based compensation</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62,831</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62,841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(102,783,027)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(189,161)</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(189,161)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Retirement of repurchased shares</w:t>
            </w:r>
          </w:p>
        </w:tc>
        <w:tc>
          <w:tcPr>
            <w:tcW w:w="90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(11,495,799)</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(114)</w:t>
            </w:r>
          </w:p>
        </w:tc>
        <w:tc>
          <w:tcPr>
            <w:tcW w:w="8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11,495,799</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21,971</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(21,857)</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14,720,040</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58,296</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(58,756)</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(2,952)</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(358)</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(3,310)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Changes in shareholdings of Studio City International</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879</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133,224</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134,103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Restricted shares granted to employees of an affiliated</w:t>
            </w: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company, net of adjustment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Reimbursement from an affiliated company for restricted</w:t>
            </w: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shares granted to its employees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Dividends declared to noncontrolling interests</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20"/>
              <w:spacing w:after="0" w:line="131" w:lineRule="exact"/>
              <w:rPr>
                <w:sz w:val="20"/>
                <w:szCs w:val="20"/>
                <w:color w:val="auto"/>
              </w:rPr>
            </w:pPr>
            <w:r>
              <w:rPr>
                <w:rFonts w:ascii="Times New Roman" w:cs="Times New Roman" w:eastAsia="Times New Roman" w:hAnsi="Times New Roman"/>
                <w:sz w:val="12"/>
                <w:szCs w:val="12"/>
                <w:color w:val="auto"/>
                <w:w w:val="99"/>
              </w:rPr>
              <w:t>— </w:t>
            </w:r>
          </w:p>
        </w:tc>
        <w:tc>
          <w:tcPr>
            <w:tcW w:w="16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(290)</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Balance at December 31, 2022</w:t>
            </w:r>
          </w:p>
        </w:tc>
        <w:tc>
          <w:tcPr>
            <w:tcW w:w="90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1,445,052,143</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14,451</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(109,744,816)</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(241,750)</w:t>
            </w:r>
          </w:p>
        </w:tc>
        <w:tc>
          <w:tcPr>
            <w:tcW w:w="7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3,218,895</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(111,969)</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(3,729,952)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535,963</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(314,362)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w w:val="92"/>
              </w:rPr>
              <w:t>                 — </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(326,920)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(88,410)</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(415,330)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13,370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w w:val="92"/>
              </w:rPr>
              <w:t>                 — 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(60)</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13,310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Share-based compensation</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48,336</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48,340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(40,373,076)</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(169,836)</w:t>
            </w: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w w:val="92"/>
              </w:rPr>
              <w:t>                 — 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(169,836)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Retirement of repurchased shares</w:t>
            </w:r>
          </w:p>
        </w:tc>
        <w:tc>
          <w:tcPr>
            <w:tcW w:w="90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(40,373,076)</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(404)</w:t>
            </w:r>
          </w:p>
        </w:tc>
        <w:tc>
          <w:tcPr>
            <w:tcW w:w="8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40,373,076</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108,375</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(107,971)</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16,254,282</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47,903</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(49,452)</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(1,549)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Exercise of share options</w:t>
            </w:r>
          </w:p>
        </w:tc>
        <w:tc>
          <w:tcPr>
            <w:tcW w:w="9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82,242</w:t>
            </w:r>
          </w:p>
        </w:tc>
        <w:tc>
          <w:tcPr>
            <w:tcW w:w="60" w:type="dxa"/>
            <w:vAlign w:val="bottom"/>
          </w:tcPr>
          <w:p>
            <w:pPr>
              <w:spacing w:after="0"/>
              <w:rPr>
                <w:sz w:val="11"/>
                <w:szCs w:val="11"/>
                <w:color w:val="auto"/>
              </w:rPr>
            </w:pPr>
          </w:p>
        </w:tc>
        <w:tc>
          <w:tcPr>
            <w:tcW w:w="78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2"/>
                <w:szCs w:val="12"/>
                <w:color w:val="auto"/>
              </w:rPr>
              <w:t>240</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226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9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(582)</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(90)</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(672)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Dividends declared to noncontrolling interests</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20"/>
              <w:spacing w:after="0" w:line="131" w:lineRule="exact"/>
              <w:rPr>
                <w:sz w:val="20"/>
                <w:szCs w:val="20"/>
                <w:color w:val="auto"/>
              </w:rPr>
            </w:pPr>
            <w:r>
              <w:rPr>
                <w:rFonts w:ascii="Times New Roman" w:cs="Times New Roman" w:eastAsia="Times New Roman" w:hAnsi="Times New Roman"/>
                <w:sz w:val="12"/>
                <w:szCs w:val="12"/>
                <w:color w:val="auto"/>
                <w:w w:val="99"/>
              </w:rPr>
              <w:t>— </w:t>
            </w:r>
          </w:p>
        </w:tc>
        <w:tc>
          <w:tcPr>
            <w:tcW w:w="16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(177)</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(177)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Balance at December 31, 2023</w:t>
            </w:r>
          </w:p>
        </w:tc>
        <w:tc>
          <w:tcPr>
            <w:tcW w:w="90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1,404,679,067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2"/>
                <w:szCs w:val="12"/>
                <w:color w:val="auto"/>
              </w:rPr>
              <w:t>14,047</w:t>
            </w:r>
          </w:p>
        </w:tc>
        <w:tc>
          <w:tcPr>
            <w:tcW w:w="8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(93,408,292)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2"/>
                <w:szCs w:val="12"/>
                <w:color w:val="auto"/>
              </w:rPr>
              <w:t>(255,068)</w:t>
            </w:r>
          </w:p>
        </w:tc>
        <w:tc>
          <w:tcPr>
            <w:tcW w:w="74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 xml:space="preserve"> 3,109,212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(98,599)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(4,056,872)</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2"/>
                <w:szCs w:val="12"/>
                <w:color w:val="auto"/>
              </w:rPr>
              <w:t>447,230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(840,050)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960"/>
          </w:cols>
          <w:pgMar w:left="320" w:top="473" w:right="6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5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(415,330)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(1,097,167)</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(956,464)</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543,396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  521,939</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579,847</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Amortization of deferred financing costs and original issue premiums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19,461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17,056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16,276</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(Payment for) interest accretion on finance lease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(12,825)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(16,843)</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17,218</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accretion on financial liabilities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4,692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loss on disposal of property and equipment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476</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807</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207,608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3,595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3,643</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Impairment of assets held for sale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6,794</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(gain) loss on disposal of assets held for sale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477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(Reversal of) provision for credit losses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(433)</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6,450</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Provision for input value-added tax</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6,665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5,714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3,023</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28,817</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35,473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71,809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67,957</w:t>
            </w:r>
          </w:p>
        </w:tc>
      </w:tr>
      <w:tr>
        <w:trPr>
          <w:trHeight w:val="209"/>
        </w:trPr>
        <w:tc>
          <w:tcPr>
            <w:tcW w:w="20" w:type="dxa"/>
            <w:vAlign w:val="bottom"/>
          </w:tcPr>
          <w:p>
            <w:pPr>
              <w:spacing w:after="0"/>
              <w:rPr>
                <w:sz w:val="18"/>
                <w:szCs w:val="18"/>
                <w:color w:val="auto"/>
              </w:rPr>
            </w:pPr>
          </w:p>
        </w:tc>
        <w:tc>
          <w:tcPr>
            <w:tcW w:w="6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(31,526)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67,571</w:t>
            </w:r>
          </w:p>
        </w:tc>
      </w:tr>
      <w:tr>
        <w:trPr>
          <w:trHeight w:val="209"/>
        </w:trPr>
        <w:tc>
          <w:tcPr>
            <w:tcW w:w="20" w:type="dxa"/>
            <w:vAlign w:val="bottom"/>
          </w:tcPr>
          <w:p>
            <w:pPr>
              <w:spacing w:after="0"/>
              <w:rPr>
                <w:sz w:val="18"/>
                <w:szCs w:val="18"/>
                <w:color w:val="auto"/>
              </w:rPr>
            </w:pPr>
          </w:p>
        </w:tc>
        <w:tc>
          <w:tcPr>
            <w:tcW w:w="65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Inventories, prepaid expenses and 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20,176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4,187</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16,134</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Long-term prepayments, deposits and other</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16,573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(16,405)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61,952</w:t>
            </w:r>
          </w:p>
        </w:tc>
      </w:tr>
      <w:tr>
        <w:trPr>
          <w:trHeight w:val="209"/>
        </w:trPr>
        <w:tc>
          <w:tcPr>
            <w:tcW w:w="20" w:type="dxa"/>
            <w:vAlign w:val="bottom"/>
          </w:tcPr>
          <w:p>
            <w:pPr>
              <w:spacing w:after="0"/>
              <w:rPr>
                <w:sz w:val="18"/>
                <w:szCs w:val="18"/>
                <w:color w:val="auto"/>
              </w:rPr>
            </w:pPr>
          </w:p>
        </w:tc>
        <w:tc>
          <w:tcPr>
            <w:tcW w:w="65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payable, accrued expenses and 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212,377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(121,288)</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(178,853)</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24,937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1,051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(3,152)</w:t>
            </w:r>
          </w:p>
        </w:tc>
      </w:tr>
      <w:tr>
        <w:trPr>
          <w:trHeight w:val="221"/>
        </w:trPr>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622,690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(619,434)</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(268,774)</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for capitalized construction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(132,923)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(479,883)</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(532,660)</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(129,731)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(139,155)</w:t>
            </w:r>
          </w:p>
        </w:tc>
      </w:tr>
      <w:tr>
        <w:trPr>
          <w:trHeight w:val="209"/>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intangible and other assets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(12,478)</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(7,579)</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4,843</w:t>
            </w:r>
          </w:p>
        </w:tc>
      </w:tr>
      <w:tr>
        <w:trPr>
          <w:trHeight w:val="209"/>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 held for sale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14,845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15,562</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loan repayment from an affiliated company</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loan to an affiliated company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(200,000)</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Placement of bank deposits with original maturities over three months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(298,666)</w:t>
            </w:r>
          </w:p>
        </w:tc>
      </w:tr>
      <w:tr>
        <w:trPr>
          <w:trHeight w:val="215"/>
        </w:trPr>
        <w:tc>
          <w:tcPr>
            <w:tcW w:w="20" w:type="dxa"/>
            <w:vAlign w:val="bottom"/>
          </w:tcPr>
          <w:p>
            <w:pPr>
              <w:spacing w:after="0"/>
              <w:rPr>
                <w:sz w:val="18"/>
                <w:szCs w:val="18"/>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Withdrawals of bank deposits with original maturities over three months</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298,666</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(48,513)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(806,107)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(674,551)</w:t>
            </w:r>
          </w:p>
        </w:tc>
      </w:tr>
      <w:tr>
        <w:trPr>
          <w:trHeight w:val="359"/>
        </w:trPr>
        <w:tc>
          <w:tcPr>
            <w:tcW w:w="20" w:type="dxa"/>
            <w:vAlign w:val="bottom"/>
          </w:tcPr>
          <w:p>
            <w:pPr>
              <w:spacing w:after="0"/>
              <w:rPr>
                <w:sz w:val="24"/>
                <w:szCs w:val="24"/>
                <w:color w:val="auto"/>
              </w:rPr>
            </w:pPr>
          </w:p>
        </w:tc>
        <w:tc>
          <w:tcPr>
            <w:tcW w:w="6540" w:type="dxa"/>
            <w:vAlign w:val="bottom"/>
          </w:tcPr>
          <w:p>
            <w:pPr>
              <w:ind w:left="5140"/>
              <w:spacing w:after="0"/>
              <w:rPr>
                <w:sz w:val="20"/>
                <w:szCs w:val="20"/>
                <w:color w:val="auto"/>
              </w:rPr>
            </w:pPr>
            <w:r>
              <w:rPr>
                <w:rFonts w:ascii="Times New Roman" w:cs="Times New Roman" w:eastAsia="Times New Roman" w:hAnsi="Times New Roman"/>
                <w:sz w:val="17"/>
                <w:szCs w:val="17"/>
                <w:color w:val="auto"/>
              </w:rPr>
              <w:t>F-14</w:t>
            </w: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73" w:right="6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9"/>
          </w:tcPr>
          <w:p>
            <w:pPr>
              <w:jc w:val="right"/>
              <w:ind w:right="86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Cash flows from financing activities: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(2,201,562)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(502,831)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(169,836)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(189,161)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Concession and license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shares of a subsidiary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financing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(7,990)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1,849,839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proceeds from (payments for) issuance of shares of subsidiaries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payments on finance lease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(1,129,124)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1,783,285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821,745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(Decrease) increase in cash, cash equivalents and restricted cash, including those classified within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assets held for sale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(552,621)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1,653,315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1,755,770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Cash, cash equivalents and restricted cash at end of year, including those classified within assets held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 sale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1,653,549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cash and cash equivalents classified within assets held for sale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 1,988,457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 1,653,315</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cash flow disclosures: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(490,910)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(350,737)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(310,319)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Cash paid for amounts included in the measurement of lease liabilities - operating cash flows from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(17,135)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(15,393)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(23,398)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operating lease liabilities arising from obtaining operating lease right-of-use assets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lease modification</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22,365</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8,849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right-of-use assets held under finance lease and finance lease liabilities arising from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modification</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106,407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accrued expenses and other current liabilities and other long-term liabilities related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28,543</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32,042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29,251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input value-added tax related to acquisition of property and equipment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accrued expenses and other current liabilities and other long-term liabilities related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construction costs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107,158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145,284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accrued expenses and other current liabilities related to acquisition of intangible assets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other current and other long-term liabilities arising from recognition of intangible assets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(Note 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312,647</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960"/>
          </w:cols>
          <w:pgMar w:left="320" w:top="472" w:right="6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Company Information</w:t>
      </w:r>
    </w:p>
    <w:p>
      <w:pPr>
        <w:spacing w:after="0" w:line="120" w:lineRule="exact"/>
        <w:rPr>
          <w:rFonts w:ascii="Times New Roman" w:cs="Times New Roman" w:eastAsia="Times New Roman" w:hAnsi="Times New Roman"/>
          <w:sz w:val="17"/>
          <w:szCs w:val="17"/>
          <w:color w:val="auto"/>
        </w:rPr>
      </w:pPr>
    </w:p>
    <w:p>
      <w:pPr>
        <w:ind w:left="1260" w:right="2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&amp; Entertainment Limited (“Melco”) is incorporated in the Cayman Islands and its American depositary shares (“ADSs”) are listed on the Nasdaq Global Select Market under the symbol “MLCO” in the United States of America (the “U.S.”).</w:t>
      </w:r>
    </w:p>
    <w:p>
      <w:pPr>
        <w:spacing w:after="0" w:line="42" w:lineRule="exact"/>
        <w:rPr>
          <w:rFonts w:ascii="Times New Roman" w:cs="Times New Roman" w:eastAsia="Times New Roman" w:hAnsi="Times New Roman"/>
          <w:sz w:val="17"/>
          <w:szCs w:val="17"/>
          <w:color w:val="auto"/>
        </w:rPr>
      </w:pPr>
    </w:p>
    <w:p>
      <w:pPr>
        <w:ind w:left="12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together with its subsidiaries (collectively referred to as the “Company”) is a developer, owner and operator of integrated resort facilities in Asia and Europe. In the Macau Special Administrative Region of the People’s Republic of China (“Macau”), the Company operates its gaming business through its subsidiary, Melco Resorts (Macau) Limited (“Melco Resorts Macau”), a holder of a ten-year concession to operate games of fortune and chance in casinos in Macau which commenced on January 1, 2023 and ends on December 31, 2032 (the “Concession”) and a holder of a previous gaming subconcession contract to operate gaming business in Macau which expired on December 31, 2022. The Company currently operates Altira Macau, an integrated resort located at Taipa, Macau, City of Dreams, an integrated resort located at Cotai, Macau and Grand Dragon Casino, a casino located at Taipa, Macau. The Company’s business also includes the Mocha Clubs, which comprise the non-casino based operations of electronic gaming machines in Macau. Melco, through its subsidiaries, including Studio City International Holdings Limited (“Studio City International”), which is majority-owned by Melco and its ADSs are listed on the New York Stock Exchange in the U.S., also operates Studio City, a cinematically-themed integrated resort in Cotai, Macau. In the Philippines, a majority-owned subsidiary of Melco operates and manages City of Dreams Manila, an integrated resort in the Entertainment City complex in Manila. In Europe, Melco, through its majority-owned subsidiary, ICR Cyprus Holdings Limited (“ICR Cyprus”) and its subsidiaries (collectively referred to as “ICR Cyprus Group”), operates City of Dreams Mediterranean, an integrated resort in Limassol, in the Republic of Cyprus (“Cyprus”), which had a soft opening on June 12, 2023 and a full public opening on July 10, 2023. In addition to City of Dreams Mediterranean, ICR Cyprus Group also operates licensed satellite casinos in Cyprus, and prior to the soft opening of City of Dreams Mediterranean, a licensed temporary casino in Limassol until its closure on June 9, 2023 (collectively, the “Cyprus Operations”).</w:t>
      </w:r>
    </w:p>
    <w:p>
      <w:pPr>
        <w:spacing w:after="0" w:line="283" w:lineRule="exact"/>
        <w:rPr>
          <w:rFonts w:ascii="Times New Roman" w:cs="Times New Roman" w:eastAsia="Times New Roman" w:hAnsi="Times New Roman"/>
          <w:sz w:val="17"/>
          <w:szCs w:val="17"/>
          <w:color w:val="auto"/>
        </w:rPr>
      </w:pP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Development Limited (“Melco International”), a company listed in the Hong Kong Special Administrative Region of the People’s Republic of China (“Hong Kong”), is the single largest shareholder of Melco.</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 and COVID-19</w:t>
      </w:r>
    </w:p>
    <w:p>
      <w:pPr>
        <w:spacing w:after="0" w:line="120" w:lineRule="exact"/>
        <w:rPr>
          <w:rFonts w:ascii="Times New Roman" w:cs="Times New Roman" w:eastAsia="Times New Roman" w:hAnsi="Times New Roman"/>
          <w:sz w:val="17"/>
          <w:szCs w:val="17"/>
          <w:color w:val="auto"/>
        </w:rPr>
      </w:pPr>
    </w:p>
    <w:p>
      <w:pPr>
        <w:ind w:left="1260" w:right="40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completed construction of its Studio City Phase 2 expansion before the extended deadline of June 30, 2023 for the development period under the Studio City land concession. The first stage of Studio City Phase 2 was opened in April 2023 while the second stage was opened in September 2023.</w:t>
      </w:r>
    </w:p>
    <w:p>
      <w:pPr>
        <w:spacing w:after="0" w:line="57" w:lineRule="exact"/>
        <w:rPr>
          <w:rFonts w:ascii="Times New Roman" w:cs="Times New Roman" w:eastAsia="Times New Roman" w:hAnsi="Times New Roman"/>
          <w:sz w:val="17"/>
          <w:szCs w:val="17"/>
          <w:color w:val="auto"/>
        </w:rPr>
      </w:pPr>
    </w:p>
    <w:p>
      <w:pPr>
        <w:ind w:left="12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Mediterranean commenced operations before the extended deadline of June 30, 2023 under the terms of the gaming license. Since the opening, City of Dreams Mediterranean has been impacted by, amongst other things, the Israel-Hamas military conflict. This, together with the on-going military conflict between Russia and Ukraine and restrictions on the ability to accept certain customers from Russia, continues to have a negative impact on the Company’s business and may materially and adversely affect the Company’s business in Cyprus.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960"/>
          </w:cols>
          <w:pgMar w:left="320" w:top="472" w:right="6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 and COVID-19</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Company’s business continues to recover from the impact of, and disruptions caused by, COVID-19, the pace of recovery of the Company’s business from COVID-19 could vary materially from current estimates and could materially affect the Company’s business, prospects, financial condition and results of operations.</w:t>
      </w:r>
    </w:p>
    <w:p>
      <w:pPr>
        <w:spacing w:after="0" w:line="57" w:lineRule="exact"/>
        <w:rPr>
          <w:rFonts w:ascii="Times New Roman" w:cs="Times New Roman" w:eastAsia="Times New Roman" w:hAnsi="Times New Roman"/>
          <w:sz w:val="17"/>
          <w:szCs w:val="17"/>
          <w:color w:val="auto"/>
        </w:rPr>
      </w:pPr>
    </w:p>
    <w:p>
      <w:pPr>
        <w:ind w:left="1260" w:right="2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currently unable to reasonably estimate the financial impact on its future results of operations, cash flows and financial condition from various disruptions.</w:t>
      </w:r>
    </w:p>
    <w:p>
      <w:pPr>
        <w:spacing w:after="0" w:line="42" w:lineRule="exact"/>
        <w:rPr>
          <w:rFonts w:ascii="Times New Roman" w:cs="Times New Roman" w:eastAsia="Times New Roman" w:hAnsi="Times New Roman"/>
          <w:sz w:val="17"/>
          <w:szCs w:val="17"/>
          <w:color w:val="auto"/>
        </w:rPr>
      </w:pPr>
    </w:p>
    <w:p>
      <w:pPr>
        <w:ind w:left="1260" w:right="6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Company had cash and cash equivalents of $1,310,715 and available unused borrowing capacity of $920,710, subject to the satisfaction of certain conditions precedent.</w:t>
      </w:r>
    </w:p>
    <w:p>
      <w:pPr>
        <w:spacing w:after="0" w:line="42"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continues to take cash preservation measures such as implementing cost reduction programs to minimize cash outflows for non-essential items, rationalizing the Company’s capital expenditure programs with deferrals and reductions.</w:t>
      </w:r>
    </w:p>
    <w:p>
      <w:pPr>
        <w:spacing w:after="0" w:line="42" w:lineRule="exact"/>
        <w:rPr>
          <w:rFonts w:ascii="Times New Roman" w:cs="Times New Roman" w:eastAsia="Times New Roman" w:hAnsi="Times New Roman"/>
          <w:sz w:val="17"/>
          <w:szCs w:val="17"/>
          <w:color w:val="auto"/>
        </w:rPr>
      </w:pPr>
    </w:p>
    <w:p>
      <w:pPr>
        <w:jc w:val="both"/>
        <w:ind w:left="1260" w:right="2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it is able to support continuing operations and capital expenditures for at least twelve months after the date that these consolidated financial statements are issued. Accordingly, the accompanying consolidated financial statements are prepared on a going concern basis.</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Basis of Presentation and Principles of Consolidation</w:t>
      </w:r>
    </w:p>
    <w:p>
      <w:pPr>
        <w:spacing w:after="0" w:line="120" w:lineRule="exact"/>
        <w:rPr>
          <w:rFonts w:ascii="Times New Roman" w:cs="Times New Roman" w:eastAsia="Times New Roman" w:hAnsi="Times New Roman"/>
          <w:sz w:val="17"/>
          <w:szCs w:val="17"/>
          <w:color w:val="auto"/>
        </w:rPr>
      </w:pPr>
    </w:p>
    <w:p>
      <w:pPr>
        <w:ind w:left="1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have been prepared in conformity with U.S. generally accepted accounting principles (“U.S. GAAP”).</w:t>
      </w:r>
    </w:p>
    <w:p>
      <w:pPr>
        <w:spacing w:after="0" w:line="42" w:lineRule="exact"/>
        <w:rPr>
          <w:rFonts w:ascii="Times New Roman" w:cs="Times New Roman" w:eastAsia="Times New Roman" w:hAnsi="Times New Roman"/>
          <w:sz w:val="17"/>
          <w:szCs w:val="17"/>
          <w:color w:val="auto"/>
        </w:rPr>
      </w:pPr>
    </w:p>
    <w:p>
      <w:pPr>
        <w:ind w:left="1260" w:right="2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include the accounts of Melco and its subsidiaries. All intercompany accounts and transactions have been eliminated in consolidation.</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Use of Estimates</w:t>
      </w:r>
    </w:p>
    <w:p>
      <w:pPr>
        <w:spacing w:after="0" w:line="120" w:lineRule="exact"/>
        <w:rPr>
          <w:rFonts w:ascii="Times New Roman" w:cs="Times New Roman" w:eastAsia="Times New Roman" w:hAnsi="Times New Roman"/>
          <w:sz w:val="17"/>
          <w:szCs w:val="17"/>
          <w:color w:val="auto"/>
        </w:rPr>
      </w:pPr>
    </w:p>
    <w:p>
      <w:pPr>
        <w:ind w:left="12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Value of Financial Instruments</w:t>
      </w:r>
    </w:p>
    <w:p>
      <w:pPr>
        <w:spacing w:after="0" w:line="120" w:lineRule="exact"/>
        <w:rPr>
          <w:rFonts w:ascii="Times New Roman" w:cs="Times New Roman" w:eastAsia="Times New Roman" w:hAnsi="Times New Roman"/>
          <w:sz w:val="17"/>
          <w:szCs w:val="17"/>
          <w:color w:val="auto"/>
        </w:rPr>
      </w:pPr>
    </w:p>
    <w:p>
      <w:pPr>
        <w:ind w:left="1260" w:right="3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Cash and Cash Equivalents</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920"/>
          </w:cols>
          <w:pgMar w:left="320" w:top="473" w:right="6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Restricted Cash</w:t>
      </w:r>
    </w:p>
    <w:p>
      <w:pPr>
        <w:spacing w:after="0" w:line="120" w:lineRule="exact"/>
        <w:rPr>
          <w:rFonts w:ascii="Times New Roman" w:cs="Times New Roman" w:eastAsia="Times New Roman" w:hAnsi="Times New Roman"/>
          <w:sz w:val="17"/>
          <w:szCs w:val="17"/>
          <w:color w:val="auto"/>
        </w:rPr>
      </w:pPr>
    </w:p>
    <w:p>
      <w:pPr>
        <w:ind w:left="12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cash deposits in (i) collateral bank accounts for bank guarantees as disclosed in Note 3; and (ii) collateral bank accounts associated with borrowings under the credit facilities as disclosed in Note 11.</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Accounts Receivable and Credit Risk</w:t>
      </w:r>
    </w:p>
    <w:p>
      <w:pPr>
        <w:spacing w:after="0" w:line="120"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Credit is/can be given to gaming promoters. These receivables can be offset against commissions payable and any other value items held by the Company to the respective customers and gaming promoters for which the Company intends to set off when required. As of December 31, 2023 and 2022, a substantial portion of the Company’s markers were due from customers and gaming promoters residing in foreign countries. Business and economic conditions, the legal enforceability of gaming debts, foreign currency control measures or other significant events in foreign countries could affect the collectability of receivables from customers and gaming promoters residing in these countries.</w:t>
      </w:r>
    </w:p>
    <w:p>
      <w:pPr>
        <w:spacing w:after="0" w:line="283" w:lineRule="exact"/>
        <w:rPr>
          <w:rFonts w:ascii="Times New Roman" w:cs="Times New Roman" w:eastAsia="Times New Roman" w:hAnsi="Times New Roman"/>
          <w:sz w:val="17"/>
          <w:szCs w:val="17"/>
          <w:color w:val="auto"/>
        </w:rPr>
      </w:pPr>
    </w:p>
    <w:p>
      <w:pPr>
        <w:ind w:left="1260" w:right="1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including casino,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which reflects the net amount the Company expects to collect. The allowance for credit losses is estimated based on specific reviews of the age of the balances owed, the customers’ financial condition, management’s experience with the collection trends of the customers, current business and economic conditions, and management’s expectations of future business and economic conditions.</w:t>
      </w:r>
    </w:p>
    <w:p>
      <w:pPr>
        <w:spacing w:after="0" w:line="282" w:lineRule="exact"/>
        <w:rPr>
          <w:rFonts w:ascii="Times New Roman" w:cs="Times New Roman" w:eastAsia="Times New Roman" w:hAnsi="Times New Roman"/>
          <w:sz w:val="17"/>
          <w:szCs w:val="17"/>
          <w:color w:val="auto"/>
        </w:rPr>
      </w:pPr>
    </w:p>
    <w:p>
      <w:pPr>
        <w:ind w:left="1260" w:right="1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believes that as of December 31, 2023 and 2022, no significant concentrations of credit risk existed for which an allowance had not already been recorded.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Inventories</w:t>
      </w:r>
    </w:p>
    <w:p>
      <w:pPr>
        <w:spacing w:after="0" w:line="120" w:lineRule="exact"/>
        <w:rPr>
          <w:rFonts w:ascii="Times New Roman" w:cs="Times New Roman" w:eastAsia="Times New Roman" w:hAnsi="Times New Roman"/>
          <w:sz w:val="17"/>
          <w:szCs w:val="17"/>
          <w:color w:val="auto"/>
        </w:rPr>
      </w:pP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Prepaid Expenses and Other Current Assets</w:t>
      </w:r>
    </w:p>
    <w:p>
      <w:pPr>
        <w:spacing w:after="0" w:line="120" w:lineRule="exact"/>
        <w:rPr>
          <w:rFonts w:ascii="Times New Roman" w:cs="Times New Roman" w:eastAsia="Times New Roman" w:hAnsi="Times New Roman"/>
          <w:sz w:val="17"/>
          <w:szCs w:val="17"/>
          <w:color w:val="auto"/>
        </w:rPr>
      </w:pPr>
    </w:p>
    <w:p>
      <w:pPr>
        <w:ind w:left="1260" w:right="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expenses and other current assets represent current assets that are typically used up or expire within the normal operating cycle of the Company. The prepaid expenses as of December 31, 2023 and 2022 were $67,035 and $77,767, respectively, and the other current assets as of December 31, 2023 and 2022 were $44,653 and $41,643, respectively.</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0900"/>
          </w:cols>
          <w:pgMar w:left="320" w:top="473" w:right="6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Assets Held For Sale</w:t>
      </w:r>
    </w:p>
    <w:p>
      <w:pPr>
        <w:spacing w:after="0" w:line="120" w:lineRule="exact"/>
        <w:rPr>
          <w:rFonts w:ascii="Times New Roman" w:cs="Times New Roman" w:eastAsia="Times New Roman" w:hAnsi="Times New Roman"/>
          <w:sz w:val="17"/>
          <w:szCs w:val="17"/>
          <w:color w:val="auto"/>
        </w:rPr>
      </w:pPr>
    </w:p>
    <w:p>
      <w:pPr>
        <w:ind w:left="1260" w:right="46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(disposal group) classified as held for sale are measured at the lower of their carrying amounts or fair values less costs to sell. Losses are recognized for any initial or subsequent write-down to fair values less costs to sell, while gains are recognized for any subsequent increases in fair values less costs to sell, but not in excess of the cumulative losses previously recognized. Assets are not depreciated and amortized while classified as held for sale.</w:t>
      </w:r>
    </w:p>
    <w:p>
      <w:pPr>
        <w:spacing w:after="0" w:line="64" w:lineRule="exact"/>
        <w:rPr>
          <w:rFonts w:ascii="Times New Roman" w:cs="Times New Roman" w:eastAsia="Times New Roman" w:hAnsi="Times New Roman"/>
          <w:sz w:val="17"/>
          <w:szCs w:val="17"/>
          <w:color w:val="auto"/>
        </w:rPr>
      </w:pPr>
    </w:p>
    <w:p>
      <w:pPr>
        <w:ind w:left="1260" w:right="14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impairment on assets held for sale was recognized during the years ended December 31, 2023 and 2021. During the year ended December 31, 2022, an impairment of assets held for sale of $6,794, which related to a significant decrease in the market value of a piece of freehold land in Japan as described in Note 5, was recognized and included in property charges and other in the accompanying consolidated statements of operations. The fair value of the freehold land was calculated by using level 3 inputs based on the market approach.</w:t>
      </w:r>
    </w:p>
    <w:p>
      <w:pPr>
        <w:spacing w:after="0" w:line="28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Property and Equipment</w:t>
      </w:r>
    </w:p>
    <w:p>
      <w:pPr>
        <w:spacing w:after="0" w:line="120"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57" w:lineRule="exact"/>
        <w:rPr>
          <w:rFonts w:ascii="Times New Roman" w:cs="Times New Roman" w:eastAsia="Times New Roman" w:hAnsi="Times New Roman"/>
          <w:sz w:val="17"/>
          <w:szCs w:val="17"/>
          <w:color w:val="auto"/>
        </w:rPr>
      </w:pPr>
    </w:p>
    <w:p>
      <w:pPr>
        <w:ind w:left="12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construction and development stage of the Company’s integrated resort facilities,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w:t>
      </w:r>
    </w:p>
    <w:p>
      <w:pPr>
        <w:spacing w:after="0" w:line="66"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 related to capitalized construction costs and other property and equipment is recognized from the time each asset is placed in service. This may occur at different stages as integrated resort facilities are completed and opened.</w:t>
      </w:r>
    </w:p>
    <w:p>
      <w:pPr>
        <w:spacing w:after="0" w:line="4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depreciated and amortized over the following estimated useful lives on a straight-line basis:</w:t>
      </w:r>
    </w:p>
    <w:p>
      <w:pPr>
        <w:sectPr>
          <w:pgSz w:w="11900" w:h="16838" w:orient="portrait"/>
          <w:cols w:equalWidth="0" w:num="1">
            <w:col w:w="10960"/>
          </w:cols>
          <w:pgMar w:left="320" w:top="473" w:right="619" w:bottom="1440" w:gutter="0" w:footer="0" w:header="0"/>
        </w:sect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Freehold land</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Buildings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Transportation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Plant and gaming machinery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depreciated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to 40 years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10 years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10 years or over the lease term, whichever is shorter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to 15 years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5 years</w:t>
      </w:r>
    </w:p>
    <w:p>
      <w:pPr>
        <w:spacing w:after="0" w:line="100" w:lineRule="exact"/>
        <w:rPr>
          <w:sz w:val="20"/>
          <w:szCs w:val="20"/>
          <w:color w:val="auto"/>
        </w:rPr>
      </w:pPr>
    </w:p>
    <w:p>
      <w:pPr>
        <w:sectPr>
          <w:pgSz w:w="11900" w:h="16838" w:orient="portrait"/>
          <w:cols w:equalWidth="0" w:num="2">
            <w:col w:w="4220" w:space="720"/>
            <w:col w:w="6020"/>
          </w:cols>
          <w:pgMar w:left="320" w:top="473" w:right="619" w:bottom="1440" w:gutter="0" w:footer="0" w:header="0"/>
          <w:type w:val="continuous"/>
        </w:sectPr>
      </w:pPr>
    </w:p>
    <w:p>
      <w:pPr>
        <w:ind w:left="1260" w:right="400"/>
        <w:spacing w:after="0" w:line="276" w:lineRule="auto"/>
        <w:rPr>
          <w:sz w:val="20"/>
          <w:szCs w:val="20"/>
          <w:color w:val="auto"/>
        </w:rPr>
      </w:pPr>
      <w:r>
        <w:rPr>
          <w:rFonts w:ascii="Times New Roman" w:cs="Times New Roman" w:eastAsia="Times New Roman" w:hAnsi="Times New Roman"/>
          <w:sz w:val="17"/>
          <w:szCs w:val="17"/>
          <w:color w:val="auto"/>
        </w:rPr>
        <w:t>During the years ended December 31, 2023, 2022 and 2021, impairments of property and equipment of $110,033, $3,595 and $3,643, being part of the impairment of long-lived assets as described in Note 2(m), were recognized, respectively, and included in property charges and other in the accompanying consolidated statements of operations.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960"/>
          </w:cols>
          <w:pgMar w:left="320" w:top="473" w:right="61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Capitalized Interest</w:t>
      </w:r>
    </w:p>
    <w:p>
      <w:pPr>
        <w:spacing w:after="0" w:line="120" w:lineRule="exact"/>
        <w:rPr>
          <w:rFonts w:ascii="Times New Roman" w:cs="Times New Roman" w:eastAsia="Times New Roman" w:hAnsi="Times New Roman"/>
          <w:sz w:val="17"/>
          <w:szCs w:val="17"/>
          <w:color w:val="auto"/>
        </w:rPr>
      </w:pPr>
    </w:p>
    <w:p>
      <w:pPr>
        <w:ind w:left="12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 incurred amounted to $518,255, $440,654 and $380,904, of which $25,864, $63,932 and $30,360 were capitalized during the years ended December 31, 2023, 2022 and 2021, respectively.</w:t>
      </w:r>
    </w:p>
    <w:p>
      <w:pPr>
        <w:spacing w:after="0" w:line="8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Goodwill and Intangible Assets</w:t>
      </w:r>
    </w:p>
    <w:p>
      <w:pPr>
        <w:spacing w:after="0" w:line="120" w:lineRule="exact"/>
        <w:rPr>
          <w:rFonts w:ascii="Times New Roman" w:cs="Times New Roman" w:eastAsia="Times New Roman" w:hAnsi="Times New Roman"/>
          <w:sz w:val="17"/>
          <w:szCs w:val="17"/>
          <w:color w:val="auto"/>
        </w:rPr>
      </w:pPr>
    </w:p>
    <w:p>
      <w:pPr>
        <w:ind w:left="1260" w:right="1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represents the excess of the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w:t>
      </w:r>
    </w:p>
    <w:p>
      <w:pPr>
        <w:spacing w:after="0" w:line="57"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other than goodwill are amortized over their useful lives unless their lives are determined to be indefinite in which case they are not amortized. Intangible assets are stated at cost, net of accumulated amortization, and accumulated impairment, if any. The Company’s finite-lived intangible assets consist of the previous gaming subconcession for the period up to its expiry on December 31, 2022, the Concession, the Cyprus License (as defined in Note 7), internal-use software and proprietary rights. Finite-lived intangible assets are amortized over the shorter of their contractual terms or estimated useful lives on a straight-line basis. The Company’s intangible assets with indefinite lives represent Mocha Clubs trademarks, which are tested for impairment on an annual basis or when circumstances indicate the carrying value of the intangible assets may not be recoverable.</w:t>
      </w:r>
    </w:p>
    <w:p>
      <w:pPr>
        <w:spacing w:after="0" w:line="68" w:lineRule="exact"/>
        <w:rPr>
          <w:rFonts w:ascii="Times New Roman" w:cs="Times New Roman" w:eastAsia="Times New Roman" w:hAnsi="Times New Roman"/>
          <w:sz w:val="17"/>
          <w:szCs w:val="17"/>
          <w:color w:val="auto"/>
        </w:rPr>
      </w:pPr>
    </w:p>
    <w:p>
      <w:pPr>
        <w:ind w:left="1260" w:right="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to develop software for internal use are capitalized and amortized over the estimated useful lives of the software of 3 to 15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66" w:lineRule="exact"/>
        <w:rPr>
          <w:rFonts w:ascii="Times New Roman" w:cs="Times New Roman" w:eastAsia="Times New Roman" w:hAnsi="Times New Roman"/>
          <w:sz w:val="17"/>
          <w:szCs w:val="17"/>
          <w:color w:val="auto"/>
        </w:rPr>
      </w:pPr>
    </w:p>
    <w:p>
      <w:pPr>
        <w:ind w:left="1260" w:right="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performing the impairment analysis for goodwill and intangible assets with indefinite lives, the Company will first perform a qualitative assessment to determine whether it is necessary to perform a quantitative impairment test. If the qualitative factors indicate that the carrying amount of the reporting unit is more likely than not to exceed the fair value, then a quantitative impairment test is performed. To perform a quantitative impairment test of intangible assets with indefinite lives, the Company performs an assessment that consists of a comparison of the fair values of the intangible assets with indefinite lives with their carrying amounts. An impairment is recognized in an amount equal to the excess of the carrying amounts over the fair values of the intangible assets with indefinite lives. To perform a quantitative impairment test of goodwill, the Company performs an assessment that consists of a comparison of the carrying value of a reporting unit with its fair value. The fair value of the reporting unit is determined using income valuation approaches through the application of the discounted cash flow method. Estimating fair value of the reporting unit involves significant</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0940"/>
          </w:cols>
          <w:pgMar w:left="320" w:top="472" w:right="6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Goodwill and Intangible Assets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including future revenue growth rates, future market conditions, gross margin, discount rate and terminal growth rate. If the carrying value of the reporting unit exceeds its fair value, an impairment is recognized for the amount by which the carrying value exceeds the reporting unit’s fair value, limited to the total amount of goodwill allocated to that reporting unit.</w:t>
      </w:r>
    </w:p>
    <w:p>
      <w:pPr>
        <w:spacing w:after="0" w:line="57" w:lineRule="exact"/>
        <w:rPr>
          <w:rFonts w:ascii="Times New Roman" w:cs="Times New Roman" w:eastAsia="Times New Roman" w:hAnsi="Times New Roman"/>
          <w:sz w:val="17"/>
          <w:szCs w:val="17"/>
          <w:color w:val="auto"/>
        </w:rPr>
      </w:pPr>
    </w:p>
    <w:p>
      <w:pPr>
        <w:ind w:left="1260" w:right="1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impairment on goodwill and intangible assets with indefinite lives was recognized during the years ended December 31, 2023, 2022 and 2021. During the year ended December 31, 2023, an intangible asset with finite lives for Altira Macau was fully impaired, being part of the impairment of long-lived assets as described in Note 2(m). No impairment on intangible assets with finite lives was recognized during the years ended December 31, 2022 and 2021.</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Impairment of Long-lived Assets (Other Than Goodwill)</w:t>
      </w:r>
    </w:p>
    <w:p>
      <w:pPr>
        <w:spacing w:after="0" w:line="120"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68"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with the market value of Altira Macau significantly decreased as a result of a change in its forecasted performance given the latest market conditions and lingering disruptions to the business caused by COVID-19 and the Company’s earlier cessation of arrangements with gaming promoters in Macau, the Company recognized an impairment of long-lived assets in relation to Altira Macau of $207,608 which was recognized and included in property charges and other in the accompanying consolidated statements of operations. Such amount included the impairment of Altira Macau’s property and equipment of $110,033, and the full impairment of the finite-lived intangible assets, land use rights and operating lease right-of-use assets for Altira Macau of $30,435, $65,172 and $1,968, respectively. The fair values of the long-lived assets of Altira Macau were estimated by using level 3 inputs based on a combination of income and cost approaches.</w:t>
      </w:r>
    </w:p>
    <w:p>
      <w:pPr>
        <w:spacing w:after="0" w:line="70" w:lineRule="exact"/>
        <w:rPr>
          <w:rFonts w:ascii="Times New Roman" w:cs="Times New Roman" w:eastAsia="Times New Roman" w:hAnsi="Times New Roman"/>
          <w:sz w:val="17"/>
          <w:szCs w:val="17"/>
          <w:color w:val="auto"/>
        </w:rPr>
      </w:pPr>
    </w:p>
    <w:p>
      <w:pPr>
        <w:ind w:left="1260" w:right="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2022, an impairment of long-lived assets of $3,595 represents the impairment of property and equipment which related to a significant decrease in the market value of an aircraft as described in Note 5 was recognized and included in property charges and other in the accompanying consolidated statements of operations. The fair value of the aircraft was estimated by using level 2 inputs based on a buyer indicative purchase price. During the year ended December 31, 2021, an impairment of long-lived assets of $3,643 represents impairment of property and equipment, mainly due to reconfigurations and renovations at the Company’s operating properties, and of which $1,147 related to a significant decrease in the market value of a piece of freehold land as described in Note 5 was recognized and included in property charges and other in the accompanying consolidated statements of operations. The fair value of the freehold land was calculated by using level 3 inputs based on the market approach.</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920"/>
          </w:cols>
          <w:pgMar w:left="320" w:top="473" w:right="6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Deferred Financing Costs</w:t>
      </w:r>
    </w:p>
    <w:p>
      <w:pPr>
        <w:spacing w:after="0" w:line="120" w:lineRule="exact"/>
        <w:rPr>
          <w:rFonts w:ascii="Times New Roman" w:cs="Times New Roman" w:eastAsia="Times New Roman" w:hAnsi="Times New Roman"/>
          <w:sz w:val="17"/>
          <w:szCs w:val="17"/>
          <w:color w:val="auto"/>
        </w:rPr>
      </w:pPr>
    </w:p>
    <w:p>
      <w:pPr>
        <w:ind w:left="1260" w:right="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Land Use Rights</w:t>
      </w:r>
    </w:p>
    <w:p>
      <w:pPr>
        <w:spacing w:after="0" w:line="120" w:lineRule="exact"/>
        <w:rPr>
          <w:rFonts w:ascii="Times New Roman" w:cs="Times New Roman" w:eastAsia="Times New Roman" w:hAnsi="Times New Roman"/>
          <w:sz w:val="17"/>
          <w:szCs w:val="17"/>
          <w:color w:val="auto"/>
        </w:rPr>
      </w:pPr>
    </w:p>
    <w:p>
      <w:pPr>
        <w:ind w:left="1260" w:right="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use rights represent the upfront land premiums paid for the use of land held under operating leases, which are stated at cost, net of accumulated amortization, and accumulated impairment, if any. Amortization is provided over the estimated term of the land use rights of 40 years on a straight-line basis. During the year ended December 31, 2023, land use right for Altira Macau was fully impaired, being part of the impairment of long-lived assets as described in Note 2(m). No impairment on land use rights was recognized during the years ended December 31, 2022 and 2021.</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Leases</w:t>
      </w:r>
    </w:p>
    <w:p>
      <w:pPr>
        <w:spacing w:after="0" w:line="120" w:lineRule="exact"/>
        <w:rPr>
          <w:rFonts w:ascii="Times New Roman" w:cs="Times New Roman" w:eastAsia="Times New Roman" w:hAnsi="Times New Roman"/>
          <w:sz w:val="17"/>
          <w:szCs w:val="17"/>
          <w:color w:val="auto"/>
        </w:rPr>
      </w:pPr>
    </w:p>
    <w:p>
      <w:pPr>
        <w:ind w:left="1260" w:right="2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64"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70" w:lineRule="exact"/>
        <w:rPr>
          <w:rFonts w:ascii="Times New Roman" w:cs="Times New Roman" w:eastAsia="Times New Roman" w:hAnsi="Times New Roman"/>
          <w:sz w:val="17"/>
          <w:szCs w:val="17"/>
          <w:color w:val="auto"/>
        </w:rPr>
      </w:pPr>
    </w:p>
    <w:p>
      <w:pPr>
        <w:ind w:left="1260" w:right="2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64"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operating lease right-of-use assets for Altira Macau was fully impaired, being part of the impairment of long-lived assets as described in Note 2(m). No impairment on operating lease right-of-use assets was recognized during the years ended December 31, 2022 and 2021.</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940"/>
          </w:cols>
          <w:pgMar w:left="320" w:top="472" w:right="6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p>
    <w:p>
      <w:pPr>
        <w:spacing w:after="0" w:line="120" w:lineRule="exact"/>
        <w:rPr>
          <w:rFonts w:ascii="Times New Roman" w:cs="Times New Roman" w:eastAsia="Times New Roman" w:hAnsi="Times New Roman"/>
          <w:sz w:val="17"/>
          <w:szCs w:val="17"/>
          <w:color w:val="auto"/>
        </w:rPr>
      </w:pPr>
    </w:p>
    <w:p>
      <w:pPr>
        <w:ind w:left="1260" w:right="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revenues from contracts with customers consist of casino wagers, sales of rooms, food and beverage, entertainment, retail and other goods and services.</w:t>
      </w:r>
    </w:p>
    <w:p>
      <w:pPr>
        <w:spacing w:after="0" w:line="42" w:lineRule="exact"/>
        <w:rPr>
          <w:rFonts w:ascii="Times New Roman" w:cs="Times New Roman" w:eastAsia="Times New Roman" w:hAnsi="Times New Roman"/>
          <w:sz w:val="17"/>
          <w:szCs w:val="17"/>
          <w:color w:val="auto"/>
        </w:rPr>
      </w:pPr>
    </w:p>
    <w:p>
      <w:pPr>
        <w:ind w:left="1260" w:right="14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casino revenues are measured by the aggregate net difference between gaming wins and losses. The Company accounts for its casino wagering transactions on a portfolio basis versus an individual basis as all wagers have similar characteristics. Commissions rebated to customers and gaming promoters, cash discounts and other cash incentives earned by customers are recorded as reductions of casino revenues. In addition to the wagers, casino transactions typically include performance obligations related to complimentary goods or services provided to incentivize future gaming or in exchange for incentives or points earned under the Company’s non-discretionary incentive programs (including loyalty programs).</w:t>
      </w:r>
    </w:p>
    <w:p>
      <w:pPr>
        <w:spacing w:after="0" w:line="68" w:lineRule="exact"/>
        <w:rPr>
          <w:rFonts w:ascii="Times New Roman" w:cs="Times New Roman" w:eastAsia="Times New Roman" w:hAnsi="Times New Roman"/>
          <w:sz w:val="17"/>
          <w:szCs w:val="17"/>
          <w:color w:val="auto"/>
        </w:rPr>
      </w:pPr>
    </w:p>
    <w:p>
      <w:pPr>
        <w:ind w:left="1260" w:right="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operating expenses.</w:t>
      </w:r>
    </w:p>
    <w:p>
      <w:pPr>
        <w:spacing w:after="0" w:line="64"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operates different non-discretionary incentive programs in certain of its properties which include loyalty programs (the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the Loyalty Programs, the Company defers a portion of the revenue by recording the estimated standalone selling prices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70" w:lineRule="exact"/>
        <w:rPr>
          <w:rFonts w:ascii="Times New Roman" w:cs="Times New Roman" w:eastAsia="Times New Roman" w:hAnsi="Times New Roman"/>
          <w:sz w:val="17"/>
          <w:szCs w:val="17"/>
          <w:color w:val="auto"/>
        </w:rPr>
      </w:pPr>
    </w:p>
    <w:p>
      <w:pPr>
        <w:ind w:left="1260" w:right="5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allocating amounts to the complimentary goods or services provided and to the points earned under the Loyalty Programs, the residual amount is recorded as casino revenue when the wagers are settled.</w:t>
      </w:r>
    </w:p>
    <w:p>
      <w:pPr>
        <w:spacing w:after="0" w:line="42" w:lineRule="exact"/>
        <w:rPr>
          <w:rFonts w:ascii="Times New Roman" w:cs="Times New Roman" w:eastAsia="Times New Roman" w:hAnsi="Times New Roman"/>
          <w:sz w:val="17"/>
          <w:szCs w:val="17"/>
          <w:color w:val="auto"/>
        </w:rPr>
      </w:pPr>
    </w:p>
    <w:p>
      <w:pPr>
        <w:ind w:left="1260" w:right="1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follows the accounting standards for reporting revenue gross as a principal versus net as an agent, when accounting for the operations of two of its externally managed hotels and Grand Dragon Casino and concluded that it is the controlling entity and is the principal to these arrangements. For the operations of these two externally managed hotels, as the Company is the owner of the hotel properties, the hotel managers operate the respective hotels under management agreements providing management services to the Company, and the Company receives all rewards and takes substantial risks associated with the hotel businesses. The Company is the principal and the transactions are, therefore, recognized on a gross basis. For the operations of Grand Dragon Casino, given the Company operates the casino under a right to use agreement with the owner of the casino premises and has full responsibility for the casino operations in accordance with the Concession or its previous gaming subconcession, it is the principal and casino revenue is, therefore, recognized on a gross basis.</w:t>
      </w: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940"/>
          </w:cols>
          <w:pgMar w:left="320" w:top="473" w:right="6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66" w:lineRule="exact"/>
        <w:rPr>
          <w:rFonts w:ascii="Times New Roman" w:cs="Times New Roman" w:eastAsia="Times New Roman" w:hAnsi="Times New Roman"/>
          <w:sz w:val="17"/>
          <w:szCs w:val="17"/>
          <w:color w:val="auto"/>
        </w:rPr>
      </w:pPr>
    </w:p>
    <w:p>
      <w:pPr>
        <w:ind w:left="1260" w:right="1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operating and right to use fees representing lease revenues, adjusted for contractual base fees and operating fee escalations, are included in other revenues and are recognized over the terms of the related agreements on a straight-line basis.</w:t>
      </w:r>
    </w:p>
    <w:p>
      <w:pPr>
        <w:spacing w:after="0" w:line="4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and Contract-Related Liabilities</w:t>
      </w:r>
    </w:p>
    <w:p>
      <w:pPr>
        <w:spacing w:after="0" w:line="120"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providing goods and services to customers, there may be a timing difference between cash receipts from customers and recognition of revenues, resulting in a contract or contract-related liability.</w:t>
      </w:r>
    </w:p>
    <w:p>
      <w:pPr>
        <w:spacing w:after="0" w:line="42" w:lineRule="exact"/>
        <w:rPr>
          <w:rFonts w:ascii="Times New Roman" w:cs="Times New Roman" w:eastAsia="Times New Roman" w:hAnsi="Times New Roman"/>
          <w:sz w:val="17"/>
          <w:szCs w:val="17"/>
          <w:color w:val="auto"/>
        </w:rPr>
      </w:pPr>
    </w:p>
    <w:p>
      <w:pPr>
        <w:ind w:left="126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primarily has three types of liabilities related to contracts with customers: (1) outstanding gaming chips, which represent the amounts owed in exchange for gaming chips held by customers and gaming promoters, (2) loyalty program liabilities, which represent the deferred allocation of revenues relating to incentives earned from the Loyalty Programs, and (3) advance deposits and ticket sales, which represent casino front money deposits that are funds deposited by customers and gaming promoters before gaming play occurs and advance payments on goods and services yet to be provided such as advance ticket sales and deposits on rooms and convention space. These liabilities are generally expected to be recognized as revenues within one year of being purchased, earned or deposited and are recorded as accrued expenses and other current liabilities in the accompanying consolidated balance sheets. Decreases in these balances generally represent the recognition of revenues and increases in the balances represent additional chips held by customers and gaming promoters, increases in unredeemed incentives relating to the Loyalty Programs and additional deposits made by customers and gaming promoters.</w:t>
      </w:r>
    </w:p>
    <w:p>
      <w:pPr>
        <w:spacing w:after="0" w:line="28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activities related to contract and contract-related liabilities:</w:t>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Outstanding gaming</w:t>
            </w:r>
          </w:p>
        </w:tc>
        <w:tc>
          <w:tcPr>
            <w:tcW w:w="160" w:type="dxa"/>
            <w:vAlign w:val="bottom"/>
          </w:tcPr>
          <w:p>
            <w:pPr>
              <w:spacing w:after="0"/>
              <w:rPr>
                <w:sz w:val="13"/>
                <w:szCs w:val="13"/>
                <w:color w:val="auto"/>
              </w:rPr>
            </w:pP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Loyalty program</w:t>
            </w:r>
          </w:p>
        </w:tc>
        <w:tc>
          <w:tcPr>
            <w:tcW w:w="160" w:type="dxa"/>
            <w:vAlign w:val="bottom"/>
          </w:tcPr>
          <w:p>
            <w:pPr>
              <w:spacing w:after="0"/>
              <w:rPr>
                <w:sz w:val="13"/>
                <w:szCs w:val="13"/>
                <w:color w:val="auto"/>
              </w:rPr>
            </w:pPr>
          </w:p>
        </w:tc>
        <w:tc>
          <w:tcPr>
            <w:tcW w:w="18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Advance deposits and</w:t>
            </w:r>
          </w:p>
        </w:tc>
      </w:tr>
      <w:tr>
        <w:trPr>
          <w:trHeight w:val="166"/>
        </w:trPr>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color w:val="auto"/>
              </w:rPr>
              <w:t>chips</w:t>
            </w:r>
          </w:p>
        </w:tc>
        <w:tc>
          <w:tcPr>
            <w:tcW w:w="160" w:type="dxa"/>
            <w:vAlign w:val="bottom"/>
          </w:tcPr>
          <w:p>
            <w:pPr>
              <w:spacing w:after="0"/>
              <w:rPr>
                <w:sz w:val="14"/>
                <w:szCs w:val="14"/>
                <w:color w:val="auto"/>
              </w:rPr>
            </w:pPr>
          </w:p>
        </w:tc>
        <w:tc>
          <w:tcPr>
            <w:tcW w:w="17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tcPr>
          <w:p>
            <w:pPr>
              <w:spacing w:after="0"/>
              <w:rPr>
                <w:sz w:val="14"/>
                <w:szCs w:val="14"/>
                <w:color w:val="auto"/>
              </w:rPr>
            </w:pPr>
          </w:p>
        </w:tc>
        <w:tc>
          <w:tcPr>
            <w:tcW w:w="18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ticket sales</w:t>
            </w:r>
          </w:p>
        </w:tc>
      </w:tr>
      <w:tr>
        <w:trPr>
          <w:trHeight w:val="137"/>
        </w:trPr>
        <w:tc>
          <w:tcPr>
            <w:tcW w:w="2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9"/>
              <w:spacing w:after="0" w:line="137"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10"/>
              <w:spacing w:after="0" w:line="137" w:lineRule="exact"/>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1"/>
                <w:szCs w:val="11"/>
                <w:color w:val="auto"/>
              </w:rPr>
            </w:pPr>
          </w:p>
        </w:tc>
      </w:tr>
      <w:tr>
        <w:trPr>
          <w:trHeight w:val="20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w:t>
            </w:r>
          </w:p>
        </w:tc>
        <w:tc>
          <w:tcPr>
            <w:tcW w:w="1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$37,354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$ 72,147</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$15,568</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$24,350</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$278,591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$309,718</w:t>
            </w:r>
          </w:p>
        </w:tc>
      </w:tr>
      <w:tr>
        <w:trPr>
          <w:trHeight w:val="209"/>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37,354</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36,000</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15,568</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250,955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278,591</w:t>
            </w:r>
          </w:p>
        </w:tc>
      </w:tr>
      <w:tr>
        <w:trPr>
          <w:trHeight w:val="26"/>
        </w:trPr>
        <w:tc>
          <w:tcPr>
            <w:tcW w:w="2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45,658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(34,793)</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20,432</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(8,782)</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(27,636)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 (31,127)</w:t>
            </w:r>
          </w:p>
        </w:tc>
      </w:tr>
      <w:tr>
        <w:trPr>
          <w:trHeight w:val="20"/>
        </w:trPr>
        <w:tc>
          <w:tcPr>
            <w:tcW w:w="2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Taxes and License Fees</w:t>
      </w:r>
    </w:p>
    <w:p>
      <w:pPr>
        <w:spacing w:after="0" w:line="120" w:lineRule="exact"/>
        <w:rPr>
          <w:rFonts w:ascii="Times New Roman" w:cs="Times New Roman" w:eastAsia="Times New Roman" w:hAnsi="Times New Roman"/>
          <w:sz w:val="17"/>
          <w:szCs w:val="17"/>
          <w:color w:val="auto"/>
        </w:rPr>
      </w:pPr>
    </w:p>
    <w:p>
      <w:pPr>
        <w:ind w:left="1260" w:right="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taxes and license fees based on gross gaming revenue and other metrics in the jurisdictions in which it operates, subject to applicable jurisdictional adjustments. These gaming taxes and license fees (including the Cyprus License Fee (as defined in Note 7) prior to the fulfillment of the Cyprus License Requirement (as defined in Note 7)), totaled $1,489,755, $489,730 and $842,722</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0960"/>
          </w:cols>
          <w:pgMar w:left="320" w:top="473" w:right="6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Taxes and License Fees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5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2023, 2022 and 2021, respectively, are mainly recognized as casino expense in the accompanying consolidated statements of operations.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Pre-opening Costs</w:t>
      </w:r>
    </w:p>
    <w:p>
      <w:pPr>
        <w:spacing w:after="0" w:line="120" w:lineRule="exact"/>
        <w:rPr>
          <w:rFonts w:ascii="Times New Roman" w:cs="Times New Roman" w:eastAsia="Times New Roman" w:hAnsi="Times New Roman"/>
          <w:sz w:val="17"/>
          <w:szCs w:val="17"/>
          <w:color w:val="auto"/>
        </w:rPr>
      </w:pPr>
    </w:p>
    <w:p>
      <w:pPr>
        <w:ind w:left="1260" w:right="16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represent personnel, marketing and other costs incurred prior to the opening of new or start-up operations and are expensed as incurred. During the years ended December 31, 2023, 2022 and 2021, the Company incurred pre-opening costs primarily in connection with the development of Studio City Phase 2 and City of Dreams Mediterranean. The Company also incurs pre-opening costs on other one-off activities related to the marketing of new facilities and operations.</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Development Costs</w:t>
      </w:r>
    </w:p>
    <w:p>
      <w:pPr>
        <w:spacing w:after="0" w:line="120" w:lineRule="exact"/>
        <w:rPr>
          <w:rFonts w:ascii="Times New Roman" w:cs="Times New Roman" w:eastAsia="Times New Roman" w:hAnsi="Times New Roman"/>
          <w:sz w:val="17"/>
          <w:szCs w:val="17"/>
          <w:color w:val="auto"/>
        </w:rPr>
      </w:pPr>
    </w:p>
    <w:p>
      <w:pPr>
        <w:ind w:left="1260" w:right="4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costs include the costs associated with the Company’s evaluation and pursuit of new business opportunities, which are expensed as incurred.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Advertising and Promotional Costs</w:t>
      </w:r>
    </w:p>
    <w:p>
      <w:pPr>
        <w:spacing w:after="0" w:line="120" w:lineRule="exact"/>
        <w:rPr>
          <w:rFonts w:ascii="Times New Roman" w:cs="Times New Roman" w:eastAsia="Times New Roman" w:hAnsi="Times New Roman"/>
          <w:sz w:val="17"/>
          <w:szCs w:val="17"/>
          <w:color w:val="auto"/>
        </w:rPr>
      </w:pPr>
    </w:p>
    <w:p>
      <w:pPr>
        <w:ind w:left="1260" w:right="1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expenses advertising and promotional costs the first time the advertising takes place or as incurred. Advertising and promotional costs included in the accompanying consolidated statements of operations were $100,245, $29,421 and $39,811 for the years ended December 31, 2023, 2022 and 2021, respectively.</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Income</w:t>
      </w:r>
    </w:p>
    <w:p>
      <w:pPr>
        <w:spacing w:after="0" w:line="120" w:lineRule="exact"/>
        <w:rPr>
          <w:rFonts w:ascii="Times New Roman" w:cs="Times New Roman" w:eastAsia="Times New Roman" w:hAnsi="Times New Roman"/>
          <w:sz w:val="17"/>
          <w:szCs w:val="17"/>
          <w:color w:val="auto"/>
        </w:rPr>
      </w:pPr>
    </w:p>
    <w:p>
      <w:pPr>
        <w:ind w:left="1260" w:right="8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is recorded on an accrual basis at the stated interest rate and is recorded in interest income in the accompanying consolidated statements of operations.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Foreign Currency Transactions and Translations</w:t>
      </w:r>
    </w:p>
    <w:p>
      <w:pPr>
        <w:spacing w:after="0" w:line="120" w:lineRule="exact"/>
        <w:rPr>
          <w:rFonts w:ascii="Times New Roman" w:cs="Times New Roman" w:eastAsia="Times New Roman" w:hAnsi="Times New Roman"/>
          <w:sz w:val="17"/>
          <w:szCs w:val="17"/>
          <w:color w:val="auto"/>
        </w:rPr>
      </w:pPr>
    </w:p>
    <w:p>
      <w:pPr>
        <w:ind w:left="1260"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transactions in currencies other than functional currencies of Melco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64" w:lineRule="exact"/>
        <w:rPr>
          <w:rFonts w:ascii="Times New Roman" w:cs="Times New Roman" w:eastAsia="Times New Roman" w:hAnsi="Times New Roman"/>
          <w:sz w:val="17"/>
          <w:szCs w:val="17"/>
          <w:color w:val="auto"/>
        </w:rPr>
      </w:pPr>
    </w:p>
    <w:p>
      <w:pPr>
        <w:ind w:left="1260"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 currency of Melco is the U.S. dollar (“$” or “US$”) and the functional currency of most of Melco’s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Comprehensive Loss and Accumulated Other Comprehensive Losses</w:t>
      </w:r>
    </w:p>
    <w:p>
      <w:pPr>
        <w:spacing w:after="0" w:line="120" w:lineRule="exact"/>
        <w:rPr>
          <w:rFonts w:ascii="Times New Roman" w:cs="Times New Roman" w:eastAsia="Times New Roman" w:hAnsi="Times New Roman"/>
          <w:sz w:val="17"/>
          <w:szCs w:val="17"/>
          <w:color w:val="auto"/>
        </w:rPr>
      </w:pPr>
    </w:p>
    <w:p>
      <w:pPr>
        <w:ind w:left="1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loss includes net loss and other non-shareholder changes in equity, or other comprehensive income (loss) and is reported in the accompanying consolidated statements of comprehensive loss.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960"/>
          </w:cols>
          <w:pgMar w:left="320" w:top="472" w:right="6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Comprehensive Loss and Accumulated Other Comprehensive Losses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6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and 2022, the Company’s accumulated other comprehensive losses consisted solely of foreign currency translation adjustments, net of tax and noncontrolling interests.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Share-based Compensation Expenses</w:t>
      </w:r>
    </w:p>
    <w:p>
      <w:pPr>
        <w:spacing w:after="0" w:line="120" w:lineRule="exact"/>
        <w:rPr>
          <w:rFonts w:ascii="Times New Roman" w:cs="Times New Roman" w:eastAsia="Times New Roman" w:hAnsi="Times New Roman"/>
          <w:sz w:val="17"/>
          <w:szCs w:val="17"/>
          <w:color w:val="auto"/>
        </w:rPr>
      </w:pPr>
    </w:p>
    <w:p>
      <w:pPr>
        <w:ind w:left="126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measures the cost of employee services received in exchange for an award of equity instruments based on the grant date fair value of the award and recognizes that cost over the service period. Compensation is attributed to the periods of associated service and such expense is recognized over the vesting period of the awards on a straight-line basis. Forfeitures are recognized when they occur. Further information on the Company’s share-based compensation arrangements is included in Note 16.</w:t>
      </w:r>
    </w:p>
    <w:p>
      <w:pPr>
        <w:spacing w:after="0" w:line="4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Income Tax</w:t>
      </w:r>
    </w:p>
    <w:p>
      <w:pPr>
        <w:spacing w:after="0" w:line="12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income taxes in Macau, Hong Kong, the Philippines, Cyprus and other jurisdictions where it operates.</w:t>
      </w:r>
    </w:p>
    <w:p>
      <w:pPr>
        <w:spacing w:after="0" w:line="118" w:lineRule="exact"/>
        <w:rPr>
          <w:rFonts w:ascii="Times New Roman" w:cs="Times New Roman" w:eastAsia="Times New Roman" w:hAnsi="Times New Roman"/>
          <w:sz w:val="17"/>
          <w:szCs w:val="17"/>
          <w:color w:val="auto"/>
        </w:rPr>
      </w:pPr>
    </w:p>
    <w:p>
      <w:pPr>
        <w:ind w:left="1260" w:right="1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4" w:lineRule="exact"/>
        <w:rPr>
          <w:rFonts w:ascii="Times New Roman" w:cs="Times New Roman" w:eastAsia="Times New Roman" w:hAnsi="Times New Roman"/>
          <w:sz w:val="17"/>
          <w:szCs w:val="17"/>
          <w:color w:val="auto"/>
        </w:rPr>
      </w:pPr>
    </w:p>
    <w:p>
      <w:pPr>
        <w:ind w:left="1260" w:right="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80" w:lineRule="exact"/>
        <w:rPr>
          <w:sz w:val="20"/>
          <w:szCs w:val="20"/>
          <w:color w:val="auto"/>
        </w:rPr>
      </w:pPr>
    </w:p>
    <w:p>
      <w:pPr>
        <w:ind w:left="1240" w:hanging="530"/>
        <w:spacing w:after="0"/>
        <w:tabs>
          <w:tab w:leader="none" w:pos="12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Loss Attributable to Melco Resorts &amp; Entertainment Limited Per Share</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net loss attributable to Melco Resorts &amp; Entertainment Limited per share is calculated by dividing the net loss attributable to Melco Resorts &amp; Entertainment Limited by the weighted average number of ordinary shares outstanding during the year.</w:t>
      </w:r>
    </w:p>
    <w:p>
      <w:pPr>
        <w:spacing w:after="0" w:line="42" w:lineRule="exact"/>
        <w:rPr>
          <w:rFonts w:ascii="Times New Roman" w:cs="Times New Roman" w:eastAsia="Times New Roman" w:hAnsi="Times New Roman"/>
          <w:sz w:val="17"/>
          <w:szCs w:val="17"/>
          <w:color w:val="auto"/>
        </w:rPr>
      </w:pPr>
    </w:p>
    <w:p>
      <w:pPr>
        <w:jc w:val="both"/>
        <w:ind w:left="1260" w:right="4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Diluted net loss attributable to Melco Resorts &amp; Entertainment Limited per share is calculated by dividing the net loss attributable to Melco Resorts &amp; Entertainment Limited by the weighted average number of ordinary shares outstanding during the year adjusted to include the potentially dilutive effect of outstanding share-based awards.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920"/>
          </w:cols>
          <w:pgMar w:left="320" w:top="473" w:right="6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Loss Attributable to Melco Resorts &amp; Entertainment Limited Per Share</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number of ordinary and ordinary equivalent shares used in the calculation of basic and diluted net loss attributable to Melco Resorts &amp; Entertainment Limited per share consisted of the following:</w:t>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7"/>
                <w:szCs w:val="17"/>
                <w:color w:val="auto"/>
              </w:rPr>
              <w:t>Year Ended December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420" w:type="dxa"/>
            <w:vAlign w:val="bottom"/>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   2023    </w:t>
            </w:r>
          </w:p>
        </w:tc>
        <w:tc>
          <w:tcPr>
            <w:tcW w:w="13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r>
      <w:tr>
        <w:trPr>
          <w:trHeight w:val="171"/>
        </w:trPr>
        <w:tc>
          <w:tcPr>
            <w:tcW w:w="54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Weighted average number of ordinary shares outstanding used in the</w:t>
            </w: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9"/>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basic net loss attributable to Melco Resorts &amp;</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7"/>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1,314,605,173</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1,391,154,836</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1,434,087,641</w:t>
            </w:r>
          </w:p>
        </w:tc>
      </w:tr>
      <w:tr>
        <w:trPr>
          <w:trHeight w:val="256"/>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Incremental weighted average number of ordinary shares from assumed</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9"/>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vesting of restricted shares and exercise of share options using the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treasury stock method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p>
        </w:tc>
      </w:tr>
      <w:tr>
        <w:trPr>
          <w:trHeight w:val="191"/>
        </w:trPr>
        <w:tc>
          <w:tcPr>
            <w:tcW w:w="56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Weighted average number of ordinary shares outstanding used in the</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9"/>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diluted net loss attributable to Melco Resorts &amp;</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1,314,605,173</w:t>
            </w: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1,391,154,836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1,434,087,641</w:t>
            </w:r>
          </w:p>
        </w:tc>
        <w:tc>
          <w:tcPr>
            <w:tcW w:w="80" w:type="dxa"/>
            <w:vAlign w:val="bottom"/>
            <w:shd w:val="clear" w:color="auto" w:fill="CCEEFF"/>
          </w:tcPr>
          <w:p>
            <w:pPr>
              <w:spacing w:after="0"/>
              <w:rPr>
                <w:sz w:val="19"/>
                <w:szCs w:val="19"/>
                <w:color w:val="auto"/>
              </w:rPr>
            </w:pPr>
          </w:p>
        </w:tc>
      </w:tr>
      <w:tr>
        <w:trPr>
          <w:trHeight w:val="20"/>
        </w:trPr>
        <w:tc>
          <w:tcPr>
            <w:tcW w:w="5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4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Anti-dilutive share options and restricted shares excluded from the</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calculation of diluted net loss attributable to Melco Resorts &amp;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26,921,336</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44,366,752</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46,532,956</w:t>
            </w: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0"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7"/>
          <w:szCs w:val="17"/>
          <w:color w:val="auto"/>
        </w:rPr>
        <w:t>(ab)</w:t>
      </w:r>
      <w:r>
        <w:rPr>
          <w:sz w:val="20"/>
          <w:szCs w:val="20"/>
          <w:color w:val="auto"/>
        </w:rPr>
        <w:tab/>
      </w:r>
      <w:r>
        <w:rPr>
          <w:rFonts w:ascii="Times New Roman" w:cs="Times New Roman" w:eastAsia="Times New Roman" w:hAnsi="Times New Roman"/>
          <w:sz w:val="17"/>
          <w:szCs w:val="17"/>
          <w:b w:val="1"/>
          <w:bCs w:val="1"/>
          <w:color w:val="auto"/>
        </w:rPr>
        <w:t>Recent Changes in Accounting Standards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Recent Accounting Pronouncement Not Yet Adopted</w:t>
      </w:r>
    </w:p>
    <w:p>
      <w:pPr>
        <w:spacing w:after="0" w:line="120" w:lineRule="exact"/>
        <w:rPr>
          <w:sz w:val="20"/>
          <w:szCs w:val="20"/>
          <w:color w:val="auto"/>
        </w:rPr>
      </w:pPr>
    </w:p>
    <w:p>
      <w:pPr>
        <w:ind w:left="1260" w:right="240"/>
        <w:spacing w:after="0" w:line="269" w:lineRule="auto"/>
        <w:rPr>
          <w:sz w:val="20"/>
          <w:szCs w:val="20"/>
          <w:color w:val="auto"/>
        </w:rPr>
      </w:pPr>
      <w:r>
        <w:rPr>
          <w:rFonts w:ascii="Times New Roman" w:cs="Times New Roman" w:eastAsia="Times New Roman" w:hAnsi="Times New Roman"/>
          <w:sz w:val="17"/>
          <w:szCs w:val="17"/>
          <w:color w:val="auto"/>
        </w:rPr>
        <w:t>The Company has evaluated the recently issued, but not yet effective, accounting pronouncements that have been issued or proposed by the Financial Accounting Standards Board or other standards-setting bodies through the filing date of these financial statements, and anticipated the future adoption of these pronouncements will not have a material effect on the Company’s financial position, results of operations and cash flows.</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960"/>
          </w:cols>
          <w:pgMar w:left="320" w:top="472" w:right="6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RESTRICTED CASH</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cash equivalents and restricted cash reported within the accompanying consolidated statements of cash flows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CCEEFF"/>
            </w:tcBorders>
          </w:tcPr>
          <w:p>
            <w:pPr>
              <w:spacing w:after="0"/>
              <w:rPr>
                <w:sz w:val="17"/>
                <w:szCs w:val="17"/>
                <w:color w:val="auto"/>
              </w:rPr>
            </w:pPr>
          </w:p>
        </w:tc>
      </w:tr>
      <w:tr>
        <w:trPr>
          <w:trHeight w:val="20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934,224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1,179,491</w:t>
            </w:r>
          </w:p>
        </w:tc>
        <w:tc>
          <w:tcPr>
            <w:tcW w:w="60" w:type="dxa"/>
            <w:vAlign w:val="bottom"/>
            <w:shd w:val="clear" w:color="auto" w:fill="CCEEFF"/>
          </w:tcPr>
          <w:p>
            <w:pPr>
              <w:spacing w:after="0"/>
              <w:rPr>
                <w:sz w:val="17"/>
                <w:szCs w:val="17"/>
                <w:color w:val="auto"/>
              </w:rPr>
            </w:pP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376,491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633,238</w:t>
            </w:r>
          </w:p>
        </w:tc>
        <w:tc>
          <w:tcPr>
            <w:tcW w:w="6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1,310,715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1,812,729</w:t>
            </w:r>
          </w:p>
        </w:tc>
        <w:tc>
          <w:tcPr>
            <w:tcW w:w="60" w:type="dxa"/>
            <w:vAlign w:val="bottom"/>
            <w:shd w:val="clear" w:color="auto" w:fill="CCEEFF"/>
          </w:tcPr>
          <w:p>
            <w:pPr>
              <w:spacing w:after="0"/>
              <w:rPr>
                <w:sz w:val="18"/>
                <w:szCs w:val="18"/>
                <w:color w:val="auto"/>
              </w:rPr>
            </w:pPr>
          </w:p>
        </w:tc>
      </w:tr>
      <w:tr>
        <w:trPr>
          <w:trHeight w:val="209"/>
        </w:trPr>
        <w:tc>
          <w:tcPr>
            <w:tcW w:w="818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Current portion of restricted cash</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50,992</w:t>
            </w:r>
          </w:p>
        </w:tc>
      </w:tr>
      <w:tr>
        <w:trPr>
          <w:trHeight w:val="209"/>
        </w:trPr>
        <w:tc>
          <w:tcPr>
            <w:tcW w:w="81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Non-current portion of restricted cash</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125,094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124,736</w:t>
            </w:r>
          </w:p>
        </w:tc>
        <w:tc>
          <w:tcPr>
            <w:tcW w:w="60" w:type="dxa"/>
            <w:vAlign w:val="bottom"/>
            <w:shd w:val="clear" w:color="auto" w:fill="CCEEFF"/>
          </w:tcPr>
          <w:p>
            <w:pPr>
              <w:spacing w:after="0"/>
              <w:rPr>
                <w:sz w:val="18"/>
                <w:szCs w:val="18"/>
                <w:color w:val="auto"/>
              </w:rPr>
            </w:pP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6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hanging="410"/>
        <w:spacing w:after="0"/>
        <w:tabs>
          <w:tab w:leader="none" w:pos="11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current portion of restricted cash included bank time deposits of nil and $50,971, respectively.</w:t>
      </w:r>
    </w:p>
    <w:p>
      <w:pPr>
        <w:spacing w:after="0" w:line="116" w:lineRule="exact"/>
        <w:rPr>
          <w:rFonts w:ascii="Times New Roman" w:cs="Times New Roman" w:eastAsia="Times New Roman" w:hAnsi="Times New Roman"/>
          <w:sz w:val="16"/>
          <w:szCs w:val="16"/>
          <w:color w:val="auto"/>
        </w:rPr>
      </w:pPr>
    </w:p>
    <w:p>
      <w:pPr>
        <w:ind w:left="1140" w:right="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20, 2022, Melco Resorts Macau provided a bank guarantee in an amount of Macau Patacas (“MOP”) 820,000 (equivalent to $101,942) to the Macau government to guarantee the satisfaction of any labor liabilities upon expiry of the previous gaming subconcession. As stipulated in the bank guarantee contract, MOP410,000 (equivalent to $50,971) was required to be held in a cash deposit account as collateral to secure the bank guarantee. In January 2023, such bank guarantee and the cash deposited in the collateral bank account were released. The cash of MOP410,000 (equivalent to $50,971) deposited in the collateral account was included in the current portion of restricted cash in the accompanying consolidated balance sheets as of December 31, 2022.</w:t>
      </w:r>
    </w:p>
    <w:p>
      <w:pPr>
        <w:spacing w:after="0" w:line="97" w:lineRule="exact"/>
        <w:rPr>
          <w:rFonts w:ascii="Times New Roman" w:cs="Times New Roman" w:eastAsia="Times New Roman" w:hAnsi="Times New Roman"/>
          <w:sz w:val="16"/>
          <w:szCs w:val="16"/>
          <w:color w:val="auto"/>
        </w:rPr>
      </w:pPr>
    </w:p>
    <w:p>
      <w:pPr>
        <w:ind w:left="1120" w:hanging="410"/>
        <w:spacing w:after="0"/>
        <w:tabs>
          <w:tab w:leader="none" w:pos="11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non-current portion of restricted cash included bank time deposits of $124,556 and $124,592, respectively.</w:t>
      </w:r>
    </w:p>
    <w:p>
      <w:pPr>
        <w:spacing w:after="0" w:line="116" w:lineRule="exact"/>
        <w:rPr>
          <w:rFonts w:ascii="Times New Roman" w:cs="Times New Roman" w:eastAsia="Times New Roman" w:hAnsi="Times New Roman"/>
          <w:sz w:val="16"/>
          <w:szCs w:val="16"/>
          <w:color w:val="auto"/>
        </w:rPr>
      </w:pPr>
    </w:p>
    <w:p>
      <w:pPr>
        <w:ind w:left="1140" w:right="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9, 2022, as required by the Concession, Melco Resorts Macau provided a bank guarantee in favor of the Macau government of MOP1,000,000 (equivalent to $124,319) to secure the fulfillment of performance of certain of its legal and contractual obligations, including labor obligations. As stipulated in the bank guarantee contract, the amount of MOP1,000,000 (equivalent to $124,319), or an equivalent amount in other currencies, is required to be held in a cash deposit account as collateral in order to secure the bank guarantee. The bank guarantee will remain in effect until 180 days after the earlier of the expiration or termination of the Concession. As of December 31, 2023 and 2022, the cash of Hong Kong dollars (“HK$”) 970,874 (equivalent to MOP1,000,000) held in the collateral bank account was translated to $124,284 and $124,319, respectively, and included in the non-current portion of restricted cash in the accompanying consolidated balance sheets.</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960"/>
          </w:cols>
          <w:pgMar w:left="320" w:top="473" w:right="6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RECEIVABLE, NET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Components of accounts receivable, net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7"/>
          </w:tcPr>
          <w:p>
            <w:pPr>
              <w:jc w:val="right"/>
              <w:ind w:right="6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7"/>
                <w:szCs w:val="17"/>
                <w:color w:val="auto"/>
              </w:rPr>
            </w:pPr>
          </w:p>
        </w:tc>
      </w:tr>
      <w:tr>
        <w:trPr>
          <w:trHeight w:val="20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Casino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242,312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271,653</w:t>
            </w:r>
          </w:p>
        </w:tc>
        <w:tc>
          <w:tcPr>
            <w:tcW w:w="100" w:type="dxa"/>
            <w:vAlign w:val="bottom"/>
            <w:shd w:val="clear" w:color="auto" w:fill="CCEEFF"/>
          </w:tcPr>
          <w:p>
            <w:pPr>
              <w:spacing w:after="0"/>
              <w:rPr>
                <w:sz w:val="17"/>
                <w:szCs w:val="17"/>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Hotel</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1,365</w:t>
            </w: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218</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273,236</w:t>
            </w:r>
          </w:p>
        </w:tc>
        <w:tc>
          <w:tcPr>
            <w:tcW w:w="10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Less: allowances for credit losses</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(156,240)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(217,244)</w:t>
            </w:r>
          </w:p>
        </w:tc>
      </w:tr>
      <w:tr>
        <w:trPr>
          <w:trHeight w:val="215"/>
        </w:trPr>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55,992</w:t>
            </w:r>
          </w:p>
        </w:tc>
        <w:tc>
          <w:tcPr>
            <w:tcW w:w="10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91,638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55,992</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20" w:hanging="410"/>
        <w:spacing w:after="0" w:line="281" w:lineRule="auto"/>
        <w:tabs>
          <w:tab w:leader="none" w:pos="11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allowances for credit losses of $2,377 and $14,966 as a reduction of the long-term casino accounts receivable, are recorded and included in long-term prepayments, deposits and other assets in the accompanying consolidated balance sheets, respectively.</w:t>
      </w:r>
    </w:p>
    <w:p>
      <w:pPr>
        <w:spacing w:after="0" w:line="61" w:lineRule="exact"/>
        <w:rPr>
          <w:sz w:val="20"/>
          <w:szCs w:val="20"/>
          <w:color w:val="auto"/>
        </w:rPr>
      </w:pPr>
    </w:p>
    <w:p>
      <w:pPr>
        <w:ind w:left="720" w:right="440"/>
        <w:spacing w:after="0" w:line="295" w:lineRule="auto"/>
        <w:rPr>
          <w:sz w:val="20"/>
          <w:szCs w:val="20"/>
          <w:color w:val="auto"/>
        </w:rPr>
      </w:pPr>
      <w:r>
        <w:rPr>
          <w:rFonts w:ascii="Times New Roman" w:cs="Times New Roman" w:eastAsia="Times New Roman" w:hAnsi="Times New Roman"/>
          <w:sz w:val="17"/>
          <w:szCs w:val="17"/>
          <w:color w:val="auto"/>
        </w:rPr>
        <w:t>The Company’s allowances for casino credit losses were 64.4% and 80.0% of gross casino accounts receivable as of December 31, 2023 and 2022, respectively. The Company’s allowances for credit losses from its hotel and other receivables are not material.</w:t>
      </w:r>
    </w:p>
    <w:p>
      <w:pPr>
        <w:spacing w:after="0" w:line="42"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Movement in the allowances for credit losses are as follows: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27"/>
        </w:trPr>
        <w:tc>
          <w:tcPr>
            <w:tcW w:w="6960" w:type="dxa"/>
            <w:vAlign w:val="bottom"/>
          </w:tcPr>
          <w:p>
            <w:pPr>
              <w:spacing w:after="0"/>
              <w:rPr>
                <w:sz w:val="24"/>
                <w:szCs w:val="24"/>
                <w:color w:val="auto"/>
              </w:rPr>
            </w:pPr>
          </w:p>
        </w:tc>
        <w:tc>
          <w:tcPr>
            <w:tcW w:w="3280" w:type="dxa"/>
            <w:vAlign w:val="bottom"/>
            <w:gridSpan w:val="7"/>
          </w:tcPr>
          <w:p>
            <w:pPr>
              <w:jc w:val="right"/>
              <w:ind w:right="78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69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r>
      <w:tr>
        <w:trPr>
          <w:trHeight w:val="20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9"/>
              </w:rPr>
              <w:t>$ 217,244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$ 268,413</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$ 333,792</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(Reversal of) provision for credit losses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(3,869)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(892)</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6,426</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 net of recoveries</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(56,805)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(49,608)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(69,712)</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(330)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(669)</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(2,093)</w:t>
            </w:r>
          </w:p>
        </w:tc>
      </w:tr>
      <w:tr>
        <w:trPr>
          <w:trHeight w:val="26"/>
        </w:trPr>
        <w:tc>
          <w:tcPr>
            <w:tcW w:w="6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9"/>
              </w:rPr>
              <w:t>$ 156,240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$ 217,244</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$ 268,413</w:t>
            </w:r>
          </w:p>
        </w:tc>
      </w:tr>
      <w:tr>
        <w:trPr>
          <w:trHeight w:val="20"/>
        </w:trPr>
        <w:tc>
          <w:tcPr>
            <w:tcW w:w="6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w:t>
      </w:r>
    </w:p>
    <w:p>
      <w:pPr>
        <w:spacing w:after="0" w:line="120" w:lineRule="exact"/>
        <w:rPr>
          <w:rFonts w:ascii="Times New Roman" w:cs="Times New Roman" w:eastAsia="Times New Roman" w:hAnsi="Times New Roman"/>
          <w:sz w:val="17"/>
          <w:szCs w:val="17"/>
          <w:b w:val="1"/>
          <w:bCs w:val="1"/>
          <w:color w:val="auto"/>
        </w:rPr>
      </w:pPr>
    </w:p>
    <w:p>
      <w:pPr>
        <w:ind w:left="720" w:right="4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September 2021, the Company announced the discontinuance of its pursuit of a Yokohama integrated resort development in Japan. In December 2021, an external advisor was engaged to locate potential buyers and prepare marketing materials for the disposal of the Company’s assets in Japan, including a ski resort in Nagano, Japan operated by Kabushiki Kaisha Okushiga Kogen Resort (the “Japan Ski Resort”) and a parcel of freehold land together with the accompanying building structures in Hakone, Japan (the “Hakone Assets”). After considering the relevant facts, the Company concluded the assets and liabilities of the Japan Ski Resort and the Hakone Assets met the criteria for classification as held for sale as of December 31, 2021 which were reported under the Corporate and Other segment.</w:t>
      </w:r>
    </w:p>
    <w:p>
      <w:pPr>
        <w:spacing w:after="0" w:line="68" w:lineRule="exact"/>
        <w:rPr>
          <w:rFonts w:ascii="Times New Roman" w:cs="Times New Roman" w:eastAsia="Times New Roman" w:hAnsi="Times New Roman"/>
          <w:sz w:val="17"/>
          <w:szCs w:val="17"/>
          <w:b w:val="1"/>
          <w:bCs w:val="1"/>
          <w:color w:val="auto"/>
        </w:rPr>
      </w:pPr>
    </w:p>
    <w:p>
      <w:pPr>
        <w:ind w:left="720" w:right="4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8, 2022, the Company entered into an agreement with an independent third party (the “Buyer”) to dispose of its entire interest in the Japan Ski Resort with net liabilities of $13,663 (including a loan payable to the Company of Japanese Yen (“JPY”) 2,215,180 (equivalent to $16,876)) for a consideration of JPY0.001; and to transfer the loan receivable from the Japan Ski Resort as mentioned</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960"/>
          </w:cols>
          <w:pgMar w:left="320" w:top="472" w:right="6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8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above of JPY2,215,180 (equivalent to $16,876) to the Buyer for a consideration of JPY0.001. The disposal was completed on December 30, 2022 and the Company recorded a loss on disposal of assets held for sale of $3,106 which is included in property charges and other in the accompanying consolidated statements of operations during the year ended December 31, 2022.</w:t>
      </w:r>
    </w:p>
    <w:p>
      <w:pPr>
        <w:spacing w:after="0" w:line="57" w:lineRule="exact"/>
        <w:rPr>
          <w:rFonts w:ascii="Times New Roman" w:cs="Times New Roman" w:eastAsia="Times New Roman" w:hAnsi="Times New Roman"/>
          <w:sz w:val="17"/>
          <w:szCs w:val="17"/>
          <w:b w:val="1"/>
          <w:bCs w:val="1"/>
          <w:color w:val="auto"/>
        </w:rPr>
      </w:pPr>
    </w:p>
    <w:p>
      <w:pPr>
        <w:ind w:left="720" w:right="6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2022 and 2021, the Hakone Assets classified as assets held for sale were comprised of property and equipment, with aggregate carrying values of $8,503 and $17,705, respectively. Due to a significant decrease in the market value of the freehold land included in the Hakone Assets as of December 31, 2022 and 2021, an impairment of assets held for sale of $6,794 and an impairment of property and equipment of $1,147 were provided and included in property charges and other in the accompanying consolidated statements of operations during the years ended December 31, 2022 and 2021, respectively. The fair value of the freehold land was calculated by using level 3 inputs based on the market approach.</w:t>
      </w:r>
    </w:p>
    <w:p>
      <w:pPr>
        <w:spacing w:after="0" w:line="279" w:lineRule="exact"/>
        <w:rPr>
          <w:rFonts w:ascii="Times New Roman" w:cs="Times New Roman" w:eastAsia="Times New Roman" w:hAnsi="Times New Roman"/>
          <w:sz w:val="17"/>
          <w:szCs w:val="17"/>
          <w:b w:val="1"/>
          <w:bCs w:val="1"/>
          <w:color w:val="auto"/>
        </w:rPr>
      </w:pPr>
    </w:p>
    <w:p>
      <w:pPr>
        <w:ind w:left="720" w:right="4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12, 2023, the Company completed the disposal of the Hakone Assets, with aggregate carrying values of $7,924, to an independent third party at a consideration of JPY2,144,000 (equivalent to $15,222). A gain on disposal of assets held for sale, net of the foreign currency translations of certain entities incorporated in Japan being considered as a substantial liquidation, of $4,468 was recorded and included in property charges and other in the accompanying consolidated statements of operations during the year ended December 31, 2023.</w:t>
      </w:r>
    </w:p>
    <w:p>
      <w:pPr>
        <w:spacing w:after="0" w:line="64" w:lineRule="exact"/>
        <w:rPr>
          <w:rFonts w:ascii="Times New Roman" w:cs="Times New Roman" w:eastAsia="Times New Roman" w:hAnsi="Times New Roman"/>
          <w:sz w:val="17"/>
          <w:szCs w:val="17"/>
          <w:b w:val="1"/>
          <w:bCs w:val="1"/>
          <w:color w:val="auto"/>
        </w:rPr>
      </w:pPr>
    </w:p>
    <w:p>
      <w:pPr>
        <w:ind w:left="720" w:right="8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June and August 2022, the Company signed two sale and purchase agreements with respective buyers to sell two aircraft (the “Aircraft”) with an aggregate selling price of $15,800. After considering the relevant facts, the Company concluded the Aircraft met the criteria for classification as assets held for sale which were reported under the Corporate and Other segment. Due to a decrease in the market value, an impairment of property and equipment of $3,595 was provided for one of the Aircraft. Upon completion of the disposals of the Aircraft in September 2022, the Company recorded a gain on disposal of assets held for sale of $2,629 on the Aircraft. The impairment and gain on disposal of assets held for sale were both included in property charges and other in the accompanying consolidated statements of operations for the year ended December 31, 2022.</w:t>
      </w:r>
    </w:p>
    <w:p>
      <w:pPr>
        <w:spacing w:after="0" w:line="200" w:lineRule="exact"/>
        <w:rPr>
          <w:rFonts w:ascii="Times New Roman" w:cs="Times New Roman" w:eastAsia="Times New Roman" w:hAnsi="Times New Roman"/>
          <w:sz w:val="17"/>
          <w:szCs w:val="17"/>
          <w:b w:val="1"/>
          <w:bCs w:val="1"/>
          <w:color w:val="auto"/>
        </w:rPr>
      </w:pPr>
    </w:p>
    <w:p>
      <w:pPr>
        <w:spacing w:after="0" w:line="329"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0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40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7"/>
                <w:szCs w:val="17"/>
                <w:color w:val="auto"/>
              </w:rPr>
            </w:pPr>
          </w:p>
        </w:tc>
      </w:tr>
      <w:tr>
        <w:trPr>
          <w:trHeight w:val="20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7,621,676</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6,186,373</w:t>
            </w: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1,187,064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1,112,670</w:t>
            </w: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1,094,238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1,080,737</w:t>
            </w: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Plant and gaming machinery</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259,815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246,255</w:t>
            </w: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Transportation</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192,151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190,843</w:t>
            </w: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1,464,866</w:t>
            </w:r>
          </w:p>
        </w:tc>
      </w:tr>
      <w:tr>
        <w:trPr>
          <w:trHeight w:val="215"/>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Freehold land</w:t>
            </w:r>
          </w:p>
        </w:tc>
        <w:tc>
          <w:tcPr>
            <w:tcW w:w="3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10,414,902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10,338,277</w:t>
            </w: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(4,880,908)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(4,467,372)</w:t>
            </w:r>
          </w:p>
        </w:tc>
      </w:tr>
      <w:tr>
        <w:trPr>
          <w:trHeight w:val="26"/>
        </w:trPr>
        <w:tc>
          <w:tcPr>
            <w:tcW w:w="40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5,533,994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5,870,905</w:t>
            </w:r>
          </w:p>
        </w:tc>
      </w:tr>
      <w:tr>
        <w:trPr>
          <w:trHeight w:val="20"/>
        </w:trPr>
        <w:tc>
          <w:tcPr>
            <w:tcW w:w="4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080" w:type="dxa"/>
            <w:vAlign w:val="bottom"/>
          </w:tcPr>
          <w:p>
            <w:pPr>
              <w:spacing w:after="0"/>
              <w:rPr>
                <w:sz w:val="24"/>
                <w:szCs w:val="24"/>
                <w:color w:val="auto"/>
              </w:rPr>
            </w:pPr>
          </w:p>
        </w:tc>
        <w:tc>
          <w:tcPr>
            <w:tcW w:w="3980" w:type="dxa"/>
            <w:vAlign w:val="bottom"/>
            <w:gridSpan w:val="2"/>
          </w:tcPr>
          <w:p>
            <w:pPr>
              <w:jc w:val="right"/>
              <w:ind w:right="3000"/>
              <w:spacing w:after="0"/>
              <w:rPr>
                <w:sz w:val="20"/>
                <w:szCs w:val="20"/>
                <w:color w:val="auto"/>
              </w:rPr>
            </w:pPr>
            <w:r>
              <w:rPr>
                <w:rFonts w:ascii="Times New Roman" w:cs="Times New Roman" w:eastAsia="Times New Roman" w:hAnsi="Times New Roman"/>
                <w:sz w:val="17"/>
                <w:szCs w:val="17"/>
                <w:color w:val="auto"/>
              </w:rPr>
              <w:t>F-30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73" w:right="6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1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depreciation and amortization expenses of property and equipment recognized for the years ended December 31, 2023, 2022 and 2021 were $482,574, $454,194 and $487,130, respectively.</w:t>
      </w:r>
    </w:p>
    <w:p>
      <w:pPr>
        <w:spacing w:after="0" w:line="42"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cost and accumulated amortization of right-of-use assets held under finance lease arrangements were $147,072 and $101,589 as</w:t>
      </w:r>
    </w:p>
    <w:p>
      <w:pPr>
        <w:spacing w:after="0" w:line="31" w:lineRule="exact"/>
        <w:rPr>
          <w:rFonts w:ascii="Times New Roman" w:cs="Times New Roman" w:eastAsia="Times New Roman" w:hAnsi="Times New Roman"/>
          <w:sz w:val="17"/>
          <w:szCs w:val="17"/>
          <w:b w:val="1"/>
          <w:bCs w:val="1"/>
          <w:color w:val="auto"/>
        </w:rPr>
      </w:pPr>
    </w:p>
    <w:p>
      <w:pPr>
        <w:ind w:left="720" w:right="6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 December 31, 2023 and $145,660 and $95,310 as of December 31, 2022, respectively. Further information on the lease arrangements is included in Note 12.</w:t>
      </w:r>
    </w:p>
    <w:p>
      <w:pPr>
        <w:spacing w:after="0" w:line="59" w:lineRule="exact"/>
        <w:rPr>
          <w:rFonts w:ascii="Times New Roman" w:cs="Times New Roman" w:eastAsia="Times New Roman" w:hAnsi="Times New Roman"/>
          <w:sz w:val="17"/>
          <w:szCs w:val="17"/>
          <w:b w:val="1"/>
          <w:bCs w:val="1"/>
          <w:color w:val="auto"/>
        </w:rPr>
      </w:pPr>
    </w:p>
    <w:p>
      <w:pPr>
        <w:ind w:left="720" w:right="4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accordance with the Macau gaming law, the Reversion Assets (as defined in Note 7) that reverted to the Macau government at the expiration of the previous gaming subconcession are currently owned by the Macau government. Effective as of January 1, 2023, the Reversion Assets were transferred by the Macau government to Melco Resorts Macau for the duration of the Concession, in return for annual payments for the right to use and operate the Reversion Assets as part of the Concession, as disclosed in Note 7. As Melco Resorts Macau continues to be operated with the Reversion Assets in the same manner as under the previous gaming subconcession, obtains substantially all of the economic benefits and bears all of the risks arising from the operation of these assets, as well as assuming it will be successful in the awarding of a new concession upon expiry of the Concession, the Company continues to recognize these Reversion Assets as property and equipment over their remaining estimated useful lives.</w:t>
      </w:r>
    </w:p>
    <w:p>
      <w:pPr>
        <w:spacing w:after="0" w:line="28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Reversion Assets that reverted to the Macau government on December 31, 2022, and included in the above table, consisted of the following:</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6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$ 349,129</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67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39,008</w:t>
            </w: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Plant and gaming machinery</w:t>
            </w:r>
          </w:p>
        </w:tc>
        <w:tc>
          <w:tcPr>
            <w:tcW w:w="6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109,901</w:t>
            </w:r>
          </w:p>
        </w:tc>
      </w:tr>
      <w:tr>
        <w:trPr>
          <w:trHeight w:val="215"/>
        </w:trPr>
        <w:tc>
          <w:tcPr>
            <w:tcW w:w="35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498,038</w:t>
            </w:r>
          </w:p>
        </w:tc>
        <w:tc>
          <w:tcPr>
            <w:tcW w:w="100" w:type="dxa"/>
            <w:vAlign w:val="bottom"/>
          </w:tcPr>
          <w:p>
            <w:pPr>
              <w:spacing w:after="0"/>
              <w:rPr>
                <w:sz w:val="18"/>
                <w:szCs w:val="18"/>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6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(276,581)</w:t>
            </w:r>
          </w:p>
        </w:tc>
      </w:tr>
      <w:tr>
        <w:trPr>
          <w:trHeight w:val="215"/>
        </w:trPr>
        <w:tc>
          <w:tcPr>
            <w:tcW w:w="35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$ 221,457</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Pr>
          <w:p>
            <w:pPr>
              <w:spacing w:after="0"/>
              <w:rPr>
                <w:sz w:val="24"/>
                <w:szCs w:val="24"/>
                <w:color w:val="auto"/>
              </w:rPr>
            </w:pPr>
          </w:p>
        </w:tc>
        <w:tc>
          <w:tcPr>
            <w:tcW w:w="6700" w:type="dxa"/>
            <w:vAlign w:val="bottom"/>
            <w:gridSpan w:val="3"/>
          </w:tcPr>
          <w:p>
            <w:pPr>
              <w:jc w:val="right"/>
              <w:ind w:right="5180"/>
              <w:spacing w:after="0"/>
              <w:rPr>
                <w:sz w:val="20"/>
                <w:szCs w:val="20"/>
                <w:color w:val="auto"/>
              </w:rPr>
            </w:pPr>
            <w:r>
              <w:rPr>
                <w:rFonts w:ascii="Times New Roman" w:cs="Times New Roman" w:eastAsia="Times New Roman" w:hAnsi="Times New Roman"/>
                <w:sz w:val="17"/>
                <w:szCs w:val="17"/>
                <w:color w:val="auto"/>
              </w:rPr>
              <w:t>F-31</w:t>
            </w:r>
          </w:p>
        </w:tc>
      </w:tr>
    </w:tbl>
    <w:p>
      <w:pPr>
        <w:sectPr>
          <w:pgSz w:w="11900" w:h="16838" w:orient="portrait"/>
          <w:cols w:equalWidth="0" w:num="1">
            <w:col w:w="10960"/>
          </w:cols>
          <w:pgMar w:left="320" w:top="473" w:right="6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p>
    <w:p>
      <w:pPr>
        <w:spacing w:after="0" w:line="131" w:lineRule="exact"/>
        <w:rPr>
          <w:rFonts w:ascii="Times New Roman" w:cs="Times New Roman" w:eastAsia="Times New Roman" w:hAnsi="Times New Roman"/>
          <w:sz w:val="17"/>
          <w:szCs w:val="17"/>
          <w:b w:val="1"/>
          <w:bCs w:val="1"/>
          <w:color w:val="auto"/>
        </w:rPr>
      </w:pPr>
    </w:p>
    <w:p>
      <w:pPr>
        <w:ind w:left="1020" w:hanging="304"/>
        <w:spacing w:after="0"/>
        <w:tabs>
          <w:tab w:leader="none" w:pos="1020" w:val="left"/>
        </w:tabs>
        <w:numPr>
          <w:ilvl w:val="1"/>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w:t>
      </w:r>
    </w:p>
    <w:p>
      <w:pPr>
        <w:spacing w:after="0" w:line="120"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changes in the carrying amounts of goodwill by segment are as follows:</w:t>
      </w:r>
    </w:p>
    <w:p>
      <w:pPr>
        <w:spacing w:after="0" w:line="131" w:lineRule="exact"/>
        <w:rPr>
          <w:sz w:val="20"/>
          <w:szCs w:val="20"/>
          <w:color w:val="auto"/>
        </w:rPr>
      </w:pPr>
    </w:p>
    <w:tbl>
      <w:tblPr>
        <w:tblLayout w:type="fixed"/>
        <w:tblInd w:w="10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Mocha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line="228" w:lineRule="exact"/>
              <w:rPr>
                <w:sz w:val="20"/>
                <w:szCs w:val="20"/>
                <w:color w:val="auto"/>
              </w:rPr>
            </w:pPr>
            <w:r>
              <w:rPr>
                <w:rFonts w:ascii="Times New Roman" w:cs="Times New Roman" w:eastAsia="Times New Roman" w:hAnsi="Times New Roman"/>
                <w:sz w:val="17"/>
                <w:szCs w:val="17"/>
                <w:color w:val="auto"/>
              </w:rPr>
              <w:t>and Other</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2021</w:t>
            </w:r>
          </w:p>
        </w:tc>
        <w:tc>
          <w:tcPr>
            <w:tcW w:w="3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82,203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3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3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81,582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60" w:right="120" w:hanging="523"/>
        <w:spacing w:after="0" w:line="281" w:lineRule="auto"/>
        <w:tabs>
          <w:tab w:leader="none" w:pos="15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represents goodwill which arose from the acquisition of Mocha Slot Group Limited and its subsidiaries by the Company in 2006. As of December 31, 2023, the gross amount of goodwill and accumulated impairment were $81,582 and nil, respectively.</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960"/>
          </w:cols>
          <w:pgMar w:left="320" w:top="472" w:right="6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hanging="320"/>
        <w:spacing w:after="0"/>
        <w:tabs>
          <w:tab w:leader="none" w:pos="1040" w:val="left"/>
        </w:tabs>
        <w:numPr>
          <w:ilvl w:val="1"/>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p>
    <w:p>
      <w:pPr>
        <w:spacing w:after="0" w:line="120"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Intangible assets, net consisted of the following:</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7"/>
          </w:tcPr>
          <w:p>
            <w:pPr>
              <w:jc w:val="right"/>
              <w:ind w:right="6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20" w:type="dxa"/>
            <w:vAlign w:val="bottom"/>
          </w:tcPr>
          <w:p>
            <w:pPr>
              <w:spacing w:after="0"/>
              <w:rPr>
                <w:sz w:val="17"/>
                <w:szCs w:val="17"/>
                <w:color w:val="auto"/>
              </w:rPr>
            </w:pPr>
          </w:p>
        </w:tc>
        <w:tc>
          <w:tcPr>
            <w:tcW w:w="77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2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Trademarks of Mocha Clubs</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4,204</w:t>
            </w: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indefinite-lived intangible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10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Finite-lived intangible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Concession</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209,934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2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(24,037)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Cyprus License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Gaming subconcession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902,441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(902,441)</w:t>
            </w:r>
          </w:p>
        </w:tc>
      </w:tr>
      <w:tr>
        <w:trPr>
          <w:trHeight w:val="202"/>
        </w:trPr>
        <w:tc>
          <w:tcPr>
            <w:tcW w:w="20" w:type="dxa"/>
            <w:vAlign w:val="bottom"/>
          </w:tcPr>
          <w:p>
            <w:pPr>
              <w:spacing w:after="0"/>
              <w:rPr>
                <w:sz w:val="17"/>
                <w:szCs w:val="17"/>
                <w:color w:val="auto"/>
              </w:rPr>
            </w:pPr>
          </w:p>
        </w:tc>
        <w:tc>
          <w:tcPr>
            <w:tcW w:w="7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Internal-use software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72,556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59,434</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(29,383)</w:t>
            </w: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30,051</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Proprietary rights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11,922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(3,762)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(2,571)</w:t>
            </w: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9,355</w:t>
            </w:r>
          </w:p>
        </w:tc>
        <w:tc>
          <w:tcPr>
            <w:tcW w:w="100" w:type="dxa"/>
            <w:vAlign w:val="bottom"/>
            <w:shd w:val="clear" w:color="auto" w:fill="CCEEFF"/>
          </w:tcPr>
          <w:p>
            <w:pPr>
              <w:spacing w:after="0"/>
              <w:rPr>
                <w:sz w:val="18"/>
                <w:szCs w:val="18"/>
                <w:color w:val="auto"/>
              </w:rPr>
            </w:pPr>
          </w:p>
        </w:tc>
      </w:tr>
      <w:tr>
        <w:trPr>
          <w:trHeight w:val="221"/>
        </w:trPr>
        <w:tc>
          <w:tcPr>
            <w:tcW w:w="7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finite-lived intangible assets</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300,449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39,406</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304,652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Trademarks of Mocha Clubs</w:t>
      </w:r>
    </w:p>
    <w:p>
      <w:pPr>
        <w:spacing w:after="0" w:line="118" w:lineRule="exact"/>
        <w:rPr>
          <w:sz w:val="20"/>
          <w:szCs w:val="20"/>
          <w:color w:val="auto"/>
        </w:rPr>
      </w:pPr>
    </w:p>
    <w:p>
      <w:pPr>
        <w:ind w:left="1040" w:right="220"/>
        <w:spacing w:after="0" w:line="295" w:lineRule="auto"/>
        <w:rPr>
          <w:sz w:val="20"/>
          <w:szCs w:val="20"/>
          <w:color w:val="auto"/>
        </w:rPr>
      </w:pPr>
      <w:r>
        <w:rPr>
          <w:rFonts w:ascii="Times New Roman" w:cs="Times New Roman" w:eastAsia="Times New Roman" w:hAnsi="Times New Roman"/>
          <w:sz w:val="17"/>
          <w:szCs w:val="17"/>
          <w:color w:val="auto"/>
        </w:rPr>
        <w:t>Trademarks arose from the acquisition of Mocha Slot Group Limited and its subsidiaries by the Company in 2006. The changes in carrying amounts of trademarks represented the exchange differences arising from foreign currency translations at the balance sheet date.</w:t>
      </w:r>
    </w:p>
    <w:p>
      <w:pPr>
        <w:spacing w:after="0" w:line="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Proprietary rights</w:t>
      </w:r>
    </w:p>
    <w:p>
      <w:pPr>
        <w:spacing w:after="0" w:line="118" w:lineRule="exact"/>
        <w:rPr>
          <w:sz w:val="20"/>
          <w:szCs w:val="20"/>
          <w:color w:val="auto"/>
        </w:rPr>
      </w:pPr>
    </w:p>
    <w:p>
      <w:pPr>
        <w:ind w:left="1040" w:right="40"/>
        <w:spacing w:after="0" w:line="273" w:lineRule="auto"/>
        <w:rPr>
          <w:sz w:val="20"/>
          <w:szCs w:val="20"/>
          <w:color w:val="auto"/>
        </w:rPr>
      </w:pPr>
      <w:r>
        <w:rPr>
          <w:rFonts w:ascii="Times New Roman" w:cs="Times New Roman" w:eastAsia="Times New Roman" w:hAnsi="Times New Roman"/>
          <w:sz w:val="17"/>
          <w:szCs w:val="17"/>
          <w:color w:val="auto"/>
        </w:rPr>
        <w:t>In November 2020, the Company completed an asset acquisition of the proprietary rights relating to an entertainment show in City of Dreams for a cash consideration of $12,000. The estimated useful life of the proprietary rights is 10 years. As of December 31, 2023 and 2022, the carrying amount of the proprietary rights included the exchange differences arising from foreign currency translations at the balance sheet date.</w:t>
      </w:r>
    </w:p>
    <w:p>
      <w:pPr>
        <w:spacing w:after="0" w:line="3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0960"/>
          </w:cols>
          <w:pgMar w:left="320" w:top="473" w:right="6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right="7460" w:hanging="320"/>
        <w:spacing w:after="0" w:line="394" w:lineRule="auto"/>
        <w:tabs>
          <w:tab w:leader="none" w:pos="1039" w:val="left"/>
        </w:tabs>
        <w:numPr>
          <w:ilvl w:val="1"/>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Concession</w:t>
      </w:r>
    </w:p>
    <w:p>
      <w:pPr>
        <w:ind w:left="1040" w:right="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16, 2022, the Macau government awarded the Concession to Melco Resorts Macau. The term of the Concession commenced on January 1, 2023 and ends on December 31, 2032 and Melco Resorts Macau is authorized to operate the Altira Casino, the City of Dreams Casino and the Studio City Casino as well as the Grand Dragon Casino and the Mocha Clubs. Under the Concession, Melco Resorts Macau is obligated to pay the Macau government a fixed annual premium of MOP30,000 (equivalent to $3,729) plus a variable annual premium calculated in accordance with the number and type of gaming tables (subject to a minimum of 500 tables) and electronic gaming machines (subject to a minimum of 1,000 machines) operated by Melco Resorts Macau. The variable annual premium is MOP300 (equivalent to $37) for each gaming table reserved exclusively to certain kinds of games or players, MOP150 (equivalent to $19) for each gaming table not so exclusively reserved and MOP1 (equivalent to $0.1) for each electronic gaming machine.</w:t>
      </w:r>
    </w:p>
    <w:p>
      <w:pPr>
        <w:spacing w:after="0" w:line="70" w:lineRule="exact"/>
        <w:rPr>
          <w:rFonts w:ascii="Times New Roman" w:cs="Times New Roman" w:eastAsia="Times New Roman" w:hAnsi="Times New Roman"/>
          <w:sz w:val="17"/>
          <w:szCs w:val="17"/>
          <w:b w:val="1"/>
          <w:bCs w:val="1"/>
          <w:color w:val="auto"/>
        </w:rPr>
      </w:pPr>
    </w:p>
    <w:p>
      <w:pPr>
        <w:ind w:left="10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30, 2022, in accordance with the obligations under the letters of undertakings dated June 23, 2022, Melco Resorts Macau and certain subsidiaries of Melco, which hold the land lease rights for the properties on which the Altira Casino, City of Dreams Casino and Studio City Casino are located, executed a public deed pursuant to which the gaming and gaming support areas comprising the Altira Casino, City of Dreams Casino and Studio City Casino with an area of 17,128.8 square meters, 31,227.3 square meters and 28,784.3 square meters, respectively, and related gaming equipment and utensils (collectively referred to as the “Reversion Assets”), reverted to the Macau government, without compensation and free and clear from any charges or encumbrances, at the expiration of the previous gaming subconcession in accordance with the Macau gaming law. The Reversion Assets that reverted to the Macau government at the expiration of the previous gaming subconcession are currently owned by the Macau government. Under the terms of the Macau gaming law and the Concession, effective as of January 1, 2023, the Reversion Assets were transferred by the Macau government to Melco Resorts Macau for use in its operations during the Concession for a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 (the “Fee”).</w:t>
      </w:r>
    </w:p>
    <w:p>
      <w:pPr>
        <w:spacing w:after="0" w:line="281"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 2023, the Company recognized an intangible asset and financial liability of MOP1,934,035 (equivalent to</w:t>
      </w:r>
    </w:p>
    <w:p>
      <w:pPr>
        <w:spacing w:after="0" w:line="31" w:lineRule="exact"/>
        <w:rPr>
          <w:rFonts w:ascii="Times New Roman" w:cs="Times New Roman" w:eastAsia="Times New Roman" w:hAnsi="Times New Roman"/>
          <w:sz w:val="17"/>
          <w:szCs w:val="17"/>
          <w:b w:val="1"/>
          <w:bCs w:val="1"/>
          <w:color w:val="auto"/>
        </w:rPr>
      </w:pPr>
    </w:p>
    <w:p>
      <w:pPr>
        <w:ind w:left="104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$239,588), representing the right to use and operate the Reversion Assets, the right to conduct games of fortunes and chance in Macau and the unconditional obligation to make payments under the Concession. This intangible asset comprises the contractually obligated annual payments of fixed premium and variable premiums, as well as the Fee without considering the consumer price index under the Concession. The contractually obligated annual variable premium payments associated with the intangible asset were determined using the total number of gaming tables and the total number of electronic gaming machines that Melco Resorts Macau is currently approved to operate by the Macau government. In the accompanying consolidated balance sheet, the non-current portion of the financial liability of the Concession is included in other long-term liabilities and the current portion is included in accrued expenses and other current liabilities. The intangible asset is being amortized on a straight-line basis over the period of the Concession, being 10 years.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940"/>
          </w:cols>
          <w:pgMar w:left="320" w:top="472" w:right="6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1040" w:right="7420" w:hanging="320"/>
        <w:spacing w:after="0" w:line="394" w:lineRule="auto"/>
        <w:tabs>
          <w:tab w:leader="none" w:pos="1039" w:val="left"/>
        </w:tabs>
        <w:numPr>
          <w:ilvl w:val="1"/>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Cyprus License</w:t>
      </w:r>
    </w:p>
    <w:p>
      <w:pPr>
        <w:ind w:left="10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26, 2017, the Cyprus government granted a gaming license (the “Cyprus License”) to a subsidiary of ICR Cyprus (the “Cyprus Subsidiary”) to develop, operate and maintain an integrated casino resort in Limassol, Cyprus (and, up until completion and opening of City of Dreams Mediterranean, a temporary casino facility) and up to four satellite casino premises in Cyprus for a term of 30 years, the first 15 years of which are exclusive. Pursuant to the Cyprus License agreement, the Cyprus Subsidiary is obligated to pay the Cyprus government an annual license fee for the integrated casino resort (and prior to opening of City of Dreams Mediterranean, the temporary casino) and any operating satellite casinos (the “Cyprus License Fee”). The annual license fee for the integrated casino resort is EUR2,500 (equivalent to $2,767) for the first four years, and EUR5,000 (equivalent to $5,535) for the next four years. Upon the completion of the first eight years and thereafter every four years during the term of the Cyprus License, the Cyprus government may review the annual license fee, with minimum of EUR5,000 (equivalent to $5,535) per year and any increase in the annual license fee may not exceed 20% of the annual license fee paid annually during the previous four-year period. The Cyprus License required City of Dreams Mediterranean to open by the extended deadline of June 30, 2023 as approved by the Cyprus government (the “Cyprus License Requirement”), failing which the Cyprus government would have been entitled to terminate the Cyprus License.</w:t>
      </w:r>
    </w:p>
    <w:p>
      <w:pPr>
        <w:spacing w:after="0" w:line="72" w:lineRule="exact"/>
        <w:rPr>
          <w:rFonts w:ascii="Times New Roman" w:cs="Times New Roman" w:eastAsia="Times New Roman" w:hAnsi="Times New Roman"/>
          <w:sz w:val="17"/>
          <w:szCs w:val="17"/>
          <w:b w:val="1"/>
          <w:bCs w:val="1"/>
          <w:color w:val="auto"/>
        </w:rPr>
      </w:pPr>
    </w:p>
    <w:p>
      <w:pPr>
        <w:ind w:left="10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28, 2023, upon fulfillment of the Cyprus License Requirement, to better reflect the future economic benefits arising from the Cyprus License, the Company recognized an intangible asset of EUR68,031 (equivalent to $73,928) and financial liability of EUR67,231 (equivalent to $73,059), representing the right under the Cyprus License and the unconditional obligation to pay i) a minimum annual license fee for City of Dreams Mediterranean of EUR5,000 (equivalent to $5,535) per year; and ii) an aggregate annual license fee for three operating satellite casinos of EUR2,000 (equivalent to $2,214), during the term of the Cyprus License from June 28, 2023. In the accompanying consolidated balance sheet, the non-current portion of the financial liability of the Cyprus License is included in other long-term liabilities and the current portion is included in accrued expenses and other current liabilities. The intangible asset is being amortized on a straight-line basis over the remaining period of the Cyprus License until June 2047. Prior to the fulfillment of the Cyprus License Requirement, the Cyprus License Fee was expensed as incurred and included in gaming taxes and license fees as disclosed in Note 2(r).</w:t>
      </w:r>
    </w:p>
    <w:p>
      <w:pPr>
        <w:spacing w:after="0" w:line="73"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Gaming subconcession</w:t>
      </w:r>
    </w:p>
    <w:p>
      <w:pPr>
        <w:spacing w:after="0" w:line="118" w:lineRule="exact"/>
        <w:rPr>
          <w:rFonts w:ascii="Times New Roman" w:cs="Times New Roman" w:eastAsia="Times New Roman" w:hAnsi="Times New Roman"/>
          <w:sz w:val="17"/>
          <w:szCs w:val="17"/>
          <w:b w:val="1"/>
          <w:bCs w:val="1"/>
          <w:color w:val="auto"/>
        </w:rPr>
      </w:pPr>
    </w:p>
    <w:p>
      <w:pPr>
        <w:ind w:left="1040" w:right="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deemed cost of the previous gaming subconcession in Macau was capitalized based on the fair value of the gaming subconcession agreement as of the date of acquisition of Melco Resorts Macau in 2006, and amortized on a straight-line basis over the term of the agreement, which expired on June 26, 2022. Melco Resorts Macau paid a premium of MOP47,000 (equivalent to $5,815) to the Macau government in June 2022 for the extension of the gaming subconcession contract to December 31, 2022 and such premium was amortized on a straight-line basis from June 27, 2022 to the extended expiration date on December 31, 2022.</w:t>
      </w:r>
    </w:p>
    <w:p>
      <w:pPr>
        <w:spacing w:after="0" w:line="66" w:lineRule="exact"/>
        <w:rPr>
          <w:rFonts w:ascii="Times New Roman" w:cs="Times New Roman" w:eastAsia="Times New Roman" w:hAnsi="Times New Roman"/>
          <w:sz w:val="17"/>
          <w:szCs w:val="17"/>
          <w:b w:val="1"/>
          <w:bCs w:val="1"/>
          <w:color w:val="auto"/>
        </w:rPr>
      </w:pPr>
    </w:p>
    <w:p>
      <w:pPr>
        <w:ind w:left="1040" w:right="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amortization expenses of finite-lived intangible assets recognized for the years ended December 31, 2023, 2022 and 2021 were $37,216, $44,128 and $68,831, respectively.</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0900"/>
          </w:cols>
          <w:pgMar w:left="320" w:top="473" w:right="6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1040" w:hanging="320"/>
        <w:spacing w:after="0"/>
        <w:tabs>
          <w:tab w:leader="none" w:pos="1040" w:val="left"/>
        </w:tabs>
        <w:numPr>
          <w:ilvl w:val="1"/>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the estimated future amortization expenses of finite-lived intangible assets are as follows:</w:t>
      </w:r>
    </w:p>
    <w:p>
      <w:pPr>
        <w:spacing w:after="0" w:line="267" w:lineRule="exact"/>
        <w:rPr>
          <w:sz w:val="20"/>
          <w:szCs w:val="20"/>
          <w:color w:val="auto"/>
        </w:rPr>
      </w:pPr>
    </w:p>
    <w:tbl>
      <w:tblPr>
        <w:tblLayout w:type="fixed"/>
        <w:tblInd w:w="1060" w:type="dxa"/>
        <w:tblCellMar>
          <w:top w:w="0" w:type="dxa"/>
          <w:left w:w="0" w:type="dxa"/>
          <w:bottom w:w="0" w:type="dxa"/>
          <w:right w:w="0" w:type="dxa"/>
        </w:tblCellMar>
      </w:tblP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32,662</w:t>
            </w:r>
          </w:p>
        </w:tc>
      </w:t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31,609</w:t>
            </w:r>
          </w:p>
        </w:tc>
      </w:tr>
      <w:tr>
        <w:trPr>
          <w:trHeight w:val="209"/>
        </w:trPr>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28,896</w:t>
            </w:r>
          </w:p>
        </w:tc>
      </w:t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27,197</w:t>
            </w:r>
          </w:p>
        </w:tc>
      </w:tr>
      <w:tr>
        <w:trPr>
          <w:trHeight w:val="209"/>
        </w:trPr>
        <w:tc>
          <w:tcPr>
            <w:tcW w:w="90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27,197</w:t>
            </w:r>
          </w:p>
        </w:tc>
      </w:tr>
      <w:tr>
        <w:trPr>
          <w:trHeight w:val="209"/>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152,888</w:t>
            </w:r>
          </w:p>
        </w:tc>
        <w:tc>
          <w:tcPr>
            <w:tcW w:w="60" w:type="dxa"/>
            <w:vAlign w:val="bottom"/>
            <w:shd w:val="clear" w:color="auto" w:fill="CCEEFF"/>
          </w:tcPr>
          <w:p>
            <w:pPr>
              <w:spacing w:after="0"/>
              <w:rPr>
                <w:sz w:val="18"/>
                <w:szCs w:val="18"/>
                <w:color w:val="auto"/>
              </w:rPr>
            </w:pPr>
          </w:p>
        </w:tc>
      </w:tr>
      <w:tr>
        <w:trPr>
          <w:trHeight w:val="215"/>
        </w:trPr>
        <w:tc>
          <w:tcPr>
            <w:tcW w:w="9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300,449</w:t>
            </w:r>
          </w:p>
        </w:tc>
        <w:tc>
          <w:tcPr>
            <w:tcW w:w="6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8"/>
              </w:rPr>
              <w:t>8.</w:t>
            </w: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LONG-TERM PREPAYMENTS, DEPOSITS AND OTHER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14"/>
        </w:trPr>
        <w:tc>
          <w:tcPr>
            <w:tcW w:w="260" w:type="dxa"/>
            <w:vAlign w:val="bottom"/>
          </w:tcPr>
          <w:p>
            <w:pPr>
              <w:spacing w:after="0"/>
              <w:rPr>
                <w:sz w:val="24"/>
                <w:szCs w:val="24"/>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Long-term prepayments, deposits and other assets consisted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7"/>
          </w:tcPr>
          <w:p>
            <w:pPr>
              <w:ind w:left="3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9"/>
              </w:rPr>
              <w:t>2022</w:t>
            </w:r>
          </w:p>
        </w:tc>
        <w:tc>
          <w:tcPr>
            <w:tcW w:w="60" w:type="dxa"/>
            <w:vAlign w:val="bottom"/>
            <w:tcBorders>
              <w:bottom w:val="single" w:sz="8" w:color="CCEEFF"/>
            </w:tcBorders>
          </w:tcPr>
          <w:p>
            <w:pPr>
              <w:spacing w:after="0"/>
              <w:rPr>
                <w:sz w:val="17"/>
                <w:szCs w:val="17"/>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Input value-added tax,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19,232</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60" w:type="dxa"/>
            <w:vAlign w:val="bottom"/>
            <w:shd w:val="clear" w:color="auto" w:fill="CCEEFF"/>
          </w:tcPr>
          <w:p>
            <w:pPr>
              <w:spacing w:after="0"/>
              <w:rPr>
                <w:sz w:val="17"/>
                <w:szCs w:val="17"/>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17,983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19,298</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17,905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25,904</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Deferred financing costs,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27,218</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deposits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9,971</w:t>
            </w:r>
          </w:p>
        </w:tc>
        <w:tc>
          <w:tcPr>
            <w:tcW w:w="60" w:type="dxa"/>
            <w:vAlign w:val="bottom"/>
            <w:shd w:val="clear" w:color="auto" w:fill="CCEEFF"/>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Long-term prepayments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31,191</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 for acquisition of property and equipment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19,494</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Advance payments for construction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25,602</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Long-term casino accounts receivable, net of allowances for credit losses of $2,377 and $14,966</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w w:val="73"/>
              </w:rPr>
              <w:t>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100,320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w w:val="73"/>
              </w:rPr>
              <w:t>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159,697</w:t>
            </w:r>
          </w:p>
        </w:tc>
        <w:tc>
          <w:tcPr>
            <w:tcW w:w="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800" w:hanging="410"/>
        <w:spacing w:after="0" w:line="281" w:lineRule="auto"/>
        <w:tabs>
          <w:tab w:leader="none" w:pos="11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casino accounts receivable, net represent receivables from casino customers where settlements are not expected within the next year. Reclassifications to current accounts receivable, net, are made when settlement of such balances are expected to occur within one year.</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960"/>
          </w:cols>
          <w:pgMar w:left="320" w:top="473" w:right="61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95"/>
        </w:trPr>
        <w:tc>
          <w:tcPr>
            <w:tcW w:w="8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6"/>
        </w:trPr>
        <w:tc>
          <w:tcPr>
            <w:tcW w:w="7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300" w:type="dxa"/>
            <w:vAlign w:val="bottom"/>
          </w:tcPr>
          <w:p>
            <w:pPr>
              <w:jc w:val="center"/>
              <w:ind w:left="127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00" w:type="dxa"/>
            <w:vAlign w:val="bottom"/>
          </w:tcPr>
          <w:p>
            <w:pPr>
              <w:jc w:val="center"/>
              <w:ind w:left="125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300" w:type="dxa"/>
            <w:vAlign w:val="bottom"/>
          </w:tcPr>
          <w:p>
            <w:pPr>
              <w:jc w:val="center"/>
              <w:ind w:left="12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9.   LAND USE RIGHTS, NET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7"/>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3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80,707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145,922</w:t>
            </w:r>
          </w:p>
        </w:tc>
        <w:tc>
          <w:tcPr>
            <w:tcW w:w="120" w:type="dxa"/>
            <w:vAlign w:val="bottom"/>
            <w:shd w:val="clear" w:color="auto" w:fill="CCEEFF"/>
          </w:tcPr>
          <w:p>
            <w:pPr>
              <w:spacing w:after="0"/>
              <w:rPr>
                <w:sz w:val="17"/>
                <w:szCs w:val="17"/>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397,953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398,068</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City</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650,906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651,094</w:t>
            </w:r>
          </w:p>
        </w:tc>
      </w:tr>
      <w:tr>
        <w:trPr>
          <w:trHeight w:val="215"/>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1,129,566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1,195,084</w:t>
            </w:r>
          </w:p>
        </w:tc>
        <w:tc>
          <w:tcPr>
            <w:tcW w:w="12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(546,784)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(524,212)</w:t>
            </w:r>
          </w:p>
        </w:tc>
      </w:tr>
      <w:tr>
        <w:trPr>
          <w:trHeight w:val="215"/>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Land use rights,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582,782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670,872</w:t>
            </w:r>
          </w:p>
        </w:tc>
        <w:tc>
          <w:tcPr>
            <w:tcW w:w="1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ind w:left="720" w:hanging="428"/>
        <w:spacing w:after="0"/>
        <w:tabs>
          <w:tab w:leader="none" w:pos="72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9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CCEEFF"/>
            </w:tcBorders>
          </w:tcPr>
          <w:p>
            <w:pPr>
              <w:spacing w:after="0"/>
              <w:rPr>
                <w:sz w:val="17"/>
                <w:szCs w:val="17"/>
                <w:color w:val="auto"/>
              </w:rPr>
            </w:pPr>
          </w:p>
        </w:tc>
      </w:tr>
      <w:tr>
        <w:trPr>
          <w:trHeight w:val="20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deposits and ticket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250,955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278,591</w:t>
            </w:r>
          </w:p>
        </w:tc>
        <w:tc>
          <w:tcPr>
            <w:tcW w:w="60" w:type="dxa"/>
            <w:vAlign w:val="bottom"/>
            <w:shd w:val="clear" w:color="auto" w:fill="CCEEFF"/>
          </w:tcPr>
          <w:p>
            <w:pPr>
              <w:spacing w:after="0"/>
              <w:rPr>
                <w:sz w:val="17"/>
                <w:szCs w:val="17"/>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 and other accruals and liabilities</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160,169</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97,933</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Gaming tax and license fee accruals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159,285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48,688</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payable</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114,587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123,032</w:t>
            </w:r>
          </w:p>
        </w:tc>
        <w:tc>
          <w:tcPr>
            <w:tcW w:w="6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Staff cost accruals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101,340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96,219</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gaming chips</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83,012</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37,354</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payables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37,502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35,747</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cost payables</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36,018</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76,173</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Loyalty program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15,568</w:t>
            </w:r>
          </w:p>
        </w:tc>
      </w:tr>
      <w:tr>
        <w:trPr>
          <w:trHeight w:val="209"/>
        </w:trPr>
        <w:tc>
          <w:tcPr>
            <w:tcW w:w="798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Concession and license liabilities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29,448</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2"/>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1,008,316</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809,305</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440" w:hanging="410"/>
        <w:spacing w:after="0" w:line="281" w:lineRule="auto"/>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non-current portion of the Concession and license liabilities of $282,081 is included in other long-term liabilities in the accompanying consolidated balance sheet.</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960"/>
          </w:cols>
          <w:pgMar w:left="320" w:top="466" w:right="6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Long-term debt, net consisted of the following:</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6"/>
          </w:tcPr>
          <w:p>
            <w:pPr>
              <w:jc w:val="right"/>
              <w:ind w:right="6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9"/>
              </w:rPr>
              <w:t> </w:t>
            </w:r>
          </w:p>
        </w:tc>
        <w:tc>
          <w:tcPr>
            <w:tcW w:w="8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 2023    </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r>
      <w:tr>
        <w:trPr>
          <w:trHeight w:val="189"/>
        </w:trPr>
        <w:tc>
          <w:tcPr>
            <w:tcW w:w="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Senior Notes</w:t>
            </w:r>
          </w:p>
        </w:tc>
        <w:tc>
          <w:tcPr>
            <w:tcW w:w="7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2017</w:t>
            </w: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4.875%</w:t>
            </w:r>
          </w:p>
        </w:tc>
        <w:tc>
          <w:tcPr>
            <w:tcW w:w="7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Senior Notes, due 2025 (net of unamortized deferred financing costs and original issue premiums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$5,746 and $9,552,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994,254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990,448</w:t>
            </w: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2019</w:t>
            </w:r>
          </w:p>
        </w:tc>
        <w:tc>
          <w:tcPr>
            <w:tcW w:w="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5.250%</w:t>
            </w:r>
          </w:p>
        </w:tc>
        <w:tc>
          <w:tcPr>
            <w:tcW w:w="7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Senior Notes, due 2026 (net of unamortized deferred financing costs of $2,141 and $2,981,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8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497,859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497,019</w:t>
            </w: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2019</w:t>
            </w: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5.625%</w:t>
            </w:r>
          </w:p>
        </w:tc>
        <w:tc>
          <w:tcPr>
            <w:tcW w:w="7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Senior Notes, due 2027 (net of unamortized deferred financing costs of $3,358 and $4,178,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596,642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595,822</w:t>
            </w: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2019</w:t>
            </w:r>
          </w:p>
        </w:tc>
        <w:tc>
          <w:tcPr>
            <w:tcW w:w="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5.375%</w:t>
            </w:r>
          </w:p>
        </w:tc>
        <w:tc>
          <w:tcPr>
            <w:tcW w:w="7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Senior Notes, due 2029 (net of unamortized deferred financing costs and original issue premiums of</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8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$1,634 and $1,845, 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1,148,366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1,148,155</w:t>
            </w: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5.750%</w:t>
            </w:r>
          </w:p>
        </w:tc>
        <w:tc>
          <w:tcPr>
            <w:tcW w:w="7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Senior Notes, due 2028 (net of unamortized deferred financing costs and original issue premiums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$2,317 and $2,743, respectively)</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847,683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847,257</w:t>
            </w: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6.000%</w:t>
            </w:r>
          </w:p>
        </w:tc>
        <w:tc>
          <w:tcPr>
            <w:tcW w:w="7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SC Notes, due 2025 (net of unamortized deferred financing costs of $1,320 and $2,692,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8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395,680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497,308</w:t>
            </w: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6.500%</w:t>
            </w:r>
          </w:p>
        </w:tc>
        <w:tc>
          <w:tcPr>
            <w:tcW w:w="7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SC Notes, due 2028 (net of unamortized deferred financing costs of $2,970 and $3,598,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497,030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496,402</w:t>
            </w: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2021</w:t>
            </w:r>
          </w:p>
        </w:tc>
        <w:tc>
          <w:tcPr>
            <w:tcW w:w="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5.000%</w:t>
            </w:r>
          </w:p>
        </w:tc>
        <w:tc>
          <w:tcPr>
            <w:tcW w:w="7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Studio City Notes, due 2029 (net of unamortized deferred financing costs and original issue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8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premiums of $3,626 and $4,228, 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1,096,374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1,095,772</w:t>
            </w: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2022</w:t>
            </w: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7.000%</w:t>
            </w:r>
          </w:p>
        </w:tc>
        <w:tc>
          <w:tcPr>
            <w:tcW w:w="7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Studio City Secured Notes, due 2027 (net of unamortized deferred financing costs of $4,039 and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$5,134, respectively)</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345,961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344,866</w:t>
            </w:r>
          </w:p>
        </w:tc>
      </w:tr>
      <w:tr>
        <w:trPr>
          <w:trHeight w:val="209"/>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Credit Facilities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2015</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Credit Facilities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128</w:t>
            </w: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80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7"/>
                <w:szCs w:val="17"/>
                <w:color w:val="auto"/>
              </w:rPr>
              <w:t>Credit Facilities</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1,052,515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1,899,203</w:t>
            </w: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780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7"/>
                <w:szCs w:val="17"/>
                <w:color w:val="auto"/>
              </w:rPr>
              <w:t>Studio City Credit Facilities</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128</w:t>
            </w:r>
          </w:p>
        </w:tc>
      </w:tr>
      <w:tr>
        <w:trPr>
          <w:trHeight w:val="26"/>
        </w:trPr>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7,472,620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8,412,508</w:t>
            </w:r>
          </w:p>
        </w:tc>
      </w:tr>
      <w:tr>
        <w:trPr>
          <w:trHeight w:val="209"/>
        </w:trPr>
        <w:tc>
          <w:tcPr>
            <w:tcW w:w="8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(322,500)</w:t>
            </w:r>
          </w:p>
        </w:tc>
      </w:tr>
      <w:tr>
        <w:trPr>
          <w:trHeight w:val="26"/>
        </w:trPr>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7,472,620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8,090,008</w:t>
            </w:r>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60" w:hanging="410"/>
        <w:spacing w:after="0" w:line="281" w:lineRule="auto"/>
        <w:tabs>
          <w:tab w:leader="none" w:pos="11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unamortized deferred financing costs related to the revolving credit facility of the 2020 Credit Facilities of $15,905 and $26,885 are included in long-term prepayments, deposits and other assets in the accompanying consolidated balance sheets, respectively.</w:t>
      </w:r>
    </w:p>
    <w:p>
      <w:pPr>
        <w:spacing w:after="0" w:line="78" w:lineRule="exact"/>
        <w:rPr>
          <w:rFonts w:ascii="Times New Roman" w:cs="Times New Roman" w:eastAsia="Times New Roman" w:hAnsi="Times New Roman"/>
          <w:sz w:val="16"/>
          <w:szCs w:val="16"/>
          <w:color w:val="auto"/>
        </w:rPr>
      </w:pPr>
    </w:p>
    <w:p>
      <w:pPr>
        <w:ind w:left="1120" w:right="360" w:hanging="410"/>
        <w:spacing w:after="0" w:line="268" w:lineRule="auto"/>
        <w:tabs>
          <w:tab w:leader="none" w:pos="11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unamortized deferred financing costs related to the 2016 SC Revolving Credit Facility of the 2016 Studio City Credit Facilities of $278 and $333 are included in long-term prepayments, deposits and other assets in the accompanying consolidated balance sheets, respectively.</w:t>
      </w:r>
    </w:p>
    <w:p>
      <w:pPr>
        <w:spacing w:after="0" w:line="278" w:lineRule="exact"/>
        <w:rPr>
          <w:rFonts w:ascii="Times New Roman" w:cs="Times New Roman" w:eastAsia="Times New Roman" w:hAnsi="Times New Roman"/>
          <w:sz w:val="16"/>
          <w:szCs w:val="16"/>
          <w:color w:val="auto"/>
        </w:rPr>
      </w:pPr>
    </w:p>
    <w:p>
      <w:pPr>
        <w:ind w:left="960" w:hanging="242"/>
        <w:spacing w:after="0"/>
        <w:tabs>
          <w:tab w:leader="none" w:pos="960" w:val="left"/>
        </w:tabs>
        <w:numPr>
          <w:ilvl w:val="1"/>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2017 4.875% Senior Notes</w:t>
      </w:r>
    </w:p>
    <w:p>
      <w:pPr>
        <w:spacing w:after="0" w:line="120" w:lineRule="exact"/>
        <w:rPr>
          <w:sz w:val="20"/>
          <w:szCs w:val="20"/>
          <w:color w:val="auto"/>
        </w:rPr>
      </w:pPr>
    </w:p>
    <w:p>
      <w:pPr>
        <w:ind w:left="720" w:right="220"/>
        <w:spacing w:after="0" w:line="276" w:lineRule="auto"/>
        <w:rPr>
          <w:sz w:val="20"/>
          <w:szCs w:val="20"/>
          <w:color w:val="auto"/>
        </w:rPr>
      </w:pPr>
      <w:r>
        <w:rPr>
          <w:rFonts w:ascii="Times New Roman" w:cs="Times New Roman" w:eastAsia="Times New Roman" w:hAnsi="Times New Roman"/>
          <w:sz w:val="17"/>
          <w:szCs w:val="17"/>
          <w:color w:val="auto"/>
        </w:rPr>
        <w:t>On June 6, 2017, Melco Resorts Finance Limited (“Melco Resorts Finance”), a subsidiary of Melco, issued $650,000 in aggregate principal amount of 4.875% senior notes due June 6, 2025 at an issue price of 100% of the principal amount (the “First 2017 4.875% Senior Notes”); and on July 3, 2017, Melco Resorts Finance further issued $350,000 in aggregate principal amount of 4.875% senior notes due June 6, 2025 at</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960"/>
          </w:cols>
          <w:pgMar w:left="320" w:top="473" w:right="6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2017 4.875% Senior Notes</w:t>
      </w:r>
      <w:r>
        <w:rPr>
          <w:rFonts w:ascii="Times New Roman" w:cs="Times New Roman" w:eastAsia="Times New Roman" w:hAnsi="Times New Roman"/>
          <w:sz w:val="17"/>
          <w:szCs w:val="17"/>
          <w:color w:val="auto"/>
        </w:rPr>
        <w:t xml:space="preserve"> - continued</w:t>
      </w:r>
    </w:p>
    <w:p>
      <w:pPr>
        <w:spacing w:after="0" w:line="120"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an issue price of 100.75% of the principal amount (the “Second 2017 4.875% Senior Notes” and together with the First 2017 4.875% Senior Notes, collectively referred to as the “2017 4.875% Senior Notes”). The interest on the 2017 4.875% Senior Notes is accrued at a rate of 4.875% per annum, payable semi-annually in arrears on June 6 and December 6 of each year. The 2017 4.875%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First 2017 4.875% Senior Notes were used to partly fund the redemption of the previous senior notes of Melco Resorts Finance and the net proceeds from the offering of the Second 2017 4.875% Senior Notes were used to fully repay the 2015 Revolving Credit Facility (as defined below).</w:t>
      </w:r>
    </w:p>
    <w:p>
      <w:pPr>
        <w:spacing w:after="0" w:line="73" w:lineRule="exact"/>
        <w:rPr>
          <w:sz w:val="20"/>
          <w:szCs w:val="20"/>
          <w:color w:val="auto"/>
        </w:rPr>
      </w:pPr>
    </w:p>
    <w:p>
      <w:pPr>
        <w:ind w:left="720" w:right="20"/>
        <w:spacing w:after="0" w:line="264" w:lineRule="auto"/>
        <w:rPr>
          <w:sz w:val="20"/>
          <w:szCs w:val="20"/>
          <w:color w:val="auto"/>
        </w:rPr>
      </w:pPr>
      <w:r>
        <w:rPr>
          <w:rFonts w:ascii="Times New Roman" w:cs="Times New Roman" w:eastAsia="Times New Roman" w:hAnsi="Times New Roman"/>
          <w:sz w:val="17"/>
          <w:szCs w:val="17"/>
          <w:color w:val="auto"/>
        </w:rPr>
        <w:t>On or after June 6, 2020, Melco Resorts Finance has the option to redeem all or a portion of the 2017 4.875% Senior Notes at any time at fixed redemption prices that decline ratably over time. In addition, under certain circumstances and subject to certain exceptions as more fully described in the indenture, Melco Resorts Finance has the option to redeem in whole, but not in part the 2017 4.875% Senior Notes at fixed redemption prices. In certain events that relate to a change of control or a termination of the gaming concession of Melco Resorts Macau and subject to certain exceptions as more fully described in the indenture, each holder of the 2017 4.875% Senior Notes will have the right to require Melco Resorts Finance to repurchase all or any part of such holder’s 2017 4.875% Senior Notes at a fixed redemption price.</w:t>
      </w:r>
    </w:p>
    <w:p>
      <w:pPr>
        <w:spacing w:after="0" w:line="69" w:lineRule="exact"/>
        <w:rPr>
          <w:sz w:val="20"/>
          <w:szCs w:val="20"/>
          <w:color w:val="auto"/>
        </w:rPr>
      </w:pPr>
    </w:p>
    <w:p>
      <w:pPr>
        <w:ind w:left="720" w:right="80"/>
        <w:spacing w:after="0" w:line="276" w:lineRule="auto"/>
        <w:rPr>
          <w:sz w:val="20"/>
          <w:szCs w:val="20"/>
          <w:color w:val="auto"/>
        </w:rPr>
      </w:pPr>
      <w:r>
        <w:rPr>
          <w:rFonts w:ascii="Times New Roman" w:cs="Times New Roman" w:eastAsia="Times New Roman" w:hAnsi="Times New Roman"/>
          <w:sz w:val="17"/>
          <w:szCs w:val="17"/>
          <w:color w:val="auto"/>
        </w:rPr>
        <w:t>The indenture governing the 2017 4.875% Senior Notes contains certain covenants that, subject to certain exceptions and conditions, limit the ability of Melco Resorts Finance to, among other things, effect a consolidation or merger or sell assets. The indenture governing the 2017 4.875% Senior Notes also contains conditions and events of default customary for such financings.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2019 5.250% Senior Notes</w:t>
      </w:r>
    </w:p>
    <w:p>
      <w:pPr>
        <w:spacing w:after="0" w:line="120" w:lineRule="exact"/>
        <w:rPr>
          <w:sz w:val="20"/>
          <w:szCs w:val="20"/>
          <w:color w:val="auto"/>
        </w:rPr>
      </w:pPr>
    </w:p>
    <w:p>
      <w:pPr>
        <w:ind w:left="720" w:right="80"/>
        <w:spacing w:after="0" w:line="262" w:lineRule="auto"/>
        <w:rPr>
          <w:sz w:val="20"/>
          <w:szCs w:val="20"/>
          <w:color w:val="auto"/>
        </w:rPr>
      </w:pPr>
      <w:r>
        <w:rPr>
          <w:rFonts w:ascii="Times New Roman" w:cs="Times New Roman" w:eastAsia="Times New Roman" w:hAnsi="Times New Roman"/>
          <w:sz w:val="17"/>
          <w:szCs w:val="17"/>
          <w:color w:val="auto"/>
        </w:rPr>
        <w:t>On April 26, 2019, Melco Resorts Finance issued $500,000 in aggregate principal amount of 5.250% senior notes due April 26, 2026 at an issue price of 100% of the principal amount (the “2019 5.250% Senior Notes”). The interest on the 2019 5.250% Senior Notes is accrued at a rate of 5.250% per annum, payable semi-annually in arrears on April 26 and October 26 of each year. The 2019 5.250%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2019 5.250% Senior Notes were used to partially repay the 2015 Revolving Credit Facility.</w:t>
      </w:r>
    </w:p>
    <w:p>
      <w:pPr>
        <w:spacing w:after="0" w:line="70" w:lineRule="exact"/>
        <w:rPr>
          <w:sz w:val="20"/>
          <w:szCs w:val="20"/>
          <w:color w:val="auto"/>
        </w:rPr>
      </w:pPr>
    </w:p>
    <w:p>
      <w:pPr>
        <w:ind w:left="720" w:right="40"/>
        <w:spacing w:after="0" w:line="276" w:lineRule="auto"/>
        <w:rPr>
          <w:sz w:val="20"/>
          <w:szCs w:val="20"/>
          <w:color w:val="auto"/>
        </w:rPr>
      </w:pPr>
      <w:r>
        <w:rPr>
          <w:rFonts w:ascii="Times New Roman" w:cs="Times New Roman" w:eastAsia="Times New Roman" w:hAnsi="Times New Roman"/>
          <w:sz w:val="17"/>
          <w:szCs w:val="17"/>
          <w:color w:val="auto"/>
        </w:rPr>
        <w:t>On or after April 26, 2022, Melco Resorts Finance has the option to redeem all or a portion of the 2019 5.250% Senior Notes at any time at fixed redemption prices that decline ratably over time. In addition, under certain circumstances and subject to certain exceptions as more fully described in the indenture,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0960"/>
          </w:cols>
          <w:pgMar w:left="320" w:top="472" w:right="6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2019 5.250% Senior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40"/>
        <w:spacing w:after="0" w:line="269" w:lineRule="auto"/>
        <w:rPr>
          <w:sz w:val="20"/>
          <w:szCs w:val="20"/>
          <w:color w:val="auto"/>
        </w:rPr>
      </w:pPr>
      <w:r>
        <w:rPr>
          <w:rFonts w:ascii="Times New Roman" w:cs="Times New Roman" w:eastAsia="Times New Roman" w:hAnsi="Times New Roman"/>
          <w:sz w:val="17"/>
          <w:szCs w:val="17"/>
          <w:color w:val="auto"/>
        </w:rPr>
        <w:t>Melco Resorts Finance has the option to redeem in whole, but not in part the 2019 5.250% Senior Notes at fixed redemption prices. In certain events that relate to a change of control or a termination of the gaming concession of Melco Resorts Macau and subject to certain exceptions as more fully described in the indenture, each holder of the 2019 5.250% Senior Notes will have the right to require Melco Resorts Finance to repurchase all or any part of such holder’s 2019 5.250% Senior Notes at a fixed redemption price.</w:t>
      </w:r>
    </w:p>
    <w:p>
      <w:pPr>
        <w:spacing w:after="0" w:line="65"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The indenture governing the 2019 5.250% Senior Notes contains certain covenants that, subject to certain exceptions and conditions, limit the ability of Melco Resorts Finance to, among other things, effect a consolidation or merger or sell assets. The indenture governing the 2019 5.250% Senior Notes also contains conditions and events of default customary for such financings.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2019 5.625% Senior Notes</w:t>
      </w:r>
    </w:p>
    <w:p>
      <w:pPr>
        <w:spacing w:after="0" w:line="120" w:lineRule="exact"/>
        <w:rPr>
          <w:sz w:val="20"/>
          <w:szCs w:val="20"/>
          <w:color w:val="auto"/>
        </w:rPr>
      </w:pPr>
    </w:p>
    <w:p>
      <w:pPr>
        <w:ind w:left="720" w:right="60"/>
        <w:spacing w:after="0" w:line="262" w:lineRule="auto"/>
        <w:rPr>
          <w:sz w:val="20"/>
          <w:szCs w:val="20"/>
          <w:color w:val="auto"/>
        </w:rPr>
      </w:pPr>
      <w:r>
        <w:rPr>
          <w:rFonts w:ascii="Times New Roman" w:cs="Times New Roman" w:eastAsia="Times New Roman" w:hAnsi="Times New Roman"/>
          <w:sz w:val="17"/>
          <w:szCs w:val="17"/>
          <w:color w:val="auto"/>
        </w:rPr>
        <w:t>On July 17, 2019, Melco Resorts Finance issued $600,000 in aggregate principal amount of 5.625% senior notes due July 17, 2027 at an issue price of 100% of the principal amount (the “2019 5.625% Senior Notes”). The interest on the 2019 5.625% Senior Notes is accrued at a rate of 5.625% per annum, payable semi-annually in arrears on January 17 and July 17 of each year. The 2019 5.625%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2019 5.625% Senior Notes were used to partially repay the 2015 Revolving Credit Facility.</w:t>
      </w:r>
    </w:p>
    <w:p>
      <w:pPr>
        <w:spacing w:after="0" w:line="70"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7"/>
          <w:szCs w:val="17"/>
          <w:color w:val="auto"/>
        </w:rPr>
        <w:t>On or after July 17, 2022, Melco Resorts Finance has the option to redeem all or a portion of the 2019 5.625% Senior Notes at any time at fixed redemption prices that decline ratably over time. In addition, under certain circumstances and subject to certain exceptions as more fully described in the indenture, Melco Resorts Finance has the option to redeem in whole, but not in part the 2019 5.625% Senior Notes at fixed redemption prices. In certain events that relate to a change of control or a termination of the gaming concession of Melco Resorts Macau and subject to certain exceptions as more fully described in the indenture, each holder of the 2019 5.625% Senior Notes will have the right to require Melco Resorts Finance to repurchase all or any part of such holder’s 2019 5.625% Senior Notes at a fixed redemption price.</w:t>
      </w:r>
    </w:p>
    <w:p>
      <w:pPr>
        <w:spacing w:after="0" w:line="69"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The indenture governing the 2019 5.625% Senior Notes contains certain covenants that, subject to certain exceptions and conditions, limit the ability of Melco Resorts Finance to, among other things, effect a consolidation or merger or sell assets. The indenture governing the 2019 5.625% Senior Notes also contains conditions and events of default customary for such financings.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2019 5.375% Senior Notes</w:t>
      </w:r>
    </w:p>
    <w:p>
      <w:pPr>
        <w:spacing w:after="0" w:line="120" w:lineRule="exact"/>
        <w:rPr>
          <w:sz w:val="20"/>
          <w:szCs w:val="20"/>
          <w:color w:val="auto"/>
        </w:rPr>
      </w:pPr>
    </w:p>
    <w:p>
      <w:pPr>
        <w:ind w:left="720" w:right="40"/>
        <w:spacing w:after="0" w:line="276" w:lineRule="auto"/>
        <w:rPr>
          <w:sz w:val="20"/>
          <w:szCs w:val="20"/>
          <w:color w:val="auto"/>
        </w:rPr>
      </w:pPr>
      <w:r>
        <w:rPr>
          <w:rFonts w:ascii="Times New Roman" w:cs="Times New Roman" w:eastAsia="Times New Roman" w:hAnsi="Times New Roman"/>
          <w:sz w:val="17"/>
          <w:szCs w:val="17"/>
          <w:color w:val="auto"/>
        </w:rPr>
        <w:t>On December 4, 2019, Melco Resorts Finance issued $900,000 in aggregate principal amount of 5.375% senior notes due December 4, 2029 at an issue price of 100% of the principal amount (the “First 2019 5.375% Senior Notes”); and on January 21, 2021, Melco Resorts Finance further issued $250,000 in</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940"/>
          </w:cols>
          <w:pgMar w:left="320" w:top="473" w:right="6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2019 5.375% Senior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00"/>
        <w:spacing w:after="0" w:line="267" w:lineRule="auto"/>
        <w:rPr>
          <w:sz w:val="20"/>
          <w:szCs w:val="20"/>
          <w:color w:val="auto"/>
        </w:rPr>
      </w:pPr>
      <w:r>
        <w:rPr>
          <w:rFonts w:ascii="Times New Roman" w:cs="Times New Roman" w:eastAsia="Times New Roman" w:hAnsi="Times New Roman"/>
          <w:sz w:val="17"/>
          <w:szCs w:val="17"/>
          <w:color w:val="auto"/>
        </w:rPr>
        <w:t>aggregate principal amount of 5.375% senior notes due December 4, 2029 at an issue price of 103.25% of the principal amount (the “Additional 2019 5.375% Senior Notes” and together with the First 2019 5.375% Senior Notes, the “2019 5.375% Senior Notes”). The Additional 2019</w:t>
      </w:r>
    </w:p>
    <w:p>
      <w:pPr>
        <w:spacing w:after="0" w:line="1" w:lineRule="exact"/>
        <w:rPr>
          <w:sz w:val="20"/>
          <w:szCs w:val="20"/>
          <w:color w:val="auto"/>
        </w:rPr>
      </w:pPr>
    </w:p>
    <w:p>
      <w:pPr>
        <w:ind w:left="720" w:right="40"/>
        <w:spacing w:after="0" w:line="258" w:lineRule="auto"/>
        <w:rPr>
          <w:sz w:val="20"/>
          <w:szCs w:val="20"/>
          <w:color w:val="auto"/>
        </w:rPr>
      </w:pPr>
      <w:r>
        <w:rPr>
          <w:rFonts w:ascii="Times New Roman" w:cs="Times New Roman" w:eastAsia="Times New Roman" w:hAnsi="Times New Roman"/>
          <w:sz w:val="17"/>
          <w:szCs w:val="17"/>
          <w:color w:val="auto"/>
        </w:rPr>
        <w:t>5.375% Senior Notes are consolidated and form a single series with the First 2019 5.375% Senior Notes. The interest on the 2019 5.375% Senior Notes is accrued at a rate of 5.375% per annum, payable semi-annually in arrears on June 4 and December 4 of each year. The 2019 5.375%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First 2019 5.375% Senior Notes were used to repay the outstanding borrowing of the 2015 Revolving Credit Facility in full and to partially prepay the 2015 Term Loan Facility (as defined below). The net proceeds from the offering of the Additional 2019 5.375% Senior Notes were used to fully repay the 2020 Credit Facilities (as defined below) in January 2021.</w:t>
      </w:r>
    </w:p>
    <w:p>
      <w:pPr>
        <w:spacing w:after="0" w:line="77" w:lineRule="exact"/>
        <w:rPr>
          <w:sz w:val="20"/>
          <w:szCs w:val="20"/>
          <w:color w:val="auto"/>
        </w:rPr>
      </w:pPr>
    </w:p>
    <w:p>
      <w:pPr>
        <w:ind w:left="720" w:right="440"/>
        <w:spacing w:after="0" w:line="267" w:lineRule="auto"/>
        <w:rPr>
          <w:sz w:val="20"/>
          <w:szCs w:val="20"/>
          <w:color w:val="auto"/>
        </w:rPr>
      </w:pPr>
      <w:r>
        <w:rPr>
          <w:rFonts w:ascii="Times New Roman" w:cs="Times New Roman" w:eastAsia="Times New Roman" w:hAnsi="Times New Roman"/>
          <w:sz w:val="17"/>
          <w:szCs w:val="17"/>
          <w:color w:val="auto"/>
        </w:rPr>
        <w:t>Melco Resorts Finance has the option to redeem all or a portion of the 2019 5.375% Senior Notes at any time prior to December 4, 2024 at a “make-whole” redemption price. On or after December 4, 2024, Melco Resorts Finance has the option to redeem all or a portion of the 2019</w:t>
      </w:r>
    </w:p>
    <w:p>
      <w:pPr>
        <w:spacing w:after="0" w:line="1"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17"/>
          <w:szCs w:val="17"/>
          <w:color w:val="auto"/>
        </w:rPr>
        <w:t>5.375% Senior Notes at any time at fixed redemption prices that decline ratably over time. In addition, Melco Resorts Finance has the option to redeem up to 35% of the 2019 5.375% Senior Notes with the net cash proceeds from one or more equity offerings at a fixed redemption price at any time prior to December 4, 2024. Further, under certain circumstances and subject to certain exceptions as more fully described in the indenture, Melco Resorts Finance also has the option to redeem in whole, but not in part the 2019 5.375% Senior Notes at fixed redemption prices. In certain events that relate to a change of control or a termination of the gaming concession of Melco Resorts Macau and subject to certain exceptions as more fully described in the indenture, each holder of the 2019 5.375% Senior Notes will have the right to require Melco Resorts Finance to repurchase all or any part of such holder’s 2019 5.375% Senior Notes at a fixed redemption price.</w:t>
      </w:r>
    </w:p>
    <w:p>
      <w:pPr>
        <w:spacing w:after="0" w:line="73" w:lineRule="exact"/>
        <w:rPr>
          <w:sz w:val="20"/>
          <w:szCs w:val="20"/>
          <w:color w:val="auto"/>
        </w:rPr>
      </w:pPr>
    </w:p>
    <w:p>
      <w:pPr>
        <w:ind w:left="720" w:right="80"/>
        <w:spacing w:after="0" w:line="276" w:lineRule="auto"/>
        <w:rPr>
          <w:sz w:val="20"/>
          <w:szCs w:val="20"/>
          <w:color w:val="auto"/>
        </w:rPr>
      </w:pPr>
      <w:r>
        <w:rPr>
          <w:rFonts w:ascii="Times New Roman" w:cs="Times New Roman" w:eastAsia="Times New Roman" w:hAnsi="Times New Roman"/>
          <w:sz w:val="17"/>
          <w:szCs w:val="17"/>
          <w:color w:val="auto"/>
        </w:rPr>
        <w:t>The indenture governing the 2019 5.375% Senior Notes contains certain covenants that, subject to certain exceptions and conditions, limit the ability of Melco Resorts Finance to, among other things, effect a consolidation or merger or sell assets. The indenture governing the 2019 5.375% Senior Notes also contains conditions and events of default customary for such financings.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5.750% Senior Notes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On July 21, 2020, Melco Resorts Finance issued $500,000 in aggregate principal amount of 5.750% senior notes due July 21, 2028 at an issue</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price of 100% of the principal amount (the “First 2020 5.750% Senior Notes”); and on August 11, 2020, Melco Resorts Finance further issued</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$350,000 in aggregate principal amount of 5.750% senior notes due July 21, 2028 at an issue price of 101% of the principal amount (the “Second</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2020 5.750% Senior Notes” and together with the First 2020 5.750% Senior Notes, the “2020 5.750% Senior Notes”). The Second 2020 5.750%</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Senior Notes are consolidated and form a single series with the First 2020 5.750% Senior Notes. The interest on the 2020 5.750% Senior Notes is</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accrued at a rate of 5.750% per annum, payable semi-annually in arrears on January 21 and July 21 of each year and commenced on January 21,</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2021. The 2020 5.750% Senior Notes are general obligations of Melco Resorts</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960"/>
          </w:cols>
          <w:pgMar w:left="320" w:top="472" w:right="6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5.750% Senior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80"/>
        <w:spacing w:after="0" w:line="266" w:lineRule="auto"/>
        <w:rPr>
          <w:sz w:val="20"/>
          <w:szCs w:val="20"/>
          <w:color w:val="auto"/>
        </w:rPr>
      </w:pPr>
      <w:r>
        <w:rPr>
          <w:rFonts w:ascii="Times New Roman" w:cs="Times New Roman" w:eastAsia="Times New Roman" w:hAnsi="Times New Roman"/>
          <w:sz w:val="17"/>
          <w:szCs w:val="17"/>
          <w:color w:val="auto"/>
        </w:rPr>
        <w:t>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2020 5.750% Senior Notes were partially used to repay the 2020 Credit Facilities and with the remaining amount used for general corporate purposes.</w:t>
      </w:r>
    </w:p>
    <w:p>
      <w:pPr>
        <w:spacing w:after="0" w:line="67"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7"/>
          <w:szCs w:val="17"/>
          <w:color w:val="auto"/>
        </w:rPr>
        <w:t>On or after July 21, 2023, Melco Resorts Finance has the option to redeem all or a portion of the 2020 5.750% Senior Notes at any time at fixed redemption prices that decline ratably over time. In addition, under certain circumstances and subject to certain exceptions as more fully described in the indenture, Melco Resorts Finance has the option to redeem in whole, but not in part the 2020 5.750% Senior Notes at fixed redemption prices. In certain events that relate to a change of control or a termination of the gaming concession of Melco Resorts Macau and subject to certain exceptions as more fully described in the indenture, each holder of the 2020 5.750% Senior Notes will have the right to require Melco Resorts Finance to repurchase all or any part of such holder’s 2020 5.750% Senior Notes at a fixed redemption price.</w:t>
      </w:r>
    </w:p>
    <w:p>
      <w:pPr>
        <w:spacing w:after="0" w:line="69"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The indenture governing the 2020 5.750% Senior Notes contains certain covenants that, subject to certain exceptions and conditions, limit the ability of Melco Resorts Finance to, among other things, effect a consolidation or merger or sell assets. The indenture governing the 2020 5.750% Senior Notes also contains conditions and events of default customary for such financings.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Studio City Notes</w:t>
      </w:r>
    </w:p>
    <w:p>
      <w:pPr>
        <w:spacing w:after="0" w:line="120"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On July 15, 2020, Studio City Finance Limited (“Studio City Finance”), a subsidiary of Melco, issued $500,000 in aggregate principal amount of 6.000% senior notes due July 15, 2025 at an issue price of 100% of the principal amount (the “2020 6.000% SC Notes”) and $500,000 in aggregate principal amount of 6.500% senior notes due January 15, 2028 at an issue price of 100% of the principal amount (the “2020 6.500% SC Notes” and together with 2020 6.000% SC Notes, the “2020 Studio City Notes”). The interest on the 2020 6.000% SC Notes and 2020 6.500% SC Notes is accrued at a rate of 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73"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The net proceeds from the offering of the 2020 Studio City Notes were partially used to redeem in full the previous senior secured notes of Studio City Company Limited (“Studio City Company”), a subsidiary of Melco and with the remaining amount used for the capital expenditures of the remaining development project at Studio City.</w:t>
      </w:r>
    </w:p>
    <w:p>
      <w:pPr>
        <w:spacing w:after="0" w:line="57" w:lineRule="exact"/>
        <w:rPr>
          <w:sz w:val="20"/>
          <w:szCs w:val="20"/>
          <w:color w:val="auto"/>
        </w:rPr>
      </w:pPr>
    </w:p>
    <w:p>
      <w:pPr>
        <w:ind w:left="720" w:right="100"/>
        <w:spacing w:after="0" w:line="276" w:lineRule="auto"/>
        <w:rPr>
          <w:sz w:val="20"/>
          <w:szCs w:val="20"/>
          <w:color w:val="auto"/>
        </w:rPr>
      </w:pPr>
      <w:r>
        <w:rPr>
          <w:rFonts w:ascii="Times New Roman" w:cs="Times New Roman" w:eastAsia="Times New Roman" w:hAnsi="Times New Roman"/>
          <w:sz w:val="17"/>
          <w:szCs w:val="17"/>
          <w:color w:val="auto"/>
        </w:rPr>
        <w:t>All of the existing subsidiaries of Studio City Finance and any other future restricted subsidiaries that provide guarantees of certain specified indebtedness (including the 2016 Studio City Credit Facilities as defined below) (the “2020 Studio City Notes Guarantors”) jointly, severally and unconditionally guarantee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940"/>
          </w:cols>
          <w:pgMar w:left="320" w:top="473" w:right="6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20"/>
        <w:spacing w:after="0" w:line="266" w:lineRule="auto"/>
        <w:rPr>
          <w:sz w:val="20"/>
          <w:szCs w:val="20"/>
          <w:color w:val="auto"/>
        </w:rPr>
      </w:pPr>
      <w:r>
        <w:rPr>
          <w:rFonts w:ascii="Times New Roman" w:cs="Times New Roman" w:eastAsia="Times New Roman" w:hAnsi="Times New Roman"/>
          <w:sz w:val="17"/>
          <w:szCs w:val="17"/>
          <w:color w:val="auto"/>
        </w:rPr>
        <w:t>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w:t>
      </w:r>
    </w:p>
    <w:p>
      <w:pPr>
        <w:spacing w:after="0" w:line="67"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On or after July 15, 2022, Studio City Finance has the option to redeem all or a portion of the 2020 6.000% SC Notes at any time at fixed redemption prices that decline ratably over time. On or after July 15, 2023, Studio City Finance has the option to redeem all or a portion of the 2020 6.500% SC Notes at any time at fixed redemption prices that decline ratably over time. In addition, under certain circumstances and subject to certain exceptions as more fully described in the indenture governing the 2020 Studio City Notes, Studio City Finance has the option to redeem in whole, but not in part the 2020 Studio City Notes at fixed redemption prices. In certain events that relate to a change of control or a termination of the gaming concession of Melco Resorts Macau and subject to certain exceptions as more fully described in the indenture governing the 2020 Studio City Notes, each holder of the 2020 Studio City Notes will have the right to require Studio City Finance to repurchase all or any part of such holder’s 2020 Studio City Notes at a fixed redemption price.</w:t>
      </w:r>
    </w:p>
    <w:p>
      <w:pPr>
        <w:spacing w:after="0" w:line="70" w:lineRule="exact"/>
        <w:rPr>
          <w:sz w:val="20"/>
          <w:szCs w:val="20"/>
          <w:color w:val="auto"/>
        </w:rPr>
      </w:pPr>
    </w:p>
    <w:p>
      <w:pPr>
        <w:ind w:left="720" w:right="120"/>
        <w:spacing w:after="0" w:line="261" w:lineRule="auto"/>
        <w:rPr>
          <w:sz w:val="20"/>
          <w:szCs w:val="20"/>
          <w:color w:val="auto"/>
        </w:rPr>
      </w:pPr>
      <w:r>
        <w:rPr>
          <w:rFonts w:ascii="Times New Roman" w:cs="Times New Roman" w:eastAsia="Times New Roman" w:hAnsi="Times New Roman"/>
          <w:sz w:val="17"/>
          <w:szCs w:val="17"/>
          <w:color w:val="auto"/>
        </w:rPr>
        <w:t>On November 9, 2023, Studio City Finance initiated a cash tender offer (the “Tender Offer”) which expired on December 8, 2023, subject to the terms and conditions, to purchase for up to an aggregate principal amount of $75,000 of the 2020 6.000% SC Notes. On November 24, 2023, Studio City Finance amended and increased the aggregate principal amount of the Tender Offer of the 2020 6.000% SC Notes from $75,000 to $100,000 (the maximum tender amount), with all other terms and conditions of the Tender Offer remained unchanged as a result of an aggregate principal amount of $317,461 of the 2020 6.000% SC Notes was tendered on the early tender date on November 22, 2023. Studio City Finance accepted for purchase an aggregate principal amount of $100,000 of the 2020 6.000% SC Notes that were validly tendered (and not validly withdrawn) pursuant to the Tender Offer, as amended, and settled the purchase on November 28, 2023. In connection with such purchase, the Company recorded a gain on extinguishment of debt of $1,495 during the year ended December 31, 2023. As of December 31, 2023, the outstanding principal amount of the 2020 6.000% SC Notes was $397,000.</w:t>
      </w:r>
    </w:p>
    <w:p>
      <w:pPr>
        <w:spacing w:after="0" w:line="73" w:lineRule="exact"/>
        <w:rPr>
          <w:sz w:val="20"/>
          <w:szCs w:val="20"/>
          <w:color w:val="auto"/>
        </w:rPr>
      </w:pPr>
    </w:p>
    <w:p>
      <w:pPr>
        <w:ind w:left="720" w:right="40"/>
        <w:spacing w:after="0" w:line="262" w:lineRule="auto"/>
        <w:rPr>
          <w:sz w:val="20"/>
          <w:szCs w:val="20"/>
          <w:color w:val="auto"/>
        </w:rPr>
      </w:pPr>
      <w:r>
        <w:rPr>
          <w:rFonts w:ascii="Times New Roman" w:cs="Times New Roman" w:eastAsia="Times New Roman" w:hAnsi="Times New Roman"/>
          <w:sz w:val="17"/>
          <w:szCs w:val="17"/>
          <w:color w:val="auto"/>
        </w:rPr>
        <w:t>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720" w:right="620" w:hanging="2"/>
        <w:spacing w:after="0" w:line="273" w:lineRule="auto"/>
        <w:tabs>
          <w:tab w:leader="none" w:pos="1112"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consolidation or merger. The indenture governing the 2020 Studio City Notes also contains conditions and events of default customary for such financings.</w:t>
      </w:r>
    </w:p>
    <w:p>
      <w:pPr>
        <w:spacing w:after="0" w:line="60" w:lineRule="exact"/>
        <w:rPr>
          <w:sz w:val="20"/>
          <w:szCs w:val="20"/>
          <w:color w:val="auto"/>
        </w:rPr>
      </w:pPr>
    </w:p>
    <w:p>
      <w:pPr>
        <w:ind w:left="720" w:right="360"/>
        <w:spacing w:after="0" w:line="276" w:lineRule="auto"/>
        <w:rPr>
          <w:sz w:val="20"/>
          <w:szCs w:val="20"/>
          <w:color w:val="auto"/>
        </w:rPr>
      </w:pPr>
      <w:r>
        <w:rPr>
          <w:rFonts w:ascii="Times New Roman" w:cs="Times New Roman" w:eastAsia="Times New Roman" w:hAnsi="Times New Roman"/>
          <w:sz w:val="17"/>
          <w:szCs w:val="17"/>
          <w:color w:val="auto"/>
        </w:rPr>
        <w:t>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w:t>
      </w:r>
    </w:p>
    <w:p>
      <w:pPr>
        <w:spacing w:after="0" w:line="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900"/>
          </w:cols>
          <w:pgMar w:left="320" w:top="473" w:right="6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420"/>
        <w:spacing w:after="0" w:line="295" w:lineRule="auto"/>
        <w:rPr>
          <w:sz w:val="20"/>
          <w:szCs w:val="20"/>
          <w:color w:val="auto"/>
        </w:rPr>
      </w:pPr>
      <w:r>
        <w:rPr>
          <w:rFonts w:ascii="Times New Roman" w:cs="Times New Roman" w:eastAsia="Times New Roman" w:hAnsi="Times New Roman"/>
          <w:sz w:val="17"/>
          <w:szCs w:val="17"/>
          <w:color w:val="auto"/>
        </w:rPr>
        <w:t>subject to certain exceptions and conditions. As of December 31, 2023, the net assets of Studio City Finance and its restricted subsidiaries of approximately $740,000 were restricted from being distributed under the terms of the 2020 Studio City Notes.</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2021 5.000% Studio City Notes</w:t>
      </w:r>
    </w:p>
    <w:p>
      <w:pPr>
        <w:spacing w:after="0" w:line="120" w:lineRule="exact"/>
        <w:rPr>
          <w:sz w:val="20"/>
          <w:szCs w:val="20"/>
          <w:color w:val="auto"/>
        </w:rPr>
      </w:pPr>
    </w:p>
    <w:p>
      <w:pPr>
        <w:ind w:left="720" w:right="40"/>
        <w:spacing w:after="0" w:line="261" w:lineRule="auto"/>
        <w:rPr>
          <w:sz w:val="20"/>
          <w:szCs w:val="20"/>
          <w:color w:val="auto"/>
        </w:rPr>
      </w:pPr>
      <w:r>
        <w:rPr>
          <w:rFonts w:ascii="Times New Roman" w:cs="Times New Roman" w:eastAsia="Times New Roman" w:hAnsi="Times New Roman"/>
          <w:sz w:val="17"/>
          <w:szCs w:val="17"/>
          <w:color w:val="auto"/>
        </w:rPr>
        <w:t>On January 14, 2021, Studio City Finance issued $750,000 in aggregate principal amount of 5.000% senior notes due January 15, 2029 at an issue price of 100% of the principal amount (the “First 2021 5.000% Studio City Notes”); and on May 20, 2021, Studio City Finance further issued $350,000 in aggregate principal amount of 5.000% senior notes due January 15, 2029 at an issue price of 101.50% of the principal amount (the “Additional 2021 5.000% Studio City Notes” and together with the First 2021 5.000% Studio City Notes, the “2021 5.000% Studio City Notes”). The Additional 2021 5.000% Studio City Notes are consolidated and form a single series with the First 2021 5.000% Studio City Notes. The interest on the 2021 5.000% Studio City Notes is accrued at a rate of 5.000% per annum, payable semi-annually in arrears on January 15 and July 15 of each year and commenced on July 15, 2021. The 2021 5.000%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70" w:lineRule="exact"/>
        <w:rPr>
          <w:sz w:val="20"/>
          <w:szCs w:val="20"/>
          <w:color w:val="auto"/>
        </w:rPr>
      </w:pPr>
    </w:p>
    <w:p>
      <w:pPr>
        <w:ind w:left="720" w:right="300"/>
        <w:spacing w:after="0" w:line="276" w:lineRule="auto"/>
        <w:rPr>
          <w:sz w:val="20"/>
          <w:szCs w:val="20"/>
          <w:color w:val="auto"/>
        </w:rPr>
      </w:pPr>
      <w:r>
        <w:rPr>
          <w:rFonts w:ascii="Times New Roman" w:cs="Times New Roman" w:eastAsia="Times New Roman" w:hAnsi="Times New Roman"/>
          <w:sz w:val="17"/>
          <w:szCs w:val="17"/>
          <w:color w:val="auto"/>
        </w:rPr>
        <w:t>The net proceeds from the offering of the 2021 5.000% Studio City Notes were partially used to fund the conditional tender offer and the remaining outstanding balance with accrued interest of previous senior notes of Studio City Finance in February 2021; and with the remaining balance to partially fund the capital expenditures of the remaining development project at Studio City and for general corporate purposes.</w:t>
      </w:r>
    </w:p>
    <w:p>
      <w:pPr>
        <w:spacing w:after="0" w:line="57" w:lineRule="exact"/>
        <w:rPr>
          <w:sz w:val="20"/>
          <w:szCs w:val="20"/>
          <w:color w:val="auto"/>
        </w:rPr>
      </w:pPr>
    </w:p>
    <w:p>
      <w:pPr>
        <w:ind w:left="720" w:right="320"/>
        <w:spacing w:after="0" w:line="264" w:lineRule="auto"/>
        <w:rPr>
          <w:sz w:val="20"/>
          <w:szCs w:val="20"/>
          <w:color w:val="auto"/>
        </w:rPr>
      </w:pPr>
      <w:r>
        <w:rPr>
          <w:rFonts w:ascii="Times New Roman" w:cs="Times New Roman" w:eastAsia="Times New Roman" w:hAnsi="Times New Roman"/>
          <w:sz w:val="17"/>
          <w:szCs w:val="17"/>
          <w:color w:val="auto"/>
        </w:rPr>
        <w:t>All of the existing subsidiaries of Studio City Finance and any other future restricted subsidiaries that provide guarantees of certain specified indebtedness (including the 2016 Studio City Credit Facilities) (the “2021 5.000% Studio City Notes Guarantors”) jointly, severally and unconditionally guarantee the 2021 5.000% Studio City Notes on a senior basis (the “2021 5.000% Studio City Notes Guarantees”). The 2021</w:t>
      </w:r>
    </w:p>
    <w:p>
      <w:pPr>
        <w:ind w:left="720"/>
        <w:spacing w:after="0" w:line="260" w:lineRule="auto"/>
        <w:rPr>
          <w:sz w:val="20"/>
          <w:szCs w:val="20"/>
          <w:color w:val="auto"/>
        </w:rPr>
      </w:pPr>
      <w:r>
        <w:rPr>
          <w:rFonts w:ascii="Times New Roman" w:cs="Times New Roman" w:eastAsia="Times New Roman" w:hAnsi="Times New Roman"/>
          <w:sz w:val="17"/>
          <w:szCs w:val="17"/>
          <w:color w:val="auto"/>
        </w:rPr>
        <w:t>5.000% Studio City Notes Guarantees are general obligations of the 2021 5.000% Studio City Notes Guarantors, rank equally in right of payment to all existing and future senior indebtedness of the 2021 5.000% Studio City Notes Guarantors and rank senior in right of payment to any existing and future subordinated indebtedness of the 2021 5.000% Studio City Notes Guarantors. The 2021 5.000% Studio City Notes Guarantees are effectively subordinated to the 2021 5.000% Studio City Notes Guarantors’ obligations under all existing and any future secured indebtedness to the extent of the value of such property and assets securing such indebtedness.</w:t>
      </w:r>
    </w:p>
    <w:p>
      <w:pPr>
        <w:spacing w:after="0" w:line="73" w:lineRule="exact"/>
        <w:rPr>
          <w:sz w:val="20"/>
          <w:szCs w:val="20"/>
          <w:color w:val="auto"/>
        </w:rPr>
      </w:pPr>
    </w:p>
    <w:p>
      <w:pPr>
        <w:ind w:left="720" w:right="60"/>
        <w:spacing w:after="0" w:line="264" w:lineRule="auto"/>
        <w:rPr>
          <w:sz w:val="20"/>
          <w:szCs w:val="20"/>
          <w:color w:val="auto"/>
        </w:rPr>
      </w:pPr>
      <w:r>
        <w:rPr>
          <w:rFonts w:ascii="Times New Roman" w:cs="Times New Roman" w:eastAsia="Times New Roman" w:hAnsi="Times New Roman"/>
          <w:sz w:val="17"/>
          <w:szCs w:val="17"/>
          <w:color w:val="auto"/>
        </w:rPr>
        <w:t>At any time prior to January 15, 2024, Studio City Finance had the options i) to redeem all or a portion of the 2021 5.000% Studio City Notes at a “make-whole” redemption price; and ii) to redeem up to 35% of the 2021 5.000% Studio City Notes with the net cash proceeds of certain equity offerings at a fixed redemption price. Thereafter, Studio City Finance has the option to redeem all or a portion of the 2021 5.000% Studio City Notes at any time at fixed redemption prices that decline ratably over time. Further, under certain circumstances and subject to certain exceptions as more fully described in the indenture governing the 2021 5.000% Studio City Notes, Studio City Finance also has the option to redeem in whole, but not in part the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0940"/>
          </w:cols>
          <w:pgMar w:left="320" w:top="472" w:right="6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2021 5.000%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00"/>
        <w:spacing w:after="0" w:line="269" w:lineRule="auto"/>
        <w:rPr>
          <w:sz w:val="20"/>
          <w:szCs w:val="20"/>
          <w:color w:val="auto"/>
        </w:rPr>
      </w:pPr>
      <w:r>
        <w:rPr>
          <w:rFonts w:ascii="Times New Roman" w:cs="Times New Roman" w:eastAsia="Times New Roman" w:hAnsi="Times New Roman"/>
          <w:sz w:val="17"/>
          <w:szCs w:val="17"/>
          <w:color w:val="auto"/>
        </w:rPr>
        <w:t>2021 5.000% Studio City Notes at fixed redemption prices. In certain events that relate to a change of control or a termination of the gaming concession of Melco Resorts Macau and subject to certain exceptions as more fully described in the indenture governing the 2021 5.000% Studio City Notes, each holder of the 2021 5.000% Studio City Notes will have the right to require Studio City Finance to repurchase all or any part of such holder’s 2021 5.000% Studio City Notes at a fixed redemption price.</w:t>
      </w:r>
    </w:p>
    <w:p>
      <w:pPr>
        <w:spacing w:after="0" w:line="65"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The indenture governing the 2021 5.000%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720" w:right="80" w:hanging="2"/>
        <w:spacing w:after="0" w:line="273" w:lineRule="auto"/>
        <w:tabs>
          <w:tab w:leader="none" w:pos="111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consolidation or merger. The indenture governing the 2021 5.000% Studio City Notes also contains conditions and events of default customary for such financings.</w:t>
      </w:r>
    </w:p>
    <w:p>
      <w:pPr>
        <w:spacing w:after="0" w:line="60"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7"/>
          <w:szCs w:val="17"/>
          <w:color w:val="auto"/>
        </w:rPr>
        <w:t>There are provisions under the indenture governing the 2021 5.000%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2023, the net assets of Studio City Finance and its restricted subsidiaries of approximately $740,000 were restricted from being distributed under the terms of the 2021 5.000% Studio City Notes.</w:t>
      </w: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2022 7.000% Studio City Secured Notes</w:t>
      </w:r>
    </w:p>
    <w:p>
      <w:pPr>
        <w:spacing w:after="0" w:line="120"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17"/>
          <w:szCs w:val="17"/>
          <w:color w:val="auto"/>
        </w:rPr>
        <w:t>On February 16, 2022, Studio City Company issued $350,000 in aggregate principal amount of 7.000% senior secured notes due February 15, 2027 at an issue price of 100% of the principal amount (the “2022 7.000% Studio City Secured Notes”). The interest on the 2022 7.000% Studio City Secured Notes is accrued at a rate of 7.000% per annum, payable semi-annually in arrears on February 15 and August 15 of each year and commenced on August 15, 2022. The 2022 7.000% Studio City Secured Notes are senior secured obligations of Studio City Company, rank equally in right of payment to all existing and future senior indebtedness of Studio City Company (although any liabilities in respect of obligations under the 2016 Studio City Credit Facilities that are secured by common collateral securing the 2022 7.000% Studio City Secured Notes will have priority over the 2022 7.000%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2022 7.000% Studio City Secured Notes, to the extent of the assets securing such indebtedness. The net proceeds from the offering of the 2022 7.000% Studio City Secured Notes were used to fund the capital expenditures of the remaining development project at Studio City and for general corporate purposes.</w:t>
      </w:r>
    </w:p>
    <w:p>
      <w:pPr>
        <w:spacing w:after="0" w:line="284" w:lineRule="exact"/>
        <w:rPr>
          <w:sz w:val="20"/>
          <w:szCs w:val="20"/>
          <w:color w:val="auto"/>
        </w:rPr>
      </w:pPr>
    </w:p>
    <w:p>
      <w:pPr>
        <w:ind w:left="720" w:right="240"/>
        <w:spacing w:after="0" w:line="269" w:lineRule="auto"/>
        <w:rPr>
          <w:sz w:val="20"/>
          <w:szCs w:val="20"/>
          <w:color w:val="auto"/>
        </w:rPr>
      </w:pPr>
      <w:r>
        <w:rPr>
          <w:rFonts w:ascii="Times New Roman" w:cs="Times New Roman" w:eastAsia="Times New Roman" w:hAnsi="Times New Roman"/>
          <w:sz w:val="17"/>
          <w:szCs w:val="17"/>
          <w:color w:val="auto"/>
        </w:rPr>
        <w:t>Studio City Investments Limited (“Studio City Investments”), a subsidiary of Melco, all of its existing subsidiaries (other than Studio City Company) and any other future restricted subsidiaries that provide guarantees of certain specified indebtedness (including the 2016 Studio City Credit Facilities) (the “2022 7.000% Studio City Secured Notes Guarantors”) jointly, severally and unconditionally guarantee the 2022 7.000% Studio City Secured Notes on a senior basis (the “2022 7.000% Studio City Secured Notes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0940"/>
          </w:cols>
          <w:pgMar w:left="320" w:top="473" w:right="6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2022 7.000% Studio City Secured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60"/>
        <w:spacing w:after="0" w:line="263" w:lineRule="auto"/>
        <w:rPr>
          <w:sz w:val="20"/>
          <w:szCs w:val="20"/>
          <w:color w:val="auto"/>
        </w:rPr>
      </w:pPr>
      <w:r>
        <w:rPr>
          <w:rFonts w:ascii="Times New Roman" w:cs="Times New Roman" w:eastAsia="Times New Roman" w:hAnsi="Times New Roman"/>
          <w:sz w:val="17"/>
          <w:szCs w:val="17"/>
          <w:color w:val="auto"/>
        </w:rPr>
        <w:t>Guarantees”). The 2022 7.000% Studio City Secured Notes Guarantees are senior obligations of the 2022 7.000% Studio City Secured Notes Guarantors, rank equally in right of payment to all existing and future senior indebtedness of the 2022 7.000% Studio City Secured Notes Guarantors and rank senior in right of payment to any existing and future subordinated indebtedness of the 2022 7.000% Studio City Secured Notes Guarantors. The 2022 7.000% Studio City Secured Notes Guarantees are pari passu to the 2022 7.000% Studio City Secured Notes Guarantors’ obligations under the 2016 Studio City Credit Facilities, and effectively subordinated to any future secured indebtedness that is secured by assets that do not secure the 2022 7.000% Studio City Secured Notes and the 2022 7.000% Studio City Secured Notes Guarantees, to the extent of the value of the assets.</w:t>
      </w:r>
    </w:p>
    <w:p>
      <w:pPr>
        <w:spacing w:after="0" w:line="69"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7"/>
          <w:szCs w:val="17"/>
          <w:color w:val="auto"/>
        </w:rPr>
        <w:t>The 2022 7.000% Studio City Secured Notes are secured, on an equal basis with the 2016 Studio City Credit Facilities, by substantially all of the material assets of Studio City Investments and its subsidiaries (although obligations under the 2016 Studio City Credit Facilities that are secured by the common collateral securing the 2022 7.000% Studio City Secured Notes will have priority over the 2022 7.000% Studio City Secured Notes with respect to any proceeds received upon any enforcement action of such common collateral); in addition, in line with the 2016 Studio City Credit Facilities, the 2022 7.000% Studio City Secured Notes are also secured by certain specified bank accounts.</w:t>
      </w:r>
    </w:p>
    <w:p>
      <w:pPr>
        <w:spacing w:after="0" w:line="67" w:lineRule="exact"/>
        <w:rPr>
          <w:sz w:val="20"/>
          <w:szCs w:val="20"/>
          <w:color w:val="auto"/>
        </w:rPr>
      </w:pPr>
    </w:p>
    <w:p>
      <w:pPr>
        <w:ind w:left="720" w:right="20"/>
        <w:spacing w:after="0" w:line="261" w:lineRule="auto"/>
        <w:rPr>
          <w:sz w:val="20"/>
          <w:szCs w:val="20"/>
          <w:color w:val="auto"/>
        </w:rPr>
      </w:pPr>
      <w:r>
        <w:rPr>
          <w:rFonts w:ascii="Times New Roman" w:cs="Times New Roman" w:eastAsia="Times New Roman" w:hAnsi="Times New Roman"/>
          <w:sz w:val="17"/>
          <w:szCs w:val="17"/>
          <w:color w:val="auto"/>
        </w:rPr>
        <w:t>At any time prior to February 15, 2024, Studio City Company had the options i) to redeem all or a portion of the 2022 7.000% Studio City Secured Notes at a “make-whole” redemption price; and ii) to redeem up to 35% of the 2022 7.000% Studio City Secured Notes with the net cash proceeds of certain equity offerings at a fixed redemption price. Thereafter, Studio City Company has the option to redeem all or a portion of the 2022 7.000% Studio City Secured Notes at any time at fixed redemption prices that decline ratably over time. Further, under certain circumstances and subject to certain exceptions as more fully described in the indenture governing the 2022 7.000% Studio City Secured Notes, Studio City Company also has the option to redeem in whole, but not in part the 2022 7.000% Studio City Secured Notes at fixed redemption prices. In certain events that relate to a change of control or a termination of the gaming concession of Melco Resorts Macau and subject to certain exceptions as more fully described in the indenture governing the 2022 7.000% Studio City Secured Notes, each holder of the 2022 7.000% Studio City Secured Notes will have the right to require Studio City Company to repurchase all or any part of such holder’s 2022 7.000% Studio City Secured Notes at a fixed redemption price.</w:t>
      </w:r>
    </w:p>
    <w:p>
      <w:pPr>
        <w:spacing w:after="0" w:line="282"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The indenture governing the 2022 7.000%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2022 7.000% Studio City Secured Notes also contains conditions and events of default customary for such financings.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960"/>
          </w:cols>
          <w:pgMar w:left="320" w:top="472" w:right="6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2022 7.000% Studio City Secured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80"/>
        <w:spacing w:after="0" w:line="266" w:lineRule="auto"/>
        <w:rPr>
          <w:sz w:val="20"/>
          <w:szCs w:val="20"/>
          <w:color w:val="auto"/>
        </w:rPr>
      </w:pPr>
      <w:r>
        <w:rPr>
          <w:rFonts w:ascii="Times New Roman" w:cs="Times New Roman" w:eastAsia="Times New Roman" w:hAnsi="Times New Roman"/>
          <w:sz w:val="17"/>
          <w:szCs w:val="17"/>
          <w:color w:val="auto"/>
        </w:rPr>
        <w:t>There are provisions under the indenture governing the 2022 7.000%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2023, the net assets of Studio City Investments and its restricted subsidiaries of approximately $675,000 were restricted from being distributed under the terms of the 2022 7.000% Studio City Secured Notes.</w:t>
      </w: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(b) Credit Facilities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2015 Credit Facilities</w:t>
      </w:r>
    </w:p>
    <w:p>
      <w:pPr>
        <w:spacing w:after="0" w:line="120"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Post-cancellation of certain commitments of the term loan facility and the multicurrency revolving credit facility under prior senior secured credit facilities of Melco Resorts Macau (the “Borrower”) (the “2015 Credit Facilities”) on May 7, 2020, the available commitments under the term loan facility (the “2015 Term Loan Facility”) and the multicurrency revolving credit facility (the “2015 Revolving Credit Facility”) are HK$1,000 (equivalent to $128) each, collateralized by a bank deposit of HK$2,130 (equivalent to $273).</w:t>
      </w:r>
    </w:p>
    <w:p>
      <w:pPr>
        <w:spacing w:after="0" w:line="65" w:lineRule="exact"/>
        <w:rPr>
          <w:sz w:val="20"/>
          <w:szCs w:val="20"/>
          <w:color w:val="auto"/>
        </w:rPr>
      </w:pPr>
    </w:p>
    <w:p>
      <w:pPr>
        <w:ind w:left="720" w:right="40"/>
        <w:spacing w:after="0" w:line="262" w:lineRule="auto"/>
        <w:rPr>
          <w:sz w:val="20"/>
          <w:szCs w:val="20"/>
          <w:color w:val="auto"/>
        </w:rPr>
      </w:pPr>
      <w:r>
        <w:rPr>
          <w:rFonts w:ascii="Times New Roman" w:cs="Times New Roman" w:eastAsia="Times New Roman" w:hAnsi="Times New Roman"/>
          <w:sz w:val="17"/>
          <w:szCs w:val="17"/>
          <w:color w:val="auto"/>
        </w:rPr>
        <w:t>Compliance with certain provisions of the 2015 Credit Facilities were waived pursuant to a waiver letter from Bank of China Limited, Macau Branch (in its capacity as the sole lender under the 2015 Credit Facilities) (“BOC Macau”) to the Borrower dated April 29, 2020 (the “Waiver Letter”), as subsequently extended pursuant to extension request letters dated April 6, 2022 and December 14, 2022. Pursuant to the terms of the Waiver Letter, BOC Macau agreed, among other things, to relax the Borrower’s obligations under the 2015 Credit Facilities by way of a waiver of</w:t>
      </w:r>
    </w:p>
    <w:p>
      <w:pPr>
        <w:spacing w:after="0" w:line="1" w:lineRule="exact"/>
        <w:rPr>
          <w:sz w:val="20"/>
          <w:szCs w:val="20"/>
          <w:color w:val="auto"/>
        </w:rPr>
      </w:pPr>
    </w:p>
    <w:p>
      <w:pPr>
        <w:ind w:left="920" w:hanging="202"/>
        <w:spacing w:after="0"/>
        <w:tabs>
          <w:tab w:leader="none" w:pos="9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of the 2015 Credit Facilities; (ii) the repayment term of the 2015 Term Loan Facility; (iii) interest rate of the borrowings;</w:t>
      </w:r>
    </w:p>
    <w:p>
      <w:pPr>
        <w:spacing w:after="0" w:line="13" w:lineRule="exact"/>
        <w:rPr>
          <w:rFonts w:ascii="Times New Roman" w:cs="Times New Roman" w:eastAsia="Times New Roman" w:hAnsi="Times New Roman"/>
          <w:sz w:val="17"/>
          <w:szCs w:val="17"/>
          <w:color w:val="auto"/>
        </w:rPr>
      </w:pPr>
    </w:p>
    <w:p>
      <w:pPr>
        <w:ind w:left="720" w:right="380" w:hanging="2"/>
        <w:spacing w:after="0" w:line="265" w:lineRule="auto"/>
        <w:tabs>
          <w:tab w:leader="none" w:pos="10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comply with substantially all information undertakings, financial covenants, general undertakings and mandatory prepayment provisions; (v) the requirement to make substantially all of the representations; and (vi) certain current and/or future defaults and events of default that may arise under the terms of the 2015 Credit Facilities, subject to certain conditions and terms.</w:t>
      </w:r>
    </w:p>
    <w:p>
      <w:pPr>
        <w:spacing w:after="0" w:line="66" w:lineRule="exact"/>
        <w:rPr>
          <w:sz w:val="20"/>
          <w:szCs w:val="20"/>
          <w:color w:val="auto"/>
        </w:rPr>
      </w:pPr>
    </w:p>
    <w:p>
      <w:pPr>
        <w:ind w:left="720" w:right="80"/>
        <w:spacing w:after="0" w:line="262" w:lineRule="auto"/>
        <w:rPr>
          <w:sz w:val="20"/>
          <w:szCs w:val="20"/>
          <w:color w:val="auto"/>
        </w:rPr>
      </w:pPr>
      <w:r>
        <w:rPr>
          <w:rFonts w:ascii="Times New Roman" w:cs="Times New Roman" w:eastAsia="Times New Roman" w:hAnsi="Times New Roman"/>
          <w:sz w:val="17"/>
          <w:szCs w:val="17"/>
          <w:color w:val="auto"/>
        </w:rPr>
        <w:t>Pursuant to the terms of the Waiver Letter, the maturity date of the 2015 Credit Facilities was first extended to June 24, 2022. Subsequent to that, the maturity date of the 2015 Credit Facilities, and the continuing applicability of the various waivers provided under the Waiver Letter, were further extended to a later date (the “Extended Termination Date”), being (i) December 31, 2022 pursuant to an extension request letter dated April 6, 2022; and (ii) June 24, 2024 pursuant to a further extension request letter dated December 14, 2022. The 2015 Term Loan Facility was originally repayable in quarterly instalments according to an amortization schedule. Pursuant to the terms of the Waiver Letter (as amended and extended), the 2015 Term Loan Facility is repayable in full on the Extended Termination Date (as amended and extended).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w:t>
      </w:r>
    </w:p>
    <w:p>
      <w:pPr>
        <w:spacing w:after="0" w:line="70" w:lineRule="exact"/>
        <w:rPr>
          <w:sz w:val="20"/>
          <w:szCs w:val="20"/>
          <w:color w:val="auto"/>
        </w:rPr>
      </w:pPr>
    </w:p>
    <w:p>
      <w:pPr>
        <w:jc w:val="both"/>
        <w:ind w:left="720"/>
        <w:spacing w:after="0" w:line="276" w:lineRule="auto"/>
        <w:rPr>
          <w:sz w:val="20"/>
          <w:szCs w:val="20"/>
          <w:color w:val="auto"/>
        </w:rPr>
      </w:pPr>
      <w:r>
        <w:rPr>
          <w:rFonts w:ascii="Times New Roman" w:cs="Times New Roman" w:eastAsia="Times New Roman" w:hAnsi="Times New Roman"/>
          <w:sz w:val="17"/>
          <w:szCs w:val="17"/>
          <w:color w:val="auto"/>
        </w:rPr>
        <w:t>Borrowings under the 2015 Credit Facilities bore interest at the Hong Kong Interbank Offered Rate (“HIBOR”) plus a margin ranging from 1.25% to 2.50% per annum as adjusted in accordance with the leverage ratio in respect of the 2015 Borrowing Group (as described below). The Borrower was permitted to</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0940"/>
          </w:cols>
          <w:pgMar w:left="320" w:top="473" w:right="6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2015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spacing w:after="0" w:line="295" w:lineRule="auto"/>
        <w:rPr>
          <w:sz w:val="20"/>
          <w:szCs w:val="20"/>
          <w:color w:val="auto"/>
        </w:rPr>
      </w:pPr>
      <w:r>
        <w:rPr>
          <w:rFonts w:ascii="Times New Roman" w:cs="Times New Roman" w:eastAsia="Times New Roman" w:hAnsi="Times New Roman"/>
          <w:sz w:val="17"/>
          <w:szCs w:val="17"/>
          <w:color w:val="auto"/>
        </w:rPr>
        <w:t>select an interest period for borrowings under the 2015 Credit Facilities ranging from one to six months or any other agreed period. Pursuant to the Waiver Letter, borrowings under the 2015 Credit Facilities bear interest at HIBOR plus a margin of 1% per annum.</w:t>
      </w:r>
    </w:p>
    <w:p>
      <w:pPr>
        <w:spacing w:after="0" w:line="42" w:lineRule="exact"/>
        <w:rPr>
          <w:sz w:val="20"/>
          <w:szCs w:val="20"/>
          <w:color w:val="auto"/>
        </w:rPr>
      </w:pPr>
    </w:p>
    <w:p>
      <w:pPr>
        <w:ind w:left="720" w:right="200"/>
        <w:spacing w:after="0" w:line="266" w:lineRule="auto"/>
        <w:rPr>
          <w:sz w:val="20"/>
          <w:szCs w:val="20"/>
          <w:color w:val="auto"/>
        </w:rPr>
      </w:pPr>
      <w:r>
        <w:rPr>
          <w:rFonts w:ascii="Times New Roman" w:cs="Times New Roman" w:eastAsia="Times New Roman" w:hAnsi="Times New Roman"/>
          <w:sz w:val="17"/>
          <w:szCs w:val="17"/>
          <w:color w:val="auto"/>
        </w:rPr>
        <w:t>As of December 31, 2023, the outstanding principal amount of the 2015 Term Loan Facility and the 2015 Revolving Credit Facility was HK$1,000 (equivalent to $128) and nil, respectively, and the available unused borrowing capacity under 2015 Revolving Credit Facility was HK$1,000 (equivalent to $128) and the outstanding principal amount was included in the non-current portion of long-term debt as of December 31, 2023 in accordance with applicable accounting standards because management has intent and believes the Borrower has ability to refinance this short-term obligation on a long-term basis.</w:t>
      </w:r>
    </w:p>
    <w:p>
      <w:pPr>
        <w:spacing w:after="0" w:line="67"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The indebtedness under the 2015 Credit Facilities is guaranteed by the borrowing group which includes the Borrower and certain of its subsidiaries as defined under the 2015 Credit Facilities (the “2015 Borrowing Group”). Security for the 2015 Credit Facilities includes: a first-priority interest in substantially all assets of the 2015 Borrowing Group, the issued share capital and equity interests and certain buildings, fixtures and equipment of the 2015 Borrowing Group and certain other excluded assets and customary security.</w:t>
      </w:r>
    </w:p>
    <w:p>
      <w:pPr>
        <w:spacing w:after="0" w:line="78" w:lineRule="exact"/>
        <w:rPr>
          <w:sz w:val="20"/>
          <w:szCs w:val="20"/>
          <w:color w:val="auto"/>
        </w:rPr>
      </w:pPr>
    </w:p>
    <w:p>
      <w:pPr>
        <w:ind w:left="720" w:right="140"/>
        <w:spacing w:after="0" w:line="295" w:lineRule="auto"/>
        <w:rPr>
          <w:sz w:val="20"/>
          <w:szCs w:val="20"/>
          <w:color w:val="auto"/>
        </w:rPr>
      </w:pPr>
      <w:r>
        <w:rPr>
          <w:rFonts w:ascii="Times New Roman" w:cs="Times New Roman" w:eastAsia="Times New Roman" w:hAnsi="Times New Roman"/>
          <w:sz w:val="17"/>
          <w:szCs w:val="17"/>
          <w:color w:val="auto"/>
        </w:rPr>
        <w:t>With effect from May 7, 2020, the provisions that limited certain payments of dividends and other distributions by the 2015 Borrowing Group to companies or persons who were not members of the 2015 Borrowing Group were waived pursuant to the terms of the Waiver Letter.</w:t>
      </w:r>
    </w:p>
    <w:p>
      <w:pPr>
        <w:spacing w:after="0" w:line="42" w:lineRule="exact"/>
        <w:rPr>
          <w:sz w:val="20"/>
          <w:szCs w:val="20"/>
          <w:color w:val="auto"/>
        </w:rPr>
      </w:pPr>
    </w:p>
    <w:p>
      <w:pPr>
        <w:ind w:left="720" w:right="200"/>
        <w:spacing w:after="0" w:line="269" w:lineRule="auto"/>
        <w:rPr>
          <w:sz w:val="20"/>
          <w:szCs w:val="20"/>
          <w:color w:val="auto"/>
        </w:rPr>
      </w:pPr>
      <w:r>
        <w:rPr>
          <w:rFonts w:ascii="Times New Roman" w:cs="Times New Roman" w:eastAsia="Times New Roman" w:hAnsi="Times New Roman"/>
          <w:sz w:val="17"/>
          <w:szCs w:val="17"/>
          <w:color w:val="auto"/>
        </w:rPr>
        <w:t>Under the 2015 Credit Facilities, in the event of a change of control, the Borrower may be required, at the election of any lender under the 2015 Credit Facilities, to repay such lender in full. In addition, termination or rescission of Melco Resorts Macau’s concession contract or land concessions would constitute an event of default. As with substantially all of the undertakings and covenants under the 2015 Credit Facilities, however, these provisions are subject to a continuing waiver under the terms of the Waiver Letter.</w:t>
      </w:r>
    </w:p>
    <w:p>
      <w:pPr>
        <w:spacing w:after="0" w:line="65" w:lineRule="exact"/>
        <w:rPr>
          <w:sz w:val="20"/>
          <w:szCs w:val="20"/>
          <w:color w:val="auto"/>
        </w:rPr>
      </w:pPr>
    </w:p>
    <w:p>
      <w:pPr>
        <w:ind w:left="720" w:right="820"/>
        <w:spacing w:after="0" w:line="295" w:lineRule="auto"/>
        <w:rPr>
          <w:sz w:val="20"/>
          <w:szCs w:val="20"/>
          <w:color w:val="auto"/>
        </w:rPr>
      </w:pPr>
      <w:r>
        <w:rPr>
          <w:rFonts w:ascii="Times New Roman" w:cs="Times New Roman" w:eastAsia="Times New Roman" w:hAnsi="Times New Roman"/>
          <w:sz w:val="17"/>
          <w:szCs w:val="17"/>
          <w:color w:val="auto"/>
        </w:rPr>
        <w:t>The Borrower is obligated to pay a commitment fee on the undrawn amount of the 2015 Revolving Credit Facility and recognized loan commitment fees of $1, $1 and $1 during the years ended December 31, 2023, 2022 and 2021, respectively.</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Credit Facilities</w:t>
      </w:r>
    </w:p>
    <w:p>
      <w:pPr>
        <w:spacing w:after="0" w:line="120" w:lineRule="exact"/>
        <w:rPr>
          <w:sz w:val="20"/>
          <w:szCs w:val="20"/>
          <w:color w:val="auto"/>
        </w:rPr>
      </w:pPr>
    </w:p>
    <w:p>
      <w:pPr>
        <w:ind w:left="720" w:right="160"/>
        <w:spacing w:after="0" w:line="262" w:lineRule="auto"/>
        <w:rPr>
          <w:sz w:val="20"/>
          <w:szCs w:val="20"/>
          <w:color w:val="auto"/>
        </w:rPr>
      </w:pPr>
      <w:r>
        <w:rPr>
          <w:rFonts w:ascii="Times New Roman" w:cs="Times New Roman" w:eastAsia="Times New Roman" w:hAnsi="Times New Roman"/>
          <w:sz w:val="17"/>
          <w:szCs w:val="17"/>
          <w:color w:val="auto"/>
        </w:rPr>
        <w:t>On April 29, 2020, MCO Nominee One Limited (“MCO Nominee One”), a subsidiary of Melco, entered into a senior credit facilities agreement with a syndicate of banks (the “2020 Credit Facilities”) for a HK$14,850,000 (equivalent to $1,915,947) revolving credit facility with a term of five years. The maturity date of the 2020 Credit Facilities is April 29, 2025. Each loan made under the 2020 Credit Facilities is repayable in full on the last day of an agreed upon interest period in respect of the loan, generally ranging from one to six months, or rolling over subject to compliance with certain covenants and satisfaction of conditions precedent. MCO Nominee One is also subject to mandatory prepayment requirements in respect of various amounts as specified in the 2020 Credit Facilities. In the event of a change of control or if Melco Resorts Macau’s concession contract or land concessions are terminated or otherwise expire on its terms, MCO Nominee One may be required, at the election of any lender under the 2020 Credit Facilities, to repay such lender in full.</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940"/>
          </w:cols>
          <w:pgMar w:left="320" w:top="473" w:right="6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0"/>
        <w:spacing w:after="0" w:line="295" w:lineRule="auto"/>
        <w:rPr>
          <w:sz w:val="20"/>
          <w:szCs w:val="20"/>
          <w:color w:val="auto"/>
        </w:rPr>
      </w:pPr>
      <w:r>
        <w:rPr>
          <w:rFonts w:ascii="Times New Roman" w:cs="Times New Roman" w:eastAsia="Times New Roman" w:hAnsi="Times New Roman"/>
          <w:sz w:val="17"/>
          <w:szCs w:val="17"/>
          <w:color w:val="auto"/>
        </w:rPr>
        <w:t>The indebtedness under the 2020 Credit Facilities is guaranteed by Melco Resorts Macau and MCO Investments Limited (“MCO Investments”), a subsidiary of Melco. The 2020 Credit Facilities are unsecured.</w:t>
      </w:r>
    </w:p>
    <w:p>
      <w:pPr>
        <w:spacing w:after="0" w:line="42" w:lineRule="exact"/>
        <w:rPr>
          <w:sz w:val="20"/>
          <w:szCs w:val="20"/>
          <w:color w:val="auto"/>
        </w:rPr>
      </w:pPr>
    </w:p>
    <w:p>
      <w:pPr>
        <w:ind w:left="720" w:right="260"/>
        <w:spacing w:after="0" w:line="267" w:lineRule="auto"/>
        <w:rPr>
          <w:sz w:val="20"/>
          <w:szCs w:val="20"/>
          <w:color w:val="auto"/>
        </w:rPr>
      </w:pPr>
      <w:r>
        <w:rPr>
          <w:rFonts w:ascii="Times New Roman" w:cs="Times New Roman" w:eastAsia="Times New Roman" w:hAnsi="Times New Roman"/>
          <w:sz w:val="17"/>
          <w:szCs w:val="17"/>
          <w:color w:val="auto"/>
        </w:rPr>
        <w:t>The 2020 Credit Facilities contain certain covenants customary for such financings including, but not limited to, limitations on, except as permitted (i) incurring additional liens; (ii) incurring additional indebtedness (including guarantees); (iii) the disposal of certain key assets; and</w:t>
      </w:r>
    </w:p>
    <w:p>
      <w:pPr>
        <w:spacing w:after="0" w:line="1" w:lineRule="exact"/>
        <w:rPr>
          <w:sz w:val="20"/>
          <w:szCs w:val="20"/>
          <w:color w:val="auto"/>
        </w:rPr>
      </w:pPr>
    </w:p>
    <w:p>
      <w:pPr>
        <w:ind w:left="720" w:right="180" w:hanging="2"/>
        <w:spacing w:after="0" w:line="265" w:lineRule="auto"/>
        <w:tabs>
          <w:tab w:leader="none" w:pos="101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carrying on businesses which are not the permitted business activities of MCO Investments and its subsidiaries. The 2020 Credit Facilities also contain conditions and events of default customary for such financings and the financial covenants including a leverage ratio, total leverage ratio and interest cover ratio.</w:t>
      </w:r>
    </w:p>
    <w:p>
      <w:pPr>
        <w:spacing w:after="0" w:line="66"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On June 29, 2023, certain provisions of the 2020 Credit Facilities were amended and restated (the “2023 Amendment and Restatement”) such that borrowings under the 2020 Credit Facilities denominated in US$ should bear interest at the term Secured Overnight Financing Rate plus an applicable credit adjustment spread ranging from 0.06% to 0.20% per annum and a margin ranging from 1.00% to 2.00% per annum as adjusted in accordance with the leverage ratio in respect of MCO Nominee One and certain of its specified subsidiaries. The amendment became effective on June 29, 2023 (the “Effective Date”). Prior to the Effective Date of the 2023 Amendment and Restatement, borrowings under the 2020 Credit Facilities denominated in US$ bore interest at the London Interbank Offered Rate plus a margin ranging from 1.00% to 2.00% per annum as adjusted in accordance with the leverage ratio in respect of MCO Nominee One and certain of its specified subsidiaries. Borrowings under the 2020 Credit Facilities denominated in HK$ bear interest at HIBOR plus a margin ranging from 1.00% to 2.00% per annum as adjusted in accordance with the leverage ratio in respect of MCO Nominee One and certain of its specified subsidiaries. MCO Nominee One may select an interest period for borrowings under the 2020 Credit Facilities ranging from one to six months or any other agreed period.</w:t>
      </w:r>
    </w:p>
    <w:p>
      <w:pPr>
        <w:spacing w:after="0" w:line="70" w:lineRule="exact"/>
        <w:rPr>
          <w:sz w:val="20"/>
          <w:szCs w:val="20"/>
          <w:color w:val="auto"/>
        </w:rPr>
      </w:pPr>
    </w:p>
    <w:p>
      <w:pPr>
        <w:ind w:left="720" w:right="120"/>
        <w:spacing w:after="0" w:line="295" w:lineRule="auto"/>
        <w:rPr>
          <w:sz w:val="20"/>
          <w:szCs w:val="20"/>
          <w:color w:val="auto"/>
        </w:rPr>
      </w:pPr>
      <w:r>
        <w:rPr>
          <w:rFonts w:ascii="Times New Roman" w:cs="Times New Roman" w:eastAsia="Times New Roman" w:hAnsi="Times New Roman"/>
          <w:sz w:val="17"/>
          <w:szCs w:val="17"/>
          <w:color w:val="auto"/>
        </w:rPr>
        <w:t>MCO Nominee One is obligated to pay a commitment fee on the undrawn amount of the 2020 Credit Facilities and recognized loan commitment fees of $3,954, $5,978 and $10,613 during the years ended December 31, 2023, 2022 and 2021, respectively.</w:t>
      </w:r>
    </w:p>
    <w:p>
      <w:pPr>
        <w:spacing w:after="0" w:line="42"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On November 26, 2020, MCO Nominee One received confirmation that the majority of lenders of the 2020 Credit Facilities consented and agreed to waive certain financial condition covenants contained in the facility agreement under the 2020 Credit Facilities, in each case in respect of the relevant periods ended on the following applicable test dates: (a) December 31, 2020; (b) March 31, 2021; (c) June 30, 2021; (d) September 30, 2021; and (e) December 31, 2021. Such consent became effective on December 2, 2020.</w:t>
      </w:r>
    </w:p>
    <w:p>
      <w:pPr>
        <w:spacing w:after="0" w:line="65" w:lineRule="exact"/>
        <w:rPr>
          <w:sz w:val="20"/>
          <w:szCs w:val="20"/>
          <w:color w:val="auto"/>
        </w:rPr>
      </w:pPr>
    </w:p>
    <w:p>
      <w:pPr>
        <w:ind w:left="720" w:right="120"/>
        <w:spacing w:after="0" w:line="269" w:lineRule="auto"/>
        <w:rPr>
          <w:sz w:val="20"/>
          <w:szCs w:val="20"/>
          <w:color w:val="auto"/>
        </w:rPr>
      </w:pPr>
      <w:r>
        <w:rPr>
          <w:rFonts w:ascii="Times New Roman" w:cs="Times New Roman" w:eastAsia="Times New Roman" w:hAnsi="Times New Roman"/>
          <w:sz w:val="17"/>
          <w:szCs w:val="17"/>
          <w:color w:val="auto"/>
        </w:rPr>
        <w:t>On November 5, 2021, MCO Nominee One received confirmation that the majority of lenders of the 2020 Credit Facilities consented and agreed to waive certain financial condition covenants contained in the facility agreement under the 2020 Credit Facilities, in each case in respect of the relevant periods ended on the following applicable test dates: (a) March 31, 2022; (b) June 30, 2022; (c) September 30, 2022; and (d) December 31, 2022. Such consent became effective on November 9, 2021.</w:t>
      </w:r>
    </w:p>
    <w:p>
      <w:pPr>
        <w:spacing w:after="0" w:line="65" w:lineRule="exact"/>
        <w:rPr>
          <w:sz w:val="20"/>
          <w:szCs w:val="20"/>
          <w:color w:val="auto"/>
        </w:rPr>
      </w:pPr>
    </w:p>
    <w:p>
      <w:pPr>
        <w:ind w:left="720" w:right="80"/>
        <w:spacing w:after="0" w:line="276" w:lineRule="auto"/>
        <w:rPr>
          <w:sz w:val="20"/>
          <w:szCs w:val="20"/>
          <w:color w:val="auto"/>
        </w:rPr>
      </w:pPr>
      <w:r>
        <w:rPr>
          <w:rFonts w:ascii="Times New Roman" w:cs="Times New Roman" w:eastAsia="Times New Roman" w:hAnsi="Times New Roman"/>
          <w:sz w:val="17"/>
          <w:szCs w:val="17"/>
          <w:color w:val="auto"/>
        </w:rPr>
        <w:t>On August 16, 2022, MCO Nominee One received confirmation that the majority of lenders of the 2020 Credit Facilities consented and agreed to a waiver extension of certain financial condition covenants contained in the facility agreement under the 2020 Credit Facilities. The existing waiver remains valid in</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0940"/>
          </w:cols>
          <w:pgMar w:left="320" w:top="473" w:right="6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2020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20"/>
        <w:spacing w:after="0" w:line="276" w:lineRule="auto"/>
        <w:rPr>
          <w:sz w:val="20"/>
          <w:szCs w:val="20"/>
          <w:color w:val="auto"/>
        </w:rPr>
      </w:pPr>
      <w:r>
        <w:rPr>
          <w:rFonts w:ascii="Times New Roman" w:cs="Times New Roman" w:eastAsia="Times New Roman" w:hAnsi="Times New Roman"/>
          <w:sz w:val="17"/>
          <w:szCs w:val="17"/>
          <w:color w:val="auto"/>
        </w:rPr>
        <w:t>respect of the relevant periods ended on the December 31, 2022 test date, and the waiver extension granted extends the waiver for the relevant periods ended or ending on the following applicable test dates: (a) March 31, 2023; (b) June 30, 2023; (c) September 30, 2023; (d) December 31, 2023; and (e) March 31, 2024. Such consent became effective on August 17, 2022.</w:t>
      </w:r>
    </w:p>
    <w:p>
      <w:pPr>
        <w:spacing w:after="0" w:line="70" w:lineRule="exact"/>
        <w:rPr>
          <w:sz w:val="20"/>
          <w:szCs w:val="20"/>
          <w:color w:val="auto"/>
        </w:rPr>
      </w:pPr>
    </w:p>
    <w:p>
      <w:pPr>
        <w:ind w:left="720" w:right="160"/>
        <w:spacing w:after="0" w:line="295" w:lineRule="auto"/>
        <w:rPr>
          <w:sz w:val="20"/>
          <w:szCs w:val="20"/>
          <w:color w:val="auto"/>
        </w:rPr>
      </w:pPr>
      <w:r>
        <w:rPr>
          <w:rFonts w:ascii="Times New Roman" w:cs="Times New Roman" w:eastAsia="Times New Roman" w:hAnsi="Times New Roman"/>
          <w:sz w:val="17"/>
          <w:szCs w:val="17"/>
          <w:color w:val="auto"/>
        </w:rPr>
        <w:t>As of December 31, 2023, the outstanding principal amount of the 2020 Credit Facilities was HK$8,222,000 (equivalent to $1,052,515), and the available unused borrowing capacity under the 2020 Credit Facilities was HK$6,628,000 (equivalent to $848,464).</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2016 Studio City Credit Facilities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On November 30, 2016, Studio City Company (the “Studio City Borrower”) amended and restated the Studio City Borrower’s prior senior</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secured credit facilities agreement from HK$10,855,880 (equivalent to $1,395,357) to a HK$234,000 (equivalent to $30,077) senior secured credit</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facilities agreement (the “2016 Studio City Credit Facilities”), comprising a HK$1,000 (equivalent to $129) term loan facility (the “2016 SC Term</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Loan Facility”) and a HK$233,000 (equivalent to $29,948) revolving credit facility (the “2016 SC Revolving Credit Facility”). As of</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December 31, 2023, the outstanding principal amount of the 2016 SC Term Loan Facility and the 2016 SC Revolving Credit Facility were</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HK$1,000 (equivalent to $128) and nil, respectively, and the available unused borrowing capacity under the 2016 SC Revolving Credit Facility</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was HK$233,000 (equivalent to $29,827).</w:t>
      </w:r>
    </w:p>
    <w:p>
      <w:pPr>
        <w:spacing w:after="0" w:line="100"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7"/>
          <w:szCs w:val="17"/>
          <w:color w:val="auto"/>
        </w:rPr>
        <w:t>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 2016 SC Revolving Credit Facility’s Extended Maturity Date. Changes have also been made to the covenants in order to align them with those of certain other financings at Studio City Finance, including amending the threshold sizes and measurement dates of the covenants.</w:t>
      </w:r>
    </w:p>
    <w:p>
      <w:pPr>
        <w:spacing w:after="0" w:line="69" w:lineRule="exact"/>
        <w:rPr>
          <w:sz w:val="20"/>
          <w:szCs w:val="20"/>
          <w:color w:val="auto"/>
        </w:rPr>
      </w:pPr>
    </w:p>
    <w:p>
      <w:pPr>
        <w:ind w:left="720" w:right="60"/>
        <w:spacing w:after="0" w:line="263" w:lineRule="auto"/>
        <w:rPr>
          <w:sz w:val="20"/>
          <w:szCs w:val="20"/>
          <w:color w:val="auto"/>
        </w:rPr>
      </w:pPr>
      <w:r>
        <w:rPr>
          <w:rFonts w:ascii="Times New Roman" w:cs="Times New Roman" w:eastAsia="Times New Roman" w:hAnsi="Times New Roman"/>
          <w:sz w:val="17"/>
          <w:szCs w:val="17"/>
          <w:color w:val="auto"/>
        </w:rPr>
        <w:t>The 2016 SC Term Loan Facility is collateralized by cash of HK$1,012 (equivalent to $130).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69" w:lineRule="exact"/>
        <w:rPr>
          <w:sz w:val="20"/>
          <w:szCs w:val="20"/>
          <w:color w:val="auto"/>
        </w:rPr>
      </w:pPr>
    </w:p>
    <w:p>
      <w:pPr>
        <w:ind w:left="720" w:right="80"/>
        <w:spacing w:after="0" w:line="269" w:lineRule="auto"/>
        <w:rPr>
          <w:sz w:val="20"/>
          <w:szCs w:val="20"/>
          <w:color w:val="auto"/>
        </w:rPr>
      </w:pPr>
      <w:r>
        <w:rPr>
          <w:rFonts w:ascii="Times New Roman" w:cs="Times New Roman" w:eastAsia="Times New Roman" w:hAnsi="Times New Roman"/>
          <w:sz w:val="17"/>
          <w:szCs w:val="17"/>
          <w:color w:val="auto"/>
        </w:rPr>
        <w:t>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940"/>
          </w:cols>
          <w:pgMar w:left="320" w:top="473" w:right="6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2016 Studio City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jc w:val="both"/>
        <w:ind w:left="720" w:right="120"/>
        <w:spacing w:after="0" w:line="276" w:lineRule="auto"/>
        <w:rPr>
          <w:sz w:val="20"/>
          <w:szCs w:val="20"/>
          <w:color w:val="auto"/>
        </w:rPr>
      </w:pPr>
      <w:r>
        <w:rPr>
          <w:rFonts w:ascii="Times New Roman" w:cs="Times New Roman" w:eastAsia="Times New Roman" w:hAnsi="Times New Roman"/>
          <w:sz w:val="17"/>
          <w:szCs w:val="17"/>
          <w:color w:val="auto"/>
        </w:rPr>
        <w:t>financings, as well as affirmative, negative and financial covenants aligned with those of certain other financings at Studio City Finance.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w:t>
      </w:r>
    </w:p>
    <w:p>
      <w:pPr>
        <w:spacing w:after="0" w:line="57" w:lineRule="exact"/>
        <w:rPr>
          <w:sz w:val="20"/>
          <w:szCs w:val="20"/>
          <w:color w:val="auto"/>
        </w:rPr>
      </w:pPr>
    </w:p>
    <w:p>
      <w:pPr>
        <w:ind w:left="720" w:right="40"/>
        <w:spacing w:after="0" w:line="261" w:lineRule="auto"/>
        <w:rPr>
          <w:sz w:val="20"/>
          <w:szCs w:val="20"/>
          <w:color w:val="auto"/>
        </w:rPr>
      </w:pPr>
      <w:r>
        <w:rPr>
          <w:rFonts w:ascii="Times New Roman" w:cs="Times New Roman" w:eastAsia="Times New Roman" w:hAnsi="Times New Roman"/>
          <w:sz w:val="17"/>
          <w:szCs w:val="17"/>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w:t>
      </w:r>
    </w:p>
    <w:p>
      <w:pPr>
        <w:spacing w:after="0" w:line="1" w:lineRule="exact"/>
        <w:rPr>
          <w:sz w:val="20"/>
          <w:szCs w:val="20"/>
          <w:color w:val="auto"/>
        </w:rPr>
      </w:pPr>
    </w:p>
    <w:p>
      <w:pPr>
        <w:ind w:left="720" w:right="460" w:hanging="2"/>
        <w:spacing w:after="0" w:line="273" w:lineRule="auto"/>
        <w:tabs>
          <w:tab w:leader="none" w:pos="101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nature of the business of the relevant group; (x) enter into transactions with shareholders or affiliates; and (xi) effect a consolidation or merger. The 2016 Studio City Credit Facilities also contain conditions and events of default customary for such financings.</w:t>
      </w:r>
    </w:p>
    <w:p>
      <w:pPr>
        <w:spacing w:after="0" w:line="60" w:lineRule="exact"/>
        <w:rPr>
          <w:sz w:val="20"/>
          <w:szCs w:val="20"/>
          <w:color w:val="auto"/>
        </w:rPr>
      </w:pPr>
    </w:p>
    <w:p>
      <w:pPr>
        <w:ind w:left="720" w:right="80"/>
        <w:spacing w:after="0" w:line="276" w:lineRule="auto"/>
        <w:rPr>
          <w:sz w:val="20"/>
          <w:szCs w:val="20"/>
          <w:color w:val="auto"/>
        </w:rPr>
      </w:pPr>
      <w:r>
        <w:rPr>
          <w:rFonts w:ascii="Times New Roman" w:cs="Times New Roman" w:eastAsia="Times New Roman" w:hAnsi="Times New Roman"/>
          <w:sz w:val="17"/>
          <w:szCs w:val="17"/>
          <w:color w:val="auto"/>
        </w:rPr>
        <w:t>In addition, modification, expiry, or termination of the gaming concession of Melco Resorts Macau in circumstances that have a material adverse effect on the 2016 Studio City Borrowing Group (as a whole) will allow lenders to elect for the mandatory prepayment of all outstanding loan amounts.</w:t>
      </w:r>
    </w:p>
    <w:p>
      <w:pPr>
        <w:spacing w:after="0" w:line="57" w:lineRule="exact"/>
        <w:rPr>
          <w:sz w:val="20"/>
          <w:szCs w:val="20"/>
          <w:color w:val="auto"/>
        </w:rPr>
      </w:pPr>
    </w:p>
    <w:p>
      <w:pPr>
        <w:ind w:left="720" w:right="60"/>
        <w:spacing w:after="0" w:line="273" w:lineRule="auto"/>
        <w:rPr>
          <w:sz w:val="20"/>
          <w:szCs w:val="20"/>
          <w:color w:val="auto"/>
        </w:rPr>
      </w:pPr>
      <w:r>
        <w:rPr>
          <w:rFonts w:ascii="Times New Roman" w:cs="Times New Roman" w:eastAsia="Times New Roman" w:hAnsi="Times New Roman"/>
          <w:sz w:val="17"/>
          <w:szCs w:val="17"/>
          <w:color w:val="auto"/>
        </w:rPr>
        <w:t>There are provisions that limit certain payments of dividends and other distributions by the 2016 Studio City Borrowing Group to companies or persons who are not members of the 2016 Studio City Borrowing Group. As of December 31, 2023, the net assets of Studio City Investments and its restricted subsidiaries of approximately $675,000 were restricted from being distributed under the terms of the 2016 Studio City Credit Facilities.</w:t>
      </w:r>
    </w:p>
    <w:p>
      <w:pPr>
        <w:spacing w:after="0" w:line="274"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 obligated to pay a commitment fee on the undrawn amount of the 2016 SC Revolving Credit Facility and recognized loan commitment fees of $417, $417 and $419 during the years ended December 31, 2023, 2022 and 2021, respectively.</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Philippine Credit Facility</w:t>
      </w:r>
    </w:p>
    <w:p>
      <w:pPr>
        <w:spacing w:after="0" w:line="120" w:lineRule="exact"/>
        <w:rPr>
          <w:sz w:val="20"/>
          <w:szCs w:val="20"/>
          <w:color w:val="auto"/>
        </w:rPr>
      </w:pPr>
    </w:p>
    <w:p>
      <w:pPr>
        <w:ind w:left="720"/>
        <w:spacing w:after="0" w:line="263" w:lineRule="auto"/>
        <w:rPr>
          <w:sz w:val="20"/>
          <w:szCs w:val="20"/>
          <w:color w:val="auto"/>
        </w:rPr>
      </w:pPr>
      <w:r>
        <w:rPr>
          <w:rFonts w:ascii="Times New Roman" w:cs="Times New Roman" w:eastAsia="Times New Roman" w:hAnsi="Times New Roman"/>
          <w:sz w:val="17"/>
          <w:szCs w:val="17"/>
          <w:color w:val="auto"/>
        </w:rPr>
        <w:t>On October 14, 2015, Melco Resorts and Entertainment (Philippines) Corporation (“MRP”), a subsidiary of Melco, entered into an on-demand, unsecured credit facility agreement of Philippine Pesos (“PHP”) 2,350,000 (equivalent to $49,824), as amended from time to time (the “Philippine Credit Facility”) with a lender to finance advances to Melco Resorts Leisure (PHP) Corporation (“Melco Resorts Leisure”), a subsidiary of Melco. The available drawdown currencies under the Philippine Credit Facility are PHP and US$. As of December 31, 2023, the Philippine Credit Facility availability period, as amended from time to time, is up to January 31, 2024 and was further extended to April 30, 2023, in January 2024, and the maturity date of each individual drawdown, as amended from time to time, to be the earlier of: (i) the date which is 360 days from the date of drawdown, and (ii) the date which is 360 days after the end of the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0920"/>
          </w:cols>
          <w:pgMar w:left="320" w:top="472" w:right="6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u w:val="single" w:color="auto"/>
          <w:color w:val="auto"/>
        </w:rPr>
        <w:t>Philippine Credit Facility</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0"/>
        <w:spacing w:after="0" w:line="263" w:lineRule="auto"/>
        <w:rPr>
          <w:sz w:val="20"/>
          <w:szCs w:val="20"/>
          <w:color w:val="auto"/>
        </w:rPr>
      </w:pPr>
      <w:r>
        <w:rPr>
          <w:rFonts w:ascii="Times New Roman" w:cs="Times New Roman" w:eastAsia="Times New Roman" w:hAnsi="Times New Roman"/>
          <w:sz w:val="17"/>
          <w:szCs w:val="17"/>
          <w:color w:val="auto"/>
        </w:rPr>
        <w:t>availability period. The individual drawdowns under the Philippine Credit Facility are subject to certain conditions precedent, including issuance of a promissory note in favor of the lender evidencing such drawdown. As of December 31, 2023, borrowings under the Philippine Credit Facility bear interest, as amended from time to time, at the higher of: (i) the PHP BVAL Reference Rate of the selected interest period plus the applicable margin to be mutually agreed by the bank and the borrower at the time of drawdown, and (ii) Philippines Term Deposit Facility Rate of the selected interest period plus the applicable margin to be mutually agreed by the bank and the borrower at the time of drawdown, such rate to be set one business day prior to the relevant interest period. The Philippine Credit Facility includes a tax gross-up provision requiring MRP to pay without any deduction or withholding for or on account of tax.</w:t>
      </w:r>
    </w:p>
    <w:p>
      <w:pPr>
        <w:spacing w:after="0" w:line="69" w:lineRule="exact"/>
        <w:rPr>
          <w:sz w:val="20"/>
          <w:szCs w:val="20"/>
          <w:color w:val="auto"/>
        </w:rPr>
      </w:pPr>
    </w:p>
    <w:p>
      <w:pPr>
        <w:ind w:left="720" w:right="60"/>
        <w:spacing w:after="0" w:line="295" w:lineRule="auto"/>
        <w:rPr>
          <w:sz w:val="20"/>
          <w:szCs w:val="20"/>
          <w:color w:val="auto"/>
        </w:rPr>
      </w:pPr>
      <w:r>
        <w:rPr>
          <w:rFonts w:ascii="Times New Roman" w:cs="Times New Roman" w:eastAsia="Times New Roman" w:hAnsi="Times New Roman"/>
          <w:sz w:val="17"/>
          <w:szCs w:val="17"/>
          <w:color w:val="auto"/>
        </w:rPr>
        <w:t>As of December 31, 2023, the Philippine Credit Facility had not yet been drawn and the available unused borrowing capacity under the Philippine Credit Facility was PHP2,350,000 (equivalent to $42,291).</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(c) Borrowing Rates and Scheduled Maturities of Long-term Debt</w:t>
      </w:r>
    </w:p>
    <w:p>
      <w:pPr>
        <w:spacing w:after="0" w:line="120" w:lineRule="exact"/>
        <w:rPr>
          <w:sz w:val="20"/>
          <w:szCs w:val="20"/>
          <w:color w:val="auto"/>
        </w:rPr>
      </w:pPr>
    </w:p>
    <w:p>
      <w:pPr>
        <w:ind w:left="720" w:right="460"/>
        <w:spacing w:after="0" w:line="295" w:lineRule="auto"/>
        <w:rPr>
          <w:sz w:val="20"/>
          <w:szCs w:val="20"/>
          <w:color w:val="auto"/>
        </w:rPr>
      </w:pPr>
      <w:r>
        <w:rPr>
          <w:rFonts w:ascii="Times New Roman" w:cs="Times New Roman" w:eastAsia="Times New Roman" w:hAnsi="Times New Roman"/>
          <w:sz w:val="17"/>
          <w:szCs w:val="17"/>
          <w:color w:val="auto"/>
        </w:rPr>
        <w:t>During the years ended December 31, 2023, 2022 and 2021, the Company’s average borrowing rates were approximately 5.72%, 5.32% and 5.43% per annum, respectively.</w:t>
      </w:r>
    </w:p>
    <w:p>
      <w:pPr>
        <w:spacing w:after="0" w:line="42" w:lineRule="exact"/>
        <w:rPr>
          <w:sz w:val="20"/>
          <w:szCs w:val="20"/>
          <w:color w:val="auto"/>
        </w:rPr>
      </w:pPr>
    </w:p>
    <w:p>
      <w:pPr>
        <w:ind w:left="720" w:right="360"/>
        <w:spacing w:after="0" w:line="295" w:lineRule="auto"/>
        <w:rPr>
          <w:sz w:val="20"/>
          <w:szCs w:val="20"/>
          <w:color w:val="auto"/>
        </w:rPr>
      </w:pPr>
      <w:r>
        <w:rPr>
          <w:rFonts w:ascii="Times New Roman" w:cs="Times New Roman" w:eastAsia="Times New Roman" w:hAnsi="Times New Roman"/>
          <w:sz w:val="17"/>
          <w:szCs w:val="17"/>
          <w:color w:val="auto"/>
        </w:rPr>
        <w:t>Scheduled maturities of the long-term debt (excluding unamortized deferred financing costs and original issue premiums) as of December 31, 2023 are as follows:</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128</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2,449,515</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tcPr>
          <w:p>
            <w:pPr>
              <w:spacing w:after="0"/>
              <w:rPr>
                <w:sz w:val="18"/>
                <w:szCs w:val="18"/>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950,000</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1,350,128</w:t>
            </w:r>
          </w:p>
        </w:tc>
        <w:tc>
          <w:tcPr>
            <w:tcW w:w="60" w:type="dxa"/>
            <w:vAlign w:val="bottom"/>
          </w:tcPr>
          <w:p>
            <w:pPr>
              <w:spacing w:after="0"/>
              <w:rPr>
                <w:sz w:val="18"/>
                <w:szCs w:val="18"/>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60" w:type="dxa"/>
            <w:vAlign w:val="bottom"/>
            <w:shd w:val="clear" w:color="auto" w:fill="CCEEFF"/>
          </w:tcPr>
          <w:p>
            <w:pPr>
              <w:spacing w:after="0"/>
              <w:rPr>
                <w:sz w:val="18"/>
                <w:szCs w:val="18"/>
                <w:color w:val="auto"/>
              </w:rPr>
            </w:pPr>
          </w:p>
        </w:tc>
      </w:tr>
      <w:tr>
        <w:trPr>
          <w:trHeight w:val="215"/>
        </w:trPr>
        <w:tc>
          <w:tcPr>
            <w:tcW w:w="9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7,499,771</w:t>
            </w: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p>
    <w:p>
      <w:pPr>
        <w:spacing w:after="0" w:line="120" w:lineRule="exact"/>
        <w:rPr>
          <w:rFonts w:ascii="Times New Roman" w:cs="Times New Roman" w:eastAsia="Times New Roman" w:hAnsi="Times New Roman"/>
          <w:sz w:val="17"/>
          <w:szCs w:val="17"/>
          <w:b w:val="1"/>
          <w:bCs w:val="1"/>
          <w:color w:val="auto"/>
        </w:rPr>
      </w:pPr>
    </w:p>
    <w:p>
      <w:pPr>
        <w:ind w:left="720" w:right="14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the lessee under operating and finance leases for equipment and real estate, including the land and certain of the building structures for City of Dreams Manila under the MRP Lease Agreement as described in Note 20, Cyprus casino sites, Mocha Clubs sites, office spaces, warehouses, staff quarters, and certain parcels of land in Macau on which Altira Macau, City of Dreams and Studio City are located. Certain lease agreements provide for periodic rental increases based on both contractually agreed incremental rates and on the general inflation rate once agreed by the Company and its lessors and, in some cases, contingent rental expenses stated as a percentage of turnover. Certain leases include options to extend the lease term and options to terminate the lease term. The land concession contracts in Macau have a term of 25 years, which is renewable for further consecutive periods of 10 years, subject to applicable legislation in Macau. The estimated term related to the land concession contracts in Macau is 40 years.</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0960"/>
          </w:cols>
          <w:pgMar w:left="320" w:top="473" w:right="6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12.</w:t>
        <w:tab/>
        <w:t>LEASES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Lessee Arrangements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components of lease costs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9"/>
          </w:tcPr>
          <w:p>
            <w:pPr>
              <w:jc w:val="right"/>
              <w:ind w:right="60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4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9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2023 </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2022 </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5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82"/>
              </w:rPr>
              <w:t>2021 </w:t>
            </w:r>
          </w:p>
        </w:tc>
        <w:tc>
          <w:tcPr>
            <w:tcW w:w="100" w:type="dxa"/>
            <w:vAlign w:val="bottom"/>
          </w:tcPr>
          <w:p>
            <w:pPr>
              <w:spacing w:after="0"/>
              <w:rPr>
                <w:sz w:val="17"/>
                <w:szCs w:val="17"/>
                <w:color w:val="auto"/>
              </w:rPr>
            </w:pPr>
          </w:p>
        </w:tc>
      </w:tr>
      <w:tr>
        <w:trPr>
          <w:trHeight w:val="189"/>
        </w:trPr>
        <w:tc>
          <w:tcPr>
            <w:tcW w:w="49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Operating lease costs:</w:t>
            </w:r>
          </w:p>
        </w:tc>
        <w:tc>
          <w:tcPr>
            <w:tcW w:w="2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4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248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22,670</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22,662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22,832</w:t>
            </w:r>
          </w:p>
        </w:tc>
      </w:tr>
      <w:tr>
        <w:trPr>
          <w:trHeight w:val="20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costs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18,434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14,614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29,401</w:t>
            </w:r>
          </w:p>
        </w:tc>
      </w:tr>
      <w:tr>
        <w:trPr>
          <w:trHeight w:val="209"/>
        </w:trPr>
        <w:tc>
          <w:tcPr>
            <w:tcW w:w="4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lease costs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w:t>
            </w:r>
          </w:p>
        </w:tc>
      </w:tr>
      <w:tr>
        <w:trPr>
          <w:trHeight w:val="20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Variable lease costs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2,684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(629)</w:t>
            </w: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15,682</w:t>
            </w:r>
          </w:p>
        </w:tc>
      </w:tr>
      <w:tr>
        <w:trPr>
          <w:trHeight w:val="215"/>
        </w:trPr>
        <w:tc>
          <w:tcPr>
            <w:tcW w:w="4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costs</w:t>
            </w:r>
          </w:p>
        </w:tc>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24,562</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31,642</w:t>
            </w:r>
          </w:p>
        </w:tc>
        <w:tc>
          <w:tcPr>
            <w:tcW w:w="100" w:type="dxa"/>
            <w:vAlign w:val="bottom"/>
          </w:tcPr>
          <w:p>
            <w:pPr>
              <w:spacing w:after="0"/>
              <w:rPr>
                <w:sz w:val="18"/>
                <w:szCs w:val="18"/>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248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74,028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7"/>
              </w:rPr>
              <w:t>  78,197</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99,401</w:t>
            </w:r>
          </w:p>
        </w:tc>
      </w:tr>
      <w:tr>
        <w:trPr>
          <w:trHeight w:val="20"/>
        </w:trPr>
        <w:tc>
          <w:tcPr>
            <w:tcW w:w="4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Other information related to lease terms and discount rates is as follows:</w:t>
      </w:r>
    </w:p>
    <w:p>
      <w:pPr>
        <w:spacing w:after="0" w:line="24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December 31,</w:t>
      </w:r>
    </w:p>
    <w:p>
      <w:pPr>
        <w:spacing w:after="0" w:line="32" w:lineRule="exact"/>
        <w:rPr>
          <w:sz w:val="20"/>
          <w:szCs w:val="20"/>
          <w:color w:val="auto"/>
        </w:rPr>
      </w:pPr>
    </w:p>
    <w:tbl>
      <w:tblPr>
        <w:tblLayout w:type="fixed"/>
        <w:tblInd w:w="72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2023 </w:t>
            </w:r>
          </w:p>
        </w:tc>
        <w:tc>
          <w:tcPr>
            <w:tcW w:w="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   2022 </w:t>
            </w:r>
          </w:p>
        </w:tc>
        <w:tc>
          <w:tcPr>
            <w:tcW w:w="60" w:type="dxa"/>
            <w:vAlign w:val="bottom"/>
          </w:tcPr>
          <w:p>
            <w:pPr>
              <w:spacing w:after="0"/>
              <w:rPr>
                <w:sz w:val="17"/>
                <w:szCs w:val="17"/>
                <w:color w:val="auto"/>
              </w:rPr>
            </w:pPr>
          </w:p>
        </w:tc>
      </w:tr>
      <w:tr>
        <w:trPr>
          <w:trHeight w:val="189"/>
        </w:trPr>
        <w:tc>
          <w:tcPr>
            <w:tcW w:w="81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Weighted average remaining lease term</w:t>
            </w: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9"/>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18.0 years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21.5 years</w:t>
            </w:r>
          </w:p>
        </w:tc>
      </w:tr>
      <w:tr>
        <w:trPr>
          <w:trHeight w:val="209"/>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 years</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10.5 years</w:t>
            </w:r>
          </w:p>
        </w:tc>
      </w:tr>
      <w:tr>
        <w:trPr>
          <w:trHeight w:val="209"/>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60" w:type="dxa"/>
            <w:vAlign w:val="bottom"/>
            <w:shd w:val="clear" w:color="auto" w:fill="CCEEFF"/>
          </w:tcPr>
          <w:p>
            <w:pPr>
              <w:spacing w:after="0"/>
              <w:rPr>
                <w:sz w:val="18"/>
                <w:szCs w:val="18"/>
                <w:color w:val="auto"/>
              </w:rPr>
            </w:pPr>
          </w:p>
        </w:tc>
      </w:tr>
      <w:tr>
        <w:trPr>
          <w:trHeight w:val="227"/>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10.70%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10.70%</w:t>
            </w:r>
          </w:p>
        </w:tc>
      </w:tr>
      <w:tr>
        <w:trPr>
          <w:trHeight w:val="334"/>
        </w:trPr>
        <w:tc>
          <w:tcPr>
            <w:tcW w:w="8300" w:type="dxa"/>
            <w:vAlign w:val="bottom"/>
            <w:gridSpan w:val="2"/>
          </w:tcPr>
          <w:p>
            <w:pPr>
              <w:ind w:left="4740"/>
              <w:spacing w:after="0"/>
              <w:rPr>
                <w:sz w:val="20"/>
                <w:szCs w:val="20"/>
                <w:color w:val="auto"/>
              </w:rPr>
            </w:pPr>
            <w:r>
              <w:rPr>
                <w:rFonts w:ascii="Times New Roman" w:cs="Times New Roman" w:eastAsia="Times New Roman" w:hAnsi="Times New Roman"/>
                <w:sz w:val="17"/>
                <w:szCs w:val="17"/>
                <w:color w:val="auto"/>
              </w:rPr>
              <w:t>F-53</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5240655</wp:posOffset>
            </wp:positionV>
            <wp:extent cx="7178675" cy="666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472" w:right="6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Maturities of lease liabilities as of December 31, 2023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Finance Leases</w:t>
            </w:r>
          </w:p>
        </w:tc>
      </w:tr>
      <w:tr>
        <w:trPr>
          <w:trHeight w:val="189"/>
        </w:trPr>
        <w:tc>
          <w:tcPr>
            <w:tcW w:w="68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20,502</w:t>
            </w:r>
          </w:p>
        </w:tc>
        <w:tc>
          <w:tcPr>
            <w:tcW w:w="9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37,387</w:t>
            </w: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13,130</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37,387</w:t>
            </w: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11,058</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37,387</w:t>
            </w: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5,675</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37,387</w:t>
            </w: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5,365</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37,387</w:t>
            </w: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65,681</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169,345</w:t>
            </w:r>
          </w:p>
        </w:tc>
      </w:tr>
      <w:tr>
        <w:trPr>
          <w:trHeight w:val="215"/>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121,411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356,280</w:t>
            </w:r>
          </w:p>
        </w:tc>
        <w:tc>
          <w:tcPr>
            <w:tcW w:w="10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(47,868)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(133,499)</w:t>
            </w:r>
          </w:p>
        </w:tc>
      </w:tr>
      <w:tr>
        <w:trPr>
          <w:trHeight w:val="215"/>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73,543</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222,781</w:t>
            </w:r>
          </w:p>
        </w:tc>
        <w:tc>
          <w:tcPr>
            <w:tcW w:w="10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(19,685)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(35,307)</w:t>
            </w:r>
          </w:p>
        </w:tc>
      </w:tr>
      <w:tr>
        <w:trPr>
          <w:trHeight w:val="215"/>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53,858</w:t>
            </w:r>
          </w:p>
        </w:tc>
        <w:tc>
          <w:tcPr>
            <w:tcW w:w="2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187,474</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Lessor Arrangements</w:t>
      </w:r>
    </w:p>
    <w:p>
      <w:pPr>
        <w:spacing w:after="0" w:line="120"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The Company is the lessor under non-cancellable operating leases mainly for mall spaces in the sites of City of Dreams, City of Dreams Manila, Studio City and City of Dreams Mediterranean with various retailers that expire at various dates through December 2035. Certain of the operating leases include minimum base fees with contingent fee clauses based on percentages of turnover.</w:t>
      </w:r>
    </w:p>
    <w:p>
      <w:pPr>
        <w:spacing w:after="0" w:line="57"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During the years ended December 31, 2023, 2022 and 2021, the Company earned minimum operating lease income of $45,210, $41,633 and $45,019, respectively, and contingent operating lease income of $7,810, $265 and $5,080, respectively. Total lease income for the years ended December 31, 2023, 2022 and 2021 were reduced by $52, $3,076 and $882, respectively, as a result of the rent concessions related to the effects of the COVID-19 outbreak.</w:t>
      </w:r>
    </w:p>
    <w:p>
      <w:pPr>
        <w:spacing w:after="0" w:line="65" w:lineRule="exact"/>
        <w:rPr>
          <w:sz w:val="20"/>
          <w:szCs w:val="20"/>
          <w:color w:val="auto"/>
        </w:rPr>
      </w:pPr>
    </w:p>
    <w:p>
      <w:pPr>
        <w:ind w:left="720" w:right="480"/>
        <w:spacing w:after="0" w:line="295" w:lineRule="auto"/>
        <w:rPr>
          <w:sz w:val="20"/>
          <w:szCs w:val="20"/>
          <w:color w:val="auto"/>
        </w:rPr>
      </w:pPr>
      <w:r>
        <w:rPr>
          <w:rFonts w:ascii="Times New Roman" w:cs="Times New Roman" w:eastAsia="Times New Roman" w:hAnsi="Times New Roman"/>
          <w:sz w:val="17"/>
          <w:szCs w:val="17"/>
          <w:color w:val="auto"/>
        </w:rPr>
        <w:t>Future minimum fees, excluding the contingent fees to be received under non-cancellable operating leases as of December 31, 2023 were as follows:</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6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6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56,427</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6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56,409</w:t>
            </w: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29,975</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6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7,257</w:t>
            </w: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3,378</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6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3,640</w:t>
            </w:r>
          </w:p>
        </w:tc>
      </w:tr>
      <w:tr>
        <w:trPr>
          <w:trHeight w:val="215"/>
        </w:trPr>
        <w:tc>
          <w:tcPr>
            <w:tcW w:w="3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157,086</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3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300" w:type="dxa"/>
            <w:vAlign w:val="bottom"/>
          </w:tcPr>
          <w:p>
            <w:pPr>
              <w:spacing w:after="0"/>
              <w:rPr>
                <w:sz w:val="24"/>
                <w:szCs w:val="24"/>
                <w:color w:val="auto"/>
              </w:rPr>
            </w:pPr>
          </w:p>
        </w:tc>
        <w:tc>
          <w:tcPr>
            <w:tcW w:w="6220" w:type="dxa"/>
            <w:vAlign w:val="bottom"/>
            <w:gridSpan w:val="2"/>
          </w:tcPr>
          <w:p>
            <w:pPr>
              <w:jc w:val="right"/>
              <w:ind w:right="4373"/>
              <w:spacing w:after="0"/>
              <w:rPr>
                <w:sz w:val="20"/>
                <w:szCs w:val="20"/>
                <w:color w:val="auto"/>
              </w:rPr>
            </w:pPr>
            <w:r>
              <w:rPr>
                <w:rFonts w:ascii="Times New Roman" w:cs="Times New Roman" w:eastAsia="Times New Roman" w:hAnsi="Times New Roman"/>
                <w:sz w:val="17"/>
                <w:szCs w:val="17"/>
                <w:color w:val="auto"/>
              </w:rPr>
              <w:t>F-54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3381375</wp:posOffset>
            </wp:positionV>
            <wp:extent cx="7178675" cy="666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120" w:right="6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960"/>
          </w:cols>
          <w:pgMar w:left="320" w:top="120" w:right="619" w:bottom="0" w:gutter="0" w:footer="0" w:header="0"/>
          <w:type w:val="continuous"/>
        </w:sectPr>
      </w:pPr>
    </w:p>
    <w:bookmarkStart w:id="258" w:name="page259"/>
    <w:bookmarkEnd w:id="258"/>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428" w:hanging="428"/>
        <w:spacing w:after="0"/>
        <w:tabs>
          <w:tab w:leader="none" w:pos="428" w:val="left"/>
        </w:tabs>
        <w:numPr>
          <w:ilvl w:val="0"/>
          <w:numId w:val="1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20" w:lineRule="exact"/>
        <w:rPr>
          <w:rFonts w:ascii="Times New Roman" w:cs="Times New Roman" w:eastAsia="Times New Roman" w:hAnsi="Times New Roman"/>
          <w:sz w:val="17"/>
          <w:szCs w:val="17"/>
          <w:b w:val="1"/>
          <w:bCs w:val="1"/>
          <w:color w:val="auto"/>
        </w:rPr>
      </w:pPr>
    </w:p>
    <w:p>
      <w:pPr>
        <w:ind w:left="428" w:right="26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70"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unadjusted quoted prices for identical instruments traded in active markets.</w:t>
      </w:r>
    </w:p>
    <w:p>
      <w:pPr>
        <w:spacing w:after="0" w:line="131" w:lineRule="exact"/>
        <w:rPr>
          <w:rFonts w:ascii="Times New Roman" w:cs="Times New Roman" w:eastAsia="Times New Roman" w:hAnsi="Times New Roman"/>
          <w:sz w:val="17"/>
          <w:szCs w:val="17"/>
          <w:color w:val="auto"/>
        </w:rPr>
      </w:pPr>
    </w:p>
    <w:p>
      <w:pPr>
        <w:ind w:left="948" w:hanging="530"/>
        <w:spacing w:after="0" w:line="276" w:lineRule="auto"/>
        <w:tabs>
          <w:tab w:leader="none" w:pos="94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Times New Roman" w:cs="Times New Roman" w:eastAsia="Times New Roman" w:hAnsi="Times New Roman"/>
          <w:sz w:val="17"/>
          <w:szCs w:val="17"/>
          <w:color w:val="auto"/>
        </w:rPr>
      </w:pPr>
    </w:p>
    <w:p>
      <w:pPr>
        <w:ind w:left="948" w:right="240" w:hanging="530"/>
        <w:spacing w:after="0" w:line="276" w:lineRule="auto"/>
        <w:tabs>
          <w:tab w:leader="none" w:pos="94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57" w:lineRule="exact"/>
        <w:rPr>
          <w:sz w:val="20"/>
          <w:szCs w:val="20"/>
          <w:color w:val="auto"/>
        </w:rPr>
      </w:pPr>
    </w:p>
    <w:p>
      <w:pPr>
        <w:ind w:left="428" w:right="120"/>
        <w:spacing w:after="0" w:line="295" w:lineRule="auto"/>
        <w:rPr>
          <w:sz w:val="20"/>
          <w:szCs w:val="20"/>
          <w:color w:val="auto"/>
        </w:rPr>
      </w:pPr>
      <w:r>
        <w:rPr>
          <w:rFonts w:ascii="Times New Roman" w:cs="Times New Roman" w:eastAsia="Times New Roman" w:hAnsi="Times New Roman"/>
          <w:sz w:val="17"/>
          <w:szCs w:val="17"/>
          <w:color w:val="auto"/>
        </w:rPr>
        <w:t>The carrying values of cash equivalents, bank time deposits included in restricted cash, long-term deposits, long-term receivables and other long-term liabilities approximated fair values and were classified as level 2 in the fair value hierarchy.</w:t>
      </w:r>
    </w:p>
    <w:p>
      <w:pPr>
        <w:spacing w:after="0" w:line="42" w:lineRule="exact"/>
        <w:rPr>
          <w:sz w:val="20"/>
          <w:szCs w:val="20"/>
          <w:color w:val="auto"/>
        </w:rPr>
      </w:pPr>
    </w:p>
    <w:p>
      <w:pPr>
        <w:ind w:left="428" w:right="20"/>
        <w:spacing w:after="0" w:line="295" w:lineRule="auto"/>
        <w:rPr>
          <w:sz w:val="20"/>
          <w:szCs w:val="20"/>
          <w:color w:val="auto"/>
        </w:rPr>
      </w:pPr>
      <w:r>
        <w:rPr>
          <w:rFonts w:ascii="Times New Roman" w:cs="Times New Roman" w:eastAsia="Times New Roman" w:hAnsi="Times New Roman"/>
          <w:sz w:val="17"/>
          <w:szCs w:val="17"/>
          <w:color w:val="auto"/>
        </w:rPr>
        <w:t>The fair value as of December 31, 2023 adopted for the long-lived assets impairment of Altira Macau as described in Note 2(m) were estimated by using level 3 inputs based on a combination of income and cost approaches.</w:t>
      </w:r>
    </w:p>
    <w:p>
      <w:pPr>
        <w:spacing w:after="0" w:line="42" w:lineRule="exact"/>
        <w:rPr>
          <w:sz w:val="20"/>
          <w:szCs w:val="20"/>
          <w:color w:val="auto"/>
        </w:rPr>
      </w:pPr>
    </w:p>
    <w:p>
      <w:pPr>
        <w:ind w:left="428" w:right="40"/>
        <w:spacing w:after="0" w:line="295" w:lineRule="auto"/>
        <w:rPr>
          <w:sz w:val="20"/>
          <w:szCs w:val="20"/>
          <w:color w:val="auto"/>
        </w:rPr>
      </w:pPr>
      <w:r>
        <w:rPr>
          <w:rFonts w:ascii="Times New Roman" w:cs="Times New Roman" w:eastAsia="Times New Roman" w:hAnsi="Times New Roman"/>
          <w:sz w:val="17"/>
          <w:szCs w:val="17"/>
          <w:color w:val="auto"/>
        </w:rPr>
        <w:t>The fair values as of December 31, 2022 adopted in impairment assessments of an aircraft and a piece of freehold land classified as assets held for sale were estimated by using level 2 and level 3 inputs, respectively. Details are disclosed in Note 2(m) and Note 5.</w:t>
      </w:r>
    </w:p>
    <w:p>
      <w:pPr>
        <w:spacing w:after="0" w:line="42" w:lineRule="exact"/>
        <w:rPr>
          <w:sz w:val="20"/>
          <w:szCs w:val="20"/>
          <w:color w:val="auto"/>
        </w:rPr>
      </w:pPr>
    </w:p>
    <w:p>
      <w:pPr>
        <w:ind w:left="428" w:right="140"/>
        <w:spacing w:after="0" w:line="263" w:lineRule="auto"/>
        <w:rPr>
          <w:sz w:val="20"/>
          <w:szCs w:val="20"/>
          <w:color w:val="auto"/>
        </w:rPr>
      </w:pPr>
      <w:r>
        <w:rPr>
          <w:rFonts w:ascii="Times New Roman" w:cs="Times New Roman" w:eastAsia="Times New Roman" w:hAnsi="Times New Roman"/>
          <w:sz w:val="17"/>
          <w:szCs w:val="17"/>
          <w:color w:val="auto"/>
        </w:rPr>
        <w:t>The estimated fair values of long-term debt as of December 31, 2023 and 2022, were approximately $6,975,901 and $7,341,910, respectively, as compared to their carrying values, excluding unamortized deferred financing costs and original issue premiums, of $7,499,771 and $8,449,459, respectively. Fair values were estimated using quoted market prices and were classified as level 1 in the fair value hierarchy for the 2017 4.875% Senior Notes, the 2019 5.250% Senior Notes, the 2019 5.625% Senior Notes, the 2019 5.375% Senior Notes, the 2020 5.750% Senior Notes, the 2020 Studio City Notes, the 2021 5.000% Studio City Notes and the 2022 7.000% Studio City Secured Notes. Fair values for the 2015 Credit Facilities, the 2020 Credit Facilities and the 2016 Studio City Credit Facilities approximated their carrying values as the instruments carried variable interest rates that approximated the market rates and were classified as level 2 in the fair value hierarchy.</w:t>
      </w:r>
    </w:p>
    <w:p>
      <w:pPr>
        <w:spacing w:after="0" w:line="69" w:lineRule="exact"/>
        <w:rPr>
          <w:sz w:val="20"/>
          <w:szCs w:val="20"/>
          <w:color w:val="auto"/>
        </w:rPr>
      </w:pPr>
    </w:p>
    <w:p>
      <w:pPr>
        <w:ind w:left="428" w:right="400"/>
        <w:spacing w:after="0" w:line="295" w:lineRule="auto"/>
        <w:rPr>
          <w:sz w:val="20"/>
          <w:szCs w:val="20"/>
          <w:color w:val="auto"/>
        </w:rPr>
      </w:pPr>
      <w:r>
        <w:rPr>
          <w:rFonts w:ascii="Times New Roman" w:cs="Times New Roman" w:eastAsia="Times New Roman" w:hAnsi="Times New Roman"/>
          <w:sz w:val="17"/>
          <w:szCs w:val="17"/>
          <w:color w:val="auto"/>
        </w:rPr>
        <w:t>As of December 31, 2023 and 2022, the Company did not have any non-financial assets or liabilities that were recognized or disclosed at fair value in the accompanying consolidated financial statements.</w:t>
      </w:r>
    </w:p>
    <w:p>
      <w:pPr>
        <w:spacing w:after="0" w:line="288" w:lineRule="exact"/>
        <w:rPr>
          <w:sz w:val="20"/>
          <w:szCs w:val="20"/>
          <w:color w:val="auto"/>
        </w:rPr>
      </w:pPr>
    </w:p>
    <w:p>
      <w:pPr>
        <w:ind w:left="428" w:right="8360" w:hanging="428"/>
        <w:spacing w:after="0" w:line="386" w:lineRule="auto"/>
        <w:tabs>
          <w:tab w:leader="none" w:pos="420" w:val="left"/>
        </w:tabs>
        <w:numPr>
          <w:ilvl w:val="0"/>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 Treasury Shares</w:t>
      </w:r>
    </w:p>
    <w:p>
      <w:pPr>
        <w:ind w:left="428" w:right="6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Melco’s treasury shares represent new shares issued by Melco and the shares repurchased by Melco under the respective share repurchase programs. The treasury shares are mainly held by the depositary bank to</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F-55</w:t>
      </w:r>
    </w:p>
    <w:p>
      <w:pPr>
        <w:sectPr>
          <w:pgSz w:w="11900" w:h="16838" w:orient="portrait"/>
          <w:cols w:equalWidth="0" w:num="1">
            <w:col w:w="10668"/>
          </w:cols>
          <w:pgMar w:left="612" w:top="119" w:right="6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520" w:hanging="428"/>
        <w:spacing w:after="0" w:line="394" w:lineRule="auto"/>
        <w:tabs>
          <w:tab w:leader="none" w:pos="712"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Treasury Shares</w:t>
      </w:r>
      <w:r>
        <w:rPr>
          <w:rFonts w:ascii="Times New Roman" w:cs="Times New Roman" w:eastAsia="Times New Roman" w:hAnsi="Times New Roman"/>
          <w:sz w:val="17"/>
          <w:szCs w:val="17"/>
          <w:color w:val="auto"/>
        </w:rPr>
        <w:t xml:space="preserve"> - continued</w:t>
      </w:r>
    </w:p>
    <w:p>
      <w:pPr>
        <w:ind w:left="720" w:right="5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facilitate the administration and operations of Melco’s share incentive plans, and are to be delivered to the directors, eligible employees and consultants on the vesting of restricted shares and upon the exercise of share options.</w:t>
      </w:r>
    </w:p>
    <w:p>
      <w:pPr>
        <w:spacing w:after="0" w:line="42" w:lineRule="exact"/>
        <w:rPr>
          <w:rFonts w:ascii="Times New Roman" w:cs="Times New Roman" w:eastAsia="Times New Roman" w:hAnsi="Times New Roman"/>
          <w:sz w:val="17"/>
          <w:szCs w:val="17"/>
          <w:b w:val="1"/>
          <w:bCs w:val="1"/>
          <w:color w:val="auto"/>
        </w:rPr>
      </w:pPr>
    </w:p>
    <w:p>
      <w:pPr>
        <w:ind w:left="720" w:right="1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ordinary shares were issued by Melco to its depositary bank for future vesting of restricted shares and exercise of share options during the years ended December 31, 2023, 2022 and 2021. Melco issued 16,254,282, 14,720,040 and 6,042,543 ordinary shares upon vesting of restricted shares and 82,242, nil and 2,478,594 ordinary shares upon exercise of share options during the years ended December 31, 2023, 2022 and 2021, respectively.</w:t>
      </w:r>
    </w:p>
    <w:p>
      <w:pPr>
        <w:spacing w:after="0" w:line="64"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 2021, the Board of Directors of Melco authorized the repurchase of Melco’s ordinary shares and/or ADSs of up to an aggregate of</w:t>
      </w:r>
    </w:p>
    <w:p>
      <w:pPr>
        <w:spacing w:after="0" w:line="31" w:lineRule="exact"/>
        <w:rPr>
          <w:rFonts w:ascii="Times New Roman" w:cs="Times New Roman" w:eastAsia="Times New Roman" w:hAnsi="Times New Roman"/>
          <w:sz w:val="17"/>
          <w:szCs w:val="17"/>
          <w:b w:val="1"/>
          <w:bCs w:val="1"/>
          <w:color w:val="auto"/>
        </w:rPr>
      </w:pPr>
    </w:p>
    <w:p>
      <w:pPr>
        <w:ind w:left="720" w:right="6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$500,000 over a three-year period which commenced on June 2, 2021 under a share repurchase program (the “2021 Share Repurchase Program”). Purchases under the 2021 Share Repurchase Program may be made from time to time on the open market at prevailing market prices, including pursuant to a trading plan in accordance with Rule 10b-18 and/or Rule 10b5-1 of the U.S. Securities Exchange Act, and/or in privately-negotiated transactions. The timing and the amount of ordinary shares and/or ADSs purchased were determined by Melco’s management based on its evaluation of market conditions, trading prices, applicable securities laws and other factors. The 2021 Share Repurchase Program may be suspended, modified or terminated by Melco at any time prior to its expiration.</w:t>
      </w:r>
    </w:p>
    <w:p>
      <w:pPr>
        <w:spacing w:after="0" w:line="70" w:lineRule="exact"/>
        <w:rPr>
          <w:rFonts w:ascii="Times New Roman" w:cs="Times New Roman" w:eastAsia="Times New Roman" w:hAnsi="Times New Roman"/>
          <w:sz w:val="17"/>
          <w:szCs w:val="17"/>
          <w:b w:val="1"/>
          <w:bCs w:val="1"/>
          <w:color w:val="auto"/>
        </w:rPr>
      </w:pPr>
    </w:p>
    <w:p>
      <w:pPr>
        <w:ind w:left="720" w:right="4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August 18, 2022, Melco, Melco International and Melco Leisure and Entertainment Group Limited (“Melco Leisure”), a subsidiary of Melco International, entered into a share repurchase agreement, pursuant to which Melco agreed to repurchase 9,995,799 ordinary shares of Melco and 25,000,000 ADSs of Melco (equivalent to 75,000,000 ordinary shares) from Melco Leisure (the “2022 Share Repurchase”). On August 26, 2022, the Share Repurchase was completed for an aggregate consideration of $152,709, which represents an average price of $1.7967 per share or $5.39 per ADS. Following the completion of the 2022 Share Repurchase, 9,995,799 ordinary shares of Melco were retired (the “2022 Share Retirement”).</w:t>
      </w:r>
    </w:p>
    <w:p>
      <w:pPr>
        <w:spacing w:after="0" w:line="279" w:lineRule="exact"/>
        <w:rPr>
          <w:rFonts w:ascii="Times New Roman" w:cs="Times New Roman" w:eastAsia="Times New Roman" w:hAnsi="Times New Roman"/>
          <w:sz w:val="17"/>
          <w:szCs w:val="17"/>
          <w:b w:val="1"/>
          <w:bCs w:val="1"/>
          <w:color w:val="auto"/>
        </w:rPr>
      </w:pPr>
    </w:p>
    <w:p>
      <w:pPr>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8, 2023, Melco, Melco International and Melco Leisure entered into a share repurchase agreement, pursuant to which Melco agreed to repurchase 40,373,076 ordinary shares of Melco from Melco Leisure (the “2023 Share Repurchase”). On March 10, 2023, the 2023 Share Repurchase was completed for an aggregate consideration of $169,836, which represents an average price of $4.2067 per share or $12.62 per ADS and 40,373,076 ordinary shares of Melco repurchased from Melco Leisure were retired on the same date (the “2023 Share Retirement”).</w:t>
      </w:r>
    </w:p>
    <w:p>
      <w:pPr>
        <w:spacing w:after="0" w:line="64" w:lineRule="exact"/>
        <w:rPr>
          <w:rFonts w:ascii="Times New Roman" w:cs="Times New Roman" w:eastAsia="Times New Roman" w:hAnsi="Times New Roman"/>
          <w:sz w:val="17"/>
          <w:szCs w:val="17"/>
          <w:b w:val="1"/>
          <w:bCs w:val="1"/>
          <w:color w:val="auto"/>
        </w:rPr>
      </w:pPr>
    </w:p>
    <w:p>
      <w:pPr>
        <w:ind w:left="720" w:right="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than the 2023 Share Repurchase and the 2023 Share Retirement as described above, no ordinary shares were repurchased and retired during the year ended December 31, 2023. In addition to the 2022 Share Repurchase and the 2022 Share Retirement as described above, 5,929,076 ADSs, equivalent to 17,787,228 ordinary shares were repurchased under the 2021 Share Repurchase Program, of which 1,500,000 ordinary shares repurchased were retired during the year ended December 31, 2022. During the year ended December 31, 2021, 5,372,045 ADSs, equivalent to 16,116,135 ordinary shares were repurchased under the 2021 Share Repurchase Program, of which no ordinary shares repurchased were retired.</w:t>
      </w:r>
    </w:p>
    <w:p>
      <w:pPr>
        <w:spacing w:after="0" w:line="66" w:lineRule="exact"/>
        <w:rPr>
          <w:rFonts w:ascii="Times New Roman" w:cs="Times New Roman" w:eastAsia="Times New Roman" w:hAnsi="Times New Roman"/>
          <w:sz w:val="17"/>
          <w:szCs w:val="17"/>
          <w:b w:val="1"/>
          <w:bCs w:val="1"/>
          <w:color w:val="auto"/>
        </w:rPr>
      </w:pPr>
    </w:p>
    <w:p>
      <w:pPr>
        <w:ind w:left="720" w:right="5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Melco had 1,404,679,067 and 1,445,052,143 issued ordinary shares, and 93,408,292 and 109,744,816 treasury shares, with 1,311,270,775 and 1,335,307,327 ordinary shares outstanding, respectively.</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F-56</w:t>
      </w:r>
    </w:p>
    <w:p>
      <w:pPr>
        <w:sectPr>
          <w:pgSz w:w="11900" w:h="16838" w:orient="portrait"/>
          <w:cols w:equalWidth="0" w:num="1">
            <w:col w:w="10940"/>
          </w:cols>
          <w:pgMar w:left="320" w:top="473" w:right="6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15.</w:t>
        <w:tab/>
        <w:t>INCOME TAXES</w:t>
      </w:r>
    </w:p>
    <w:p>
      <w:pPr>
        <w:spacing w:after="0" w:line="120"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 consisted of:</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2"/>
          </w:tcPr>
          <w:p>
            <w:pPr>
              <w:jc w:val="right"/>
              <w:ind w:right="260"/>
              <w:spacing w:after="0"/>
              <w:rPr>
                <w:sz w:val="20"/>
                <w:szCs w:val="20"/>
                <w:color w:val="auto"/>
              </w:rPr>
            </w:pPr>
            <w:r>
              <w:rPr>
                <w:rFonts w:ascii="Times New Roman" w:cs="Times New Roman" w:eastAsia="Times New Roman" w:hAnsi="Times New Roman"/>
                <w:sz w:val="17"/>
                <w:szCs w:val="17"/>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 operations</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71"/>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(720,470)</w:t>
            </w:r>
          </w:p>
        </w:tc>
        <w:tc>
          <w:tcPr>
            <w:tcW w:w="8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(456,089)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Hong Kong operations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(474,862)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(400,725)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(434,618)</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 operations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28,204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(51,436)</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Cyprus operations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(13,454)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jurisdictions operations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7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(401,908)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(1,091,931)</w:t>
            </w:r>
          </w:p>
        </w:tc>
        <w:tc>
          <w:tcPr>
            <w:tcW w:w="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(953,579)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income tax expense consisted of:</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6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7"/>
                <w:szCs w:val="17"/>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Income tax expense - current:</w:t>
            </w:r>
          </w:p>
        </w:tc>
        <w:tc>
          <w:tcPr>
            <w:tcW w:w="7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Lump sum in lieu of Macau Complementary Tax on dividends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2,342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2,359</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528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Philippine withholding tax on dividends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2,937</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Cyprus Corporate Income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5"/>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6,028</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(Over) under provision of income taxes in prior years: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Lump sum in lieu of Macau Complementary Tax on dividends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(1,327)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   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4"/>
              </w:rPr>
              <w:t>          14</w:t>
            </w:r>
          </w:p>
        </w:tc>
        <w:tc>
          <w:tcPr>
            <w:tcW w:w="0" w:type="dxa"/>
            <w:vAlign w:val="bottom"/>
          </w:tcPr>
          <w:p>
            <w:pPr>
              <w:spacing w:after="0"/>
              <w:rPr>
                <w:sz w:val="1"/>
                <w:szCs w:val="1"/>
                <w:color w:val="auto"/>
              </w:rPr>
            </w:pPr>
          </w:p>
        </w:tc>
      </w:tr>
      <w:tr>
        <w:trPr>
          <w:trHeight w:val="221"/>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(2,395)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86"/>
              </w:rPr>
              <w:t>(166)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 - deferred:</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(7,931)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(4,535)</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2,493</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Cyprus Corporate Income Tax</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15"/>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(4,082)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2,299</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Total income tax expense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9"/>
              </w:rPr>
              <w:t>5,236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gridSpan w:val="2"/>
            <w:vMerge w:val="restart"/>
          </w:tcPr>
          <w:p>
            <w:pPr>
              <w:jc w:val="right"/>
              <w:ind w:right="553"/>
              <w:spacing w:after="0"/>
              <w:rPr>
                <w:sz w:val="20"/>
                <w:szCs w:val="20"/>
                <w:color w:val="auto"/>
              </w:rPr>
            </w:pPr>
            <w:r>
              <w:rPr>
                <w:rFonts w:ascii="Times New Roman" w:cs="Times New Roman" w:eastAsia="Times New Roman" w:hAnsi="Times New Roman"/>
                <w:sz w:val="17"/>
                <w:szCs w:val="17"/>
                <w:color w:val="auto"/>
              </w:rPr>
              <w:t>F-57</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4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reconciliation of the income tax expense from loss before income tax per the accompanying consolidated statements of operations is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Year Ended December 31,</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60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2021</w:t>
            </w:r>
          </w:p>
        </w:tc>
        <w:tc>
          <w:tcPr>
            <w:tcW w:w="200" w:type="dxa"/>
            <w:vAlign w:val="bottom"/>
            <w:tcBorders>
              <w:bottom w:val="single" w:sz="8" w:color="CCEEFF"/>
            </w:tcBorders>
          </w:tcPr>
          <w:p>
            <w:pPr>
              <w:spacing w:after="0"/>
              <w:rPr>
                <w:sz w:val="17"/>
                <w:szCs w:val="17"/>
                <w:color w:val="auto"/>
              </w:rPr>
            </w:pPr>
          </w:p>
        </w:tc>
      </w:tr>
      <w:tr>
        <w:trPr>
          <w:trHeight w:val="20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(401,908)</w:t>
            </w:r>
          </w:p>
        </w:tc>
        <w:tc>
          <w:tcPr>
            <w:tcW w:w="5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(1,091,931)</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(953,579)</w:t>
            </w:r>
          </w:p>
        </w:tc>
        <w:tc>
          <w:tcPr>
            <w:tcW w:w="200" w:type="dxa"/>
            <w:vAlign w:val="bottom"/>
            <w:shd w:val="clear" w:color="auto" w:fill="CCEEFF"/>
          </w:tcPr>
          <w:p>
            <w:pPr>
              <w:spacing w:after="0"/>
              <w:rPr>
                <w:sz w:val="17"/>
                <w:szCs w:val="17"/>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Macau Complementary Tax rate</w:t>
            </w:r>
          </w:p>
        </w:tc>
        <w:tc>
          <w:tcPr>
            <w:tcW w:w="200" w:type="dxa"/>
            <w:vAlign w:val="bottom"/>
          </w:tcPr>
          <w:p>
            <w:pPr>
              <w:spacing w:after="0"/>
              <w:rPr>
                <w:sz w:val="18"/>
                <w:szCs w:val="18"/>
                <w:color w:val="auto"/>
              </w:rPr>
            </w:pPr>
          </w:p>
        </w:tc>
        <w:tc>
          <w:tcPr>
            <w:tcW w:w="136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at Macau Complementary Tax rate</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(48,229)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(131,032)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(114,429)</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Lump sum in lieu of Macau Complementary Tax on dividends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2,342</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2,359</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different tax rates of subsidiaries operating in other jurisdictions</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(13,422)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(12,271)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(31,653)</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Over provision in prior years</w:t>
            </w:r>
          </w:p>
        </w:tc>
        <w:tc>
          <w:tcPr>
            <w:tcW w:w="200" w:type="dxa"/>
            <w:vAlign w:val="bottom"/>
          </w:tcPr>
          <w:p>
            <w:pPr>
              <w:spacing w:after="0"/>
              <w:rPr>
                <w:sz w:val="18"/>
                <w:szCs w:val="18"/>
                <w:color w:val="auto"/>
              </w:rPr>
            </w:pPr>
          </w:p>
        </w:tc>
        <w:tc>
          <w:tcPr>
            <w:tcW w:w="1360" w:type="dxa"/>
            <w:vAlign w:val="bottom"/>
            <w:gridSpan w:val="3"/>
          </w:tcPr>
          <w:p>
            <w:pPr>
              <w:jc w:val="right"/>
              <w:ind w:right="433"/>
              <w:spacing w:after="0"/>
              <w:rPr>
                <w:sz w:val="20"/>
                <w:szCs w:val="20"/>
                <w:color w:val="auto"/>
              </w:rPr>
            </w:pPr>
            <w:r>
              <w:rPr>
                <w:rFonts w:ascii="Times New Roman" w:cs="Times New Roman" w:eastAsia="Times New Roman" w:hAnsi="Times New Roman"/>
                <w:sz w:val="17"/>
                <w:szCs w:val="17"/>
                <w:color w:val="auto"/>
              </w:rPr>
              <w:t>(2,395)</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(904)</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income for which no income tax expense is payable</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(14,178)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(11,727)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(6,308)</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Effect of expenses for which no income tax benefit is receivable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80,455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70,687</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101,111</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profits generated by gaming operations exempted</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(75,403)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(25,700)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(10,851)</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Effect of tax losses that cannot be carried forward</w:t>
            </w:r>
          </w:p>
        </w:tc>
        <w:tc>
          <w:tcPr>
            <w:tcW w:w="200" w:type="dxa"/>
            <w:vAlign w:val="bottom"/>
          </w:tcPr>
          <w:p>
            <w:pPr>
              <w:spacing w:after="0"/>
              <w:rPr>
                <w:sz w:val="18"/>
                <w:szCs w:val="18"/>
                <w:color w:val="auto"/>
              </w:rPr>
            </w:pPr>
          </w:p>
        </w:tc>
        <w:tc>
          <w:tcPr>
            <w:tcW w:w="136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15,553</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6,742</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27,004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48,122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(13,360)</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Change in income tax rate</w:t>
            </w:r>
          </w:p>
        </w:tc>
        <w:tc>
          <w:tcPr>
            <w:tcW w:w="200" w:type="dxa"/>
            <w:vAlign w:val="bottom"/>
          </w:tcPr>
          <w:p>
            <w:pPr>
              <w:spacing w:after="0"/>
              <w:rPr>
                <w:sz w:val="18"/>
                <w:szCs w:val="18"/>
                <w:color w:val="auto"/>
              </w:rPr>
            </w:pPr>
          </w:p>
        </w:tc>
        <w:tc>
          <w:tcPr>
            <w:tcW w:w="136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16,521</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 tax losses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53,940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49,428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53,657</w:t>
            </w:r>
          </w:p>
        </w:tc>
      </w:tr>
      <w:tr>
        <w:trPr>
          <w:trHeight w:val="215"/>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2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80"/>
        <w:spacing w:after="0" w:line="266" w:lineRule="auto"/>
        <w:rPr>
          <w:sz w:val="20"/>
          <w:szCs w:val="20"/>
          <w:color w:val="auto"/>
        </w:rPr>
      </w:pPr>
      <w:r>
        <w:rPr>
          <w:rFonts w:ascii="Times New Roman" w:cs="Times New Roman" w:eastAsia="Times New Roman" w:hAnsi="Times New Roman"/>
          <w:sz w:val="17"/>
          <w:szCs w:val="17"/>
          <w:color w:val="auto"/>
        </w:rPr>
        <w:t>Melco and certain of its subsidiaries are exempt from tax in the Cayman Islands or British Virgin Islands, where they are incorporated, while Melco is subject to Hong Kong Profits Tax on profits from its activities conducted in Hong Kong. Certain subsidiaries incorporated or conducting businesses in Macau, Hong Kong, the Philippines, Cyprus and other jurisdictions are subject to Macau Complementary Tax, Hong Kong Profits Tax, Philippine Corporate Income Tax, Cyprus Corporate Income Tax and income tax in other jurisdictions, respectively, during the years ended December 31, 2023, 2022 and 2021.</w:t>
      </w:r>
    </w:p>
    <w:p>
      <w:pPr>
        <w:spacing w:after="0" w:line="67" w:lineRule="exact"/>
        <w:rPr>
          <w:sz w:val="20"/>
          <w:szCs w:val="20"/>
          <w:color w:val="auto"/>
        </w:rPr>
      </w:pPr>
    </w:p>
    <w:p>
      <w:pPr>
        <w:jc w:val="both"/>
        <w:ind w:left="720" w:right="220"/>
        <w:spacing w:after="0" w:line="276" w:lineRule="auto"/>
        <w:rPr>
          <w:sz w:val="20"/>
          <w:szCs w:val="20"/>
          <w:color w:val="auto"/>
        </w:rPr>
      </w:pPr>
      <w:r>
        <w:rPr>
          <w:rFonts w:ascii="Times New Roman" w:cs="Times New Roman" w:eastAsia="Times New Roman" w:hAnsi="Times New Roman"/>
          <w:sz w:val="17"/>
          <w:szCs w:val="17"/>
          <w:color w:val="auto"/>
        </w:rPr>
        <w:t>Macau Complementary Tax, Hong Kong Profits Tax, Cyprus Corporate Income Tax and income tax in other jurisdictions have been provided at 12%, 16.5%, 12.5% and the respective tax rates in other jurisdictions, on the estimated taxable income earned in or derived from the respective jurisdictions, respectively, during the years ended December 31, 2023, 2022 and 2021, if applicable.</w:t>
      </w:r>
    </w:p>
    <w:p>
      <w:pPr>
        <w:spacing w:after="0" w:line="57" w:lineRule="exact"/>
        <w:rPr>
          <w:sz w:val="20"/>
          <w:szCs w:val="20"/>
          <w:color w:val="auto"/>
        </w:rPr>
      </w:pPr>
    </w:p>
    <w:p>
      <w:pPr>
        <w:ind w:left="720" w:right="100"/>
        <w:spacing w:after="0" w:line="276" w:lineRule="auto"/>
        <w:rPr>
          <w:sz w:val="20"/>
          <w:szCs w:val="20"/>
          <w:color w:val="auto"/>
        </w:rPr>
      </w:pPr>
      <w:r>
        <w:rPr>
          <w:rFonts w:ascii="Times New Roman" w:cs="Times New Roman" w:eastAsia="Times New Roman" w:hAnsi="Times New Roman"/>
          <w:sz w:val="17"/>
          <w:szCs w:val="17"/>
          <w:color w:val="auto"/>
        </w:rPr>
        <w:t>On March 26, 2021, in the Philippines, the Corporate Recovery and Tax Incentives for Enterprises (“CREATE”) took effect on April 11, 2021. CREATE reduced the minimum corporate income tax in the Philippines from 2% to 1% for the period from July 1, 2020 to June 30, 2023 and the corporate income tax rate in the Philippines from 30% to 25% starting July 1, 2020.</w:t>
      </w:r>
    </w:p>
    <w:p>
      <w:pPr>
        <w:spacing w:after="0" w:line="57" w:lineRule="exact"/>
        <w:rPr>
          <w:sz w:val="20"/>
          <w:szCs w:val="20"/>
          <w:color w:val="auto"/>
        </w:rPr>
      </w:pPr>
    </w:p>
    <w:p>
      <w:pPr>
        <w:ind w:left="720" w:right="220"/>
        <w:spacing w:after="0" w:line="266" w:lineRule="auto"/>
        <w:rPr>
          <w:sz w:val="20"/>
          <w:szCs w:val="20"/>
          <w:color w:val="auto"/>
        </w:rPr>
      </w:pPr>
      <w:r>
        <w:rPr>
          <w:rFonts w:ascii="Times New Roman" w:cs="Times New Roman" w:eastAsia="Times New Roman" w:hAnsi="Times New Roman"/>
          <w:sz w:val="17"/>
          <w:szCs w:val="17"/>
          <w:color w:val="auto"/>
        </w:rPr>
        <w:t>Pursuant to the approval notice issued by the Macau government in September 2016, Melco Resorts Macau was granted an extension of the Macau Complementary Tax exemption on profits generated from gaming operations for an additional five years from 2017 to 2021. Studio City Entertainment Limited (“Studio City Entertainment”), a subsidiary of Melco, was also exempted from Macau Complementary Tax on profits generated from income received from Melco Resorts Macau for an additional five years from 2017 to 2021, to the extent that such income was derived from Studio City gaming operations and had been subject to</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F-58</w:t>
      </w:r>
    </w:p>
    <w:p>
      <w:pPr>
        <w:sectPr>
          <w:pgSz w:w="11900" w:h="16838" w:orient="portrait"/>
          <w:cols w:equalWidth="0" w:num="1">
            <w:col w:w="10960"/>
          </w:cols>
          <w:pgMar w:left="320" w:top="472" w:right="6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gaming tax pursuant to a notice issued by the Macau government in January 2017. The exemption coincided with Melco Resorts Macau’s exemption from Macau Complementary Tax. Pursuant to Dispatch of the Macau Chief Executive dated February 17, 2022 and September 1, 2022, Melco Resorts Macau was granted an extension of the Macau Complementary Tax exemption on profits generated from gaming operations under the previous gaming subconcession for the period from January 1, 2022 to June 26, 2022 and from June 27, 2022 to December 31, 2022, respectively. Melco Resorts Macau continues to benefit from the Macau Complementary Tax exemption on profits generated from gaming operations under the Concession for the period from January 1, 2023 to December 31, 2027 pursuant to a Dispatch of the Macau Chief Executive dated January 29, 2024. Studio City Entertainment applied for an extension of the Macau Complementary Tax exemption for 2022 and for the period from January 1, 2023 through December 31, 2027. These applications are subject to the discretionary approval of the Macau government. The non-gaming profits and dividend distributions of Studio City Entertainment to its shareholders continue to be subject to the Macau Complementary Tax. Melco Resorts Macau’s non-gaming profits remain subject to the Macau Complementary Tax and its casino revenues remain subject to the Macau special gaming tax and other levies in accordance with the Concession effective on January 1, 2023.</w:t>
      </w:r>
    </w:p>
    <w:p>
      <w:pPr>
        <w:spacing w:after="0" w:line="75" w:lineRule="exact"/>
        <w:rPr>
          <w:rFonts w:ascii="Times New Roman" w:cs="Times New Roman" w:eastAsia="Times New Roman" w:hAnsi="Times New Roman"/>
          <w:sz w:val="17"/>
          <w:szCs w:val="17"/>
          <w:b w:val="1"/>
          <w:bCs w:val="1"/>
          <w:color w:val="auto"/>
        </w:rPr>
      </w:pPr>
    </w:p>
    <w:p>
      <w:pPr>
        <w:ind w:left="720" w:right="4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gaming operations of Melco Resorts Leisure, the operator of City of Dreams Manila, are exempt from Philippine Corporate Income Tax, among other taxes, pursuant to the Philippine Amusement and Gaming Corporation (“PAGCOR”) charter and are subject to license fees which are inclusive of the 5% franchise tax based on gross gaming revenue in the Philippines, in lieu of all other taxes.</w:t>
      </w:r>
    </w:p>
    <w:p>
      <w:pPr>
        <w:spacing w:after="0" w:line="57" w:lineRule="exact"/>
        <w:rPr>
          <w:rFonts w:ascii="Times New Roman" w:cs="Times New Roman" w:eastAsia="Times New Roman" w:hAnsi="Times New Roman"/>
          <w:sz w:val="17"/>
          <w:szCs w:val="17"/>
          <w:b w:val="1"/>
          <w:bCs w:val="1"/>
          <w:color w:val="auto"/>
        </w:rPr>
      </w:pPr>
    </w:p>
    <w:p>
      <w:pPr>
        <w:ind w:left="7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Had Melco Resorts Macau and Melco Resorts Leisure not have been entitled to the income tax exemption on profits generated by gaming operations for the year ended December 31, 2023 in Macau and the Philippines, respectively, and if Studio City Entertainment’s application for the extended exemption from Macau Complementary Tax on profits generated from income received from Melco Resorts Macau will not be approved, the Company’s consolidated net loss attributable to Melco Resorts &amp; Entertainment Limited for the year ended December 31, 2023 would have been increased by $75,190 and diluted loss per share would have been increased by $0.057 per share. During the years ended December 31, 2022 and 2021, Melco Resorts Macau and Studio City Entertainment in Macau did not have any profits generated by gaming operations exempted from Macau Complementary Tax, while had Melco Resorts Leisure not received the income tax exemption on profits generated by gaming operations in the Philippines, the Company’s consolidated net loss attributable to Melco Resorts &amp; Entertainment Limited for the years ended December 31, 2022 and 2021 would have been increased by $25,252 and $10,688, and diluted loss per share would have been increased by $0.018 and $0.007 per share, respectively.</w:t>
      </w:r>
    </w:p>
    <w:p>
      <w:pPr>
        <w:spacing w:after="0" w:line="69" w:lineRule="exact"/>
        <w:rPr>
          <w:rFonts w:ascii="Times New Roman" w:cs="Times New Roman" w:eastAsia="Times New Roman" w:hAnsi="Times New Roman"/>
          <w:sz w:val="17"/>
          <w:szCs w:val="17"/>
          <w:b w:val="1"/>
          <w:bCs w:val="1"/>
          <w:color w:val="auto"/>
        </w:rPr>
      </w:pPr>
    </w:p>
    <w:p>
      <w:pPr>
        <w:ind w:left="72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August 2017, Melco Resorts Macau received an extension of the agreement with the Macau government for an additional five years applicable to tax years 2017 through 2021, in which the extension agreement provided for an annual payment of MOP18,900 (equivalent to $2,342) as payments in lieu of Macau Complementary Tax which would otherwise be borne by the shareholders of Melco Resorts Macau on dividend distributions from gaming profits (“Payments in lieu of Macau Complementary Tax on Dividend Distributions”). Such annual payment was required regardless of whether dividends were actually distributed or whether Melco Resorts Macau had distributable profits in the relevant year. In December 2022 and March 2023, Melco Resorts Macau received extensions of the agreements with the Macau government for an amount of MOP4,000 (equivalent to $497) and MOP4,167 (equivalent to $518) as Payments in lieu of Macau Complementary Tax on Dividend Distributions for the period from January 1, 2022 to June 26, 2022 and from June 27, 2022 to December 31, 2022, respectively. In February 2024, Melco Resorts Macau entered into an agreement with the Macau government in relation to the Payments in lieu of</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F-59</w:t>
      </w:r>
    </w:p>
    <w:p>
      <w:pPr>
        <w:sectPr>
          <w:pgSz w:w="11900" w:h="16838" w:orient="portrait"/>
          <w:cols w:equalWidth="0" w:num="1">
            <w:col w:w="10960"/>
          </w:cols>
          <w:pgMar w:left="320" w:top="473" w:right="6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Macau Complementary Tax on Dividend Distributions from January 1, 2023 to December 31, 2025. During the year ended December 31, 2023, an estimated amount of $5,650 was provided for such arrangement.</w:t>
      </w:r>
    </w:p>
    <w:p>
      <w:pPr>
        <w:spacing w:after="0" w:line="42" w:lineRule="exact"/>
        <w:rPr>
          <w:rFonts w:ascii="Times New Roman" w:cs="Times New Roman" w:eastAsia="Times New Roman" w:hAnsi="Times New Roman"/>
          <w:sz w:val="17"/>
          <w:szCs w:val="17"/>
          <w:b w:val="1"/>
          <w:bCs w:val="1"/>
          <w:color w:val="auto"/>
        </w:rPr>
      </w:pPr>
    </w:p>
    <w:p>
      <w:pPr>
        <w:ind w:left="720" w:right="6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effective tax rates for the years ended December 31, 2023, 2022 and 2021 were (3.34)%, (0.48)% and (0.30)%, respectively. Such rates differ from the statutory Macau Complementary Tax rate of 12%, where the majority of the Company’s operations are located, primarily due to the effects of expired tax losses, expenses for which no income tax benefit is receivable, income for which no income tax expense is payable, changes in valuation allowances, profits generated by gaming operations being exempted from Philippine Corporate Income Tax and different tax rates of subsidiaries operating in other jurisdictions for the relevant years together with the effect of profits generated by gaming operations being exempted from Macau Complementary Tax for the year ended December 31, 2023; the effect of tax losses that cannot be carried forward for the year ended December 31, 2022; and the effects of tax losses that cannot be carried forward and change in income tax rate for the year ended December 31, 2021.</w:t>
      </w:r>
    </w:p>
    <w:p>
      <w:pPr>
        <w:spacing w:after="0" w:line="28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net deferred tax liabilities as of December 31, 2023 and 2022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7"/>
          </w:tcPr>
          <w:p>
            <w:pPr>
              <w:jc w:val="right"/>
              <w:ind w:right="418"/>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7"/>
                <w:szCs w:val="17"/>
                <w:color w:val="auto"/>
              </w:rPr>
            </w:pPr>
          </w:p>
        </w:tc>
      </w:tr>
      <w:tr>
        <w:trPr>
          <w:trHeight w:val="189"/>
        </w:trPr>
        <w:tc>
          <w:tcPr>
            <w:tcW w:w="8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losses carried forward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205,189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206,079</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76,272</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30,492</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13,052</w:t>
            </w:r>
          </w:p>
        </w:tc>
      </w:tr>
      <w:tr>
        <w:trPr>
          <w:trHeight w:val="215"/>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409,069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325,895</w:t>
            </w:r>
          </w:p>
        </w:tc>
        <w:tc>
          <w:tcPr>
            <w:tcW w:w="120" w:type="dxa"/>
            <w:vAlign w:val="bottom"/>
          </w:tcPr>
          <w:p>
            <w:pPr>
              <w:spacing w:after="0"/>
              <w:rPr>
                <w:sz w:val="18"/>
                <w:szCs w:val="18"/>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(374,623)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(299,620)</w:t>
            </w:r>
          </w:p>
        </w:tc>
      </w:tr>
      <w:tr>
        <w:trPr>
          <w:trHeight w:val="221"/>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26,275</w:t>
            </w:r>
          </w:p>
        </w:tc>
        <w:tc>
          <w:tcPr>
            <w:tcW w:w="120" w:type="dxa"/>
            <w:vAlign w:val="bottom"/>
          </w:tcPr>
          <w:p>
            <w:pPr>
              <w:spacing w:after="0"/>
              <w:rPr>
                <w:sz w:val="19"/>
                <w:szCs w:val="19"/>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(10,413)</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Land use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(44,434)</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capital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(4,279)</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(5,683)</w:t>
            </w:r>
          </w:p>
        </w:tc>
      </w:tr>
      <w:tr>
        <w:trPr>
          <w:trHeight w:val="26"/>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(65,314)</w:t>
            </w:r>
          </w:p>
        </w:tc>
      </w:tr>
      <w:tr>
        <w:trPr>
          <w:trHeight w:val="215"/>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(34,959</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40"/>
        <w:spacing w:after="0" w:line="269" w:lineRule="auto"/>
        <w:rPr>
          <w:sz w:val="20"/>
          <w:szCs w:val="20"/>
          <w:color w:val="auto"/>
        </w:rPr>
      </w:pPr>
      <w:r>
        <w:rPr>
          <w:rFonts w:ascii="Times New Roman" w:cs="Times New Roman" w:eastAsia="Times New Roman" w:hAnsi="Times New Roman"/>
          <w:sz w:val="17"/>
          <w:szCs w:val="17"/>
          <w:color w:val="auto"/>
        </w:rPr>
        <w:t>As of December 31, 2023 and 2022, valuation allowances of $374,623 and $299,620 were provided, respectively, as management believes it is more likely than not that these deferred tax assets will not be realized. As of December 31, 2023, adjusted operating tax losses carried forward of $10,048 have no expiry date and the remaining tax losses amounting to $1,380,467 will expire by 2024 through 2033. Adjusted operating tax losses carried forward of $448,834 expired during the year ended December 31, 2023.</w:t>
      </w:r>
    </w:p>
    <w:p>
      <w:pPr>
        <w:spacing w:after="0" w:line="65" w:lineRule="exact"/>
        <w:rPr>
          <w:sz w:val="20"/>
          <w:szCs w:val="20"/>
          <w:color w:val="auto"/>
        </w:rPr>
      </w:pPr>
    </w:p>
    <w:p>
      <w:pPr>
        <w:ind w:left="720" w:right="280"/>
        <w:spacing w:after="0" w:line="276" w:lineRule="auto"/>
        <w:rPr>
          <w:sz w:val="20"/>
          <w:szCs w:val="20"/>
          <w:color w:val="auto"/>
        </w:rPr>
      </w:pPr>
      <w:r>
        <w:rPr>
          <w:rFonts w:ascii="Times New Roman" w:cs="Times New Roman" w:eastAsia="Times New Roman" w:hAnsi="Times New Roman"/>
          <w:sz w:val="17"/>
          <w:szCs w:val="17"/>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F-60</w:t>
      </w:r>
    </w:p>
    <w:p>
      <w:pPr>
        <w:sectPr>
          <w:pgSz w:w="11900" w:h="16838" w:orient="portrait"/>
          <w:cols w:equalWidth="0" w:num="1">
            <w:col w:w="10960"/>
          </w:cols>
          <w:pgMar w:left="320" w:top="472" w:right="6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Aggregate undistributed earnings of certain of Melco’s foreign subsidiaries available for distribution to Melco of approximately $745,694 and</w:t>
      </w:r>
    </w:p>
    <w:p>
      <w:pPr>
        <w:spacing w:after="0" w:line="31" w:lineRule="exact"/>
        <w:rPr>
          <w:rFonts w:ascii="Times New Roman" w:cs="Times New Roman" w:eastAsia="Times New Roman" w:hAnsi="Times New Roman"/>
          <w:sz w:val="17"/>
          <w:szCs w:val="17"/>
          <w:b w:val="1"/>
          <w:bCs w:val="1"/>
          <w:color w:val="auto"/>
        </w:rPr>
      </w:pPr>
    </w:p>
    <w:p>
      <w:pPr>
        <w:ind w:left="720" w:right="6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$745,425 as of December 31, 2023 and 2022, respectively, are considered to be indefinitely reinvested. Accordingly, no provision has been made for the dividend withholding taxes that would be payable upon the distribution of those amounts to Melco. If those earnings were to be distributed or they were determined to be no longer permanently reinvested, Melco would have to record a deferred income tax liability in respect of those undistributed earnings of approximately $89,483 and $89,449 as of December 31, 2023 and 2022, respectively.</w:t>
      </w:r>
    </w:p>
    <w:p>
      <w:pPr>
        <w:spacing w:after="0" w:line="69"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reconciliation of the beginning and ending amounts of unrecognized tax benefits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5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2021</w:t>
            </w:r>
          </w:p>
        </w:tc>
        <w:tc>
          <w:tcPr>
            <w:tcW w:w="160" w:type="dxa"/>
            <w:vAlign w:val="bottom"/>
          </w:tcPr>
          <w:p>
            <w:pPr>
              <w:spacing w:after="0"/>
              <w:rPr>
                <w:sz w:val="17"/>
                <w:szCs w:val="17"/>
                <w:color w:val="auto"/>
              </w:rPr>
            </w:pPr>
          </w:p>
        </w:tc>
      </w:tr>
      <w:tr>
        <w:trPr>
          <w:trHeight w:val="20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beginning of year</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22,940</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16,342</w:t>
            </w:r>
          </w:p>
        </w:tc>
        <w:tc>
          <w:tcPr>
            <w:tcW w:w="3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15,132</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current year</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2,028</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prior year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Reductions due to expiry of the statute of limitations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(818)</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end of year</w:t>
            </w:r>
          </w:p>
        </w:tc>
        <w:tc>
          <w:tcPr>
            <w:tcW w:w="15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16,342</w:t>
            </w:r>
          </w:p>
        </w:tc>
        <w:tc>
          <w:tcPr>
            <w:tcW w:w="16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720"/>
        <w:spacing w:after="0" w:line="295" w:lineRule="auto"/>
        <w:rPr>
          <w:sz w:val="20"/>
          <w:szCs w:val="20"/>
          <w:color w:val="auto"/>
        </w:rPr>
      </w:pPr>
      <w:r>
        <w:rPr>
          <w:rFonts w:ascii="Times New Roman" w:cs="Times New Roman" w:eastAsia="Times New Roman" w:hAnsi="Times New Roman"/>
          <w:sz w:val="17"/>
          <w:szCs w:val="17"/>
          <w:color w:val="auto"/>
        </w:rPr>
        <w:t>The total amount of unrecognized tax benefits that, if recognized, would affect the effective tax rate were $27,332 and $22,940 as of December 31, 2023 and 2022, respectively.</w:t>
      </w:r>
    </w:p>
    <w:p>
      <w:pPr>
        <w:spacing w:after="0" w:line="42" w:lineRule="exact"/>
        <w:rPr>
          <w:sz w:val="20"/>
          <w:szCs w:val="20"/>
          <w:color w:val="auto"/>
        </w:rPr>
      </w:pPr>
    </w:p>
    <w:p>
      <w:pPr>
        <w:ind w:left="720" w:right="80"/>
        <w:spacing w:after="0" w:line="276" w:lineRule="auto"/>
        <w:rPr>
          <w:sz w:val="20"/>
          <w:szCs w:val="20"/>
          <w:color w:val="auto"/>
        </w:rPr>
      </w:pPr>
      <w:r>
        <w:rPr>
          <w:rFonts w:ascii="Times New Roman" w:cs="Times New Roman" w:eastAsia="Times New Roman" w:hAnsi="Times New Roman"/>
          <w:sz w:val="17"/>
          <w:szCs w:val="17"/>
          <w:color w:val="auto"/>
        </w:rPr>
        <w:t>As of December 31, 2023 and 2022,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57" w:lineRule="exact"/>
        <w:rPr>
          <w:sz w:val="20"/>
          <w:szCs w:val="20"/>
          <w:color w:val="auto"/>
        </w:rPr>
      </w:pPr>
    </w:p>
    <w:p>
      <w:pPr>
        <w:ind w:left="720"/>
        <w:spacing w:after="0" w:line="269" w:lineRule="auto"/>
        <w:rPr>
          <w:sz w:val="20"/>
          <w:szCs w:val="20"/>
          <w:color w:val="auto"/>
        </w:rPr>
      </w:pPr>
      <w:r>
        <w:rPr>
          <w:rFonts w:ascii="Times New Roman" w:cs="Times New Roman" w:eastAsia="Times New Roman" w:hAnsi="Times New Roman"/>
          <w:sz w:val="17"/>
          <w:szCs w:val="17"/>
          <w:color w:val="auto"/>
        </w:rPr>
        <w:t>Melco and its subsidiaries’ major tax jurisdictions are Hong Kong, Macau, the Philippines and Cyprus. Income tax returns of Melco and its subsidiaries remain open and subject to examination by the local tax authorities of Macau, Hong Kong, the Philippines and Cyprus until the statute of limitations expire in each corresponding jurisdiction. The statute of limitations in Macau, Hong Kong, the Philippines and Cyprus are five years, six years, three years and six years, respectively.</w:t>
      </w:r>
    </w:p>
    <w:p>
      <w:pPr>
        <w:spacing w:after="0" w:line="311" w:lineRule="exact"/>
        <w:rPr>
          <w:sz w:val="20"/>
          <w:szCs w:val="20"/>
          <w:color w:val="auto"/>
        </w:rPr>
      </w:pPr>
    </w:p>
    <w:p>
      <w:pPr>
        <w:ind w:left="720" w:right="7540" w:hanging="428"/>
        <w:spacing w:after="0" w:line="386" w:lineRule="auto"/>
        <w:tabs>
          <w:tab w:leader="none" w:pos="712" w:val="left"/>
        </w:tabs>
        <w:numPr>
          <w:ilvl w:val="0"/>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2006 Share Incentive Plan</w:t>
      </w:r>
    </w:p>
    <w:p>
      <w:pPr>
        <w:ind w:left="720" w:right="20"/>
        <w:spacing w:after="0" w:line="28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Melco adopted a share incentive plan in 2006 (“2006 Share Incentive Plan”), as amended, for grants of share options and nonvested shares of Melco’s ordinary shares to eligible directors, employees and consultants of the Company and its affiliates. The maximum term of an award was 10 years from the date of the grant. The maximum aggregate number of ordinary shares to be available for all awards under the 2006 Share Incentive Plan was 100,000,000 over 10 years. Melco adopted a share incentive plan in 2011 (“2011 Share Incentive Plan”) and a share incentive plan in 2021 (“2021 Share Incentive Plan”) as described below and no further awards would be granted under the 2006 Share Incentive Plan and the 2011 Share Incentive Plan which was terminated on December 6, 2021. All subsequent awards will be issued under the 2021 Share Incentive Plan. </w:t>
      </w:r>
      <w:r>
        <w:rPr>
          <w:rFonts w:ascii="Times New Roman" w:cs="Times New Roman" w:eastAsia="Times New Roman" w:hAnsi="Times New Roman"/>
          <w:sz w:val="17"/>
          <w:szCs w:val="17"/>
          <w:i w:val="1"/>
          <w:iCs w:val="1"/>
          <w:color w:val="auto"/>
        </w:rPr>
        <w:t>Share Options</w:t>
      </w:r>
    </w:p>
    <w:p>
      <w:pPr>
        <w:spacing w:after="0" w:line="279"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there were no outstanding share options under the 2006 Share Incentive Plan.</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F-61</w:t>
      </w:r>
    </w:p>
    <w:p>
      <w:pPr>
        <w:sectPr>
          <w:pgSz w:w="11900" w:h="16838" w:orient="portrait"/>
          <w:cols w:equalWidth="0" w:num="1">
            <w:col w:w="10960"/>
          </w:cols>
          <w:pgMar w:left="320" w:top="473" w:right="61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85" w:lineRule="auto"/>
        <w:tabs>
          <w:tab w:leader="none" w:pos="712" w:val="left"/>
        </w:tabs>
        <w:numPr>
          <w:ilvl w:val="0"/>
          <w:numId w:val="1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2006 Share Incentive Plan</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information is provided for share options under the 2006 Share Incentive Plan:</w:t>
      </w:r>
    </w:p>
    <w:p>
      <w:pPr>
        <w:spacing w:after="0" w:line="249"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7"/>
          <w:szCs w:val="17"/>
          <w:color w:val="auto"/>
        </w:rPr>
        <w:t>Year Ended December 31,</w:t>
      </w:r>
    </w:p>
    <w:p>
      <w:pPr>
        <w:spacing w:after="0" w:line="32" w:lineRule="exact"/>
        <w:rPr>
          <w:sz w:val="20"/>
          <w:szCs w:val="20"/>
          <w:color w:val="auto"/>
        </w:rPr>
      </w:pPr>
    </w:p>
    <w:p>
      <w:pPr>
        <w:ind w:left="8340"/>
        <w:spacing w:after="0"/>
        <w:tabs>
          <w:tab w:leader="none" w:pos="9340" w:val="left"/>
          <w:tab w:leader="none" w:pos="10360" w:val="left"/>
        </w:tabs>
        <w:rPr>
          <w:sz w:val="20"/>
          <w:szCs w:val="20"/>
          <w:color w:val="auto"/>
        </w:rPr>
      </w:pPr>
      <w:r>
        <w:rPr>
          <w:rFonts w:ascii="Times New Roman" w:cs="Times New Roman" w:eastAsia="Times New Roman" w:hAnsi="Times New Roman"/>
          <w:sz w:val="17"/>
          <w:szCs w:val="17"/>
          <w:color w:val="auto"/>
        </w:rPr>
        <w:t>2023</w:t>
      </w:r>
      <w:r>
        <w:rPr>
          <w:sz w:val="20"/>
          <w:szCs w:val="20"/>
          <w:color w:val="auto"/>
        </w:rPr>
        <w:tab/>
      </w:r>
      <w:r>
        <w:rPr>
          <w:rFonts w:ascii="Times New Roman" w:cs="Times New Roman" w:eastAsia="Times New Roman" w:hAnsi="Times New Roman"/>
          <w:sz w:val="17"/>
          <w:szCs w:val="17"/>
          <w:color w:val="auto"/>
        </w:rPr>
        <w:t>2022</w:t>
      </w:r>
      <w:r>
        <w:rPr>
          <w:sz w:val="20"/>
          <w:szCs w:val="20"/>
          <w:color w:val="auto"/>
        </w:rPr>
        <w:tab/>
      </w:r>
      <w:r>
        <w:rPr>
          <w:rFonts w:ascii="Times New Roman" w:cs="Times New Roman" w:eastAsia="Times New Roman" w:hAnsi="Times New Roman"/>
          <w:sz w:val="17"/>
          <w:szCs w:val="17"/>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-123190</wp:posOffset>
            </wp:positionV>
            <wp:extent cx="17176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1717675" cy="8255"/>
                    </a:xfrm>
                    <a:prstGeom prst="rect">
                      <a:avLst/>
                    </a:prstGeom>
                    <a:noFill/>
                  </pic:spPr>
                </pic:pic>
              </a:graphicData>
            </a:graphic>
          </wp:anchor>
        </w:drawing>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0"/>
              </w:rPr>
              <w:t>$    </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Intrinsic value of share options exercised</w:t>
            </w: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As of December 31, 2023, there were no unrecognized compensation costs related to share options under the 2006 Share Incentive Plan.</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2011 Share Incentive Plan</w:t>
      </w:r>
    </w:p>
    <w:p>
      <w:pPr>
        <w:spacing w:after="0" w:line="120" w:lineRule="exact"/>
        <w:rPr>
          <w:sz w:val="20"/>
          <w:szCs w:val="20"/>
          <w:color w:val="auto"/>
        </w:rPr>
      </w:pPr>
    </w:p>
    <w:p>
      <w:pPr>
        <w:ind w:left="720" w:right="40"/>
        <w:spacing w:after="0" w:line="264" w:lineRule="auto"/>
        <w:rPr>
          <w:sz w:val="20"/>
          <w:szCs w:val="20"/>
          <w:color w:val="auto"/>
        </w:rPr>
      </w:pPr>
      <w:r>
        <w:rPr>
          <w:rFonts w:ascii="Times New Roman" w:cs="Times New Roman" w:eastAsia="Times New Roman" w:hAnsi="Times New Roman"/>
          <w:sz w:val="17"/>
          <w:szCs w:val="17"/>
          <w:color w:val="auto"/>
        </w:rPr>
        <w:t>Melco adopted the 2011 Share Incentive Plan, effective on December 7, 2011, which had been subsequently amended and restated, for grants of various share-based awards, including but not limited to, options to purchase Melco’s ordinary shares, restricted shares, share appreciation rights and other types of awards to eligible directors, employees and consultants of the Company and its affiliates. The maximum term of an award was 10 years from the date of the grant. The maximum aggregate number of ordinary shares to be available for all awards under the 2011 Share Incentive Plan was 100,000,000 over 10 years, which could be raised up to 10% of the issued share capital upon shareholders’ approval. The 2011 Share Incentive Plan would have expired ten years after December 7, 2011.</w:t>
      </w:r>
    </w:p>
    <w:p>
      <w:pPr>
        <w:spacing w:after="0" w:line="69"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Melco adopted the 2021 Share Incentive Plan as described below, effective on December 6, 2021 (also the termination date of the 2011 Share Incentive Plan). Upon the termination of the 2011 Share Incentive Plan, no further awards may be granted under the 2011 Share Incentive Plan but the provisions of such plan shall remain in full force and effect in all other respects for any awards granted prior to the date of the termination of such plan.</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120" w:lineRule="exact"/>
        <w:rPr>
          <w:sz w:val="20"/>
          <w:szCs w:val="20"/>
          <w:color w:val="auto"/>
        </w:rPr>
      </w:pPr>
    </w:p>
    <w:p>
      <w:pPr>
        <w:ind w:left="720" w:right="240"/>
        <w:spacing w:after="0" w:line="269" w:lineRule="auto"/>
        <w:rPr>
          <w:sz w:val="20"/>
          <w:szCs w:val="20"/>
          <w:color w:val="auto"/>
        </w:rPr>
      </w:pPr>
      <w:r>
        <w:rPr>
          <w:rFonts w:ascii="Times New Roman" w:cs="Times New Roman" w:eastAsia="Times New Roman" w:hAnsi="Times New Roman"/>
          <w:sz w:val="17"/>
          <w:szCs w:val="17"/>
          <w:color w:val="auto"/>
        </w:rPr>
        <w:t>There were no share options granted under the 2011 Share Incentive Plan during the years ended December 31, 2023 and 2022. During the year ended December 31, 2021, the exercise prices for share options granted under the 2011 Share Incentive Plan were determined at the market closing prices of Melco’s ADS trading on the Nasdaq Global Select Market on the dates of grant. These share options became exercisable over vesting periods of two to three years. The share options granted expire 10 years from the date of grant.</w:t>
      </w:r>
    </w:p>
    <w:p>
      <w:pPr>
        <w:spacing w:after="0" w:line="65" w:lineRule="exact"/>
        <w:rPr>
          <w:sz w:val="20"/>
          <w:szCs w:val="20"/>
          <w:color w:val="auto"/>
        </w:rPr>
      </w:pPr>
    </w:p>
    <w:p>
      <w:pPr>
        <w:ind w:left="720" w:right="240"/>
        <w:spacing w:after="0" w:line="264" w:lineRule="auto"/>
        <w:rPr>
          <w:sz w:val="20"/>
          <w:szCs w:val="20"/>
          <w:color w:val="auto"/>
        </w:rPr>
      </w:pPr>
      <w:r>
        <w:rPr>
          <w:rFonts w:ascii="Times New Roman" w:cs="Times New Roman" w:eastAsia="Times New Roman" w:hAnsi="Times New Roman"/>
          <w:sz w:val="17"/>
          <w:szCs w:val="17"/>
          <w:color w:val="auto"/>
        </w:rPr>
        <w:t>The Company uses the Black-Scholes valuation model to determine the estimated fair value for each share option granted, with certain assumptions, changes in which could materially affect the estimated fair value. Dividend yield is based on the estimate of annual dividends expected to be paid at the time of grant. Expected volatility is based on the historical volatility of Melco’s ADS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10960"/>
          </w:cols>
          <w:pgMar w:left="320" w:top="473" w:right="6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85" w:lineRule="auto"/>
        <w:tabs>
          <w:tab w:leader="none" w:pos="712"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2011 Share Incentive Plan</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2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values of share options granted under the 2011 Share Incentive Plan were estimated on the dates of grant using the following weighted average assumptions:</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8200" w:type="dxa"/>
            <w:vAlign w:val="bottom"/>
            <w:tcBorders>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2021</w:t>
            </w:r>
          </w:p>
        </w:tc>
        <w:tc>
          <w:tcPr>
            <w:tcW w:w="200" w:type="dxa"/>
            <w:vAlign w:val="bottom"/>
            <w:tcBorders>
              <w:bottom w:val="single" w:sz="8" w:color="CCEEFF"/>
            </w:tcBorders>
          </w:tcPr>
          <w:p>
            <w:pPr>
              <w:spacing w:after="0"/>
              <w:rPr>
                <w:sz w:val="17"/>
                <w:szCs w:val="17"/>
                <w:color w:val="auto"/>
              </w:rPr>
            </w:pPr>
          </w:p>
        </w:tc>
      </w:tr>
      <w:tr>
        <w:trPr>
          <w:trHeight w:val="20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r>
      <w:tr>
        <w:trPr>
          <w:trHeight w:val="209"/>
        </w:trPr>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45.46%</w:t>
            </w:r>
          </w:p>
        </w:tc>
      </w:tr>
      <w:tr>
        <w:trPr>
          <w:trHeight w:val="20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27"/>
        </w:trPr>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w:t>
            </w:r>
          </w:p>
        </w:tc>
      </w:tr>
    </w:tbl>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 summary of the share options activity under the 2011 Share Incentive Plan for the year ended December 31, 2023,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9"/>
              </w:rPr>
              <w:t>Weighted</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Average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Remaining</w:t>
            </w:r>
          </w:p>
        </w:tc>
        <w:tc>
          <w:tcPr>
            <w:tcW w:w="160" w:type="dxa"/>
            <w:vAlign w:val="bottom"/>
          </w:tcPr>
          <w:p>
            <w:pPr>
              <w:spacing w:after="0"/>
              <w:rPr>
                <w:sz w:val="18"/>
                <w:szCs w:val="18"/>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Share</w:t>
            </w:r>
          </w:p>
        </w:tc>
        <w:tc>
          <w:tcPr>
            <w:tcW w:w="180" w:type="dxa"/>
            <w:vAlign w:val="bottom"/>
          </w:tcPr>
          <w:p>
            <w:pPr>
              <w:spacing w:after="0"/>
              <w:rPr>
                <w:sz w:val="18"/>
                <w:szCs w:val="18"/>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rPr>
              <w:t>Exercise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Contractual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7"/>
        </w:trPr>
        <w:tc>
          <w:tcPr>
            <w:tcW w:w="562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Price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Term</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189"/>
        </w:trPr>
        <w:tc>
          <w:tcPr>
            <w:tcW w:w="562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Outstanding as of January 1, 2023</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2,845,719</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5.89</w:t>
            </w:r>
          </w:p>
        </w:tc>
        <w:tc>
          <w:tcPr>
            <w:tcW w:w="3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(14,094)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4.13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Forfeited or expired</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(141,978)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5.42</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2,689,647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3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Fully vested and expected to vest as of December 31, 2023</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2,689,647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60"/>
              <w:spacing w:after="0" w:line="189" w:lineRule="exact"/>
              <w:rPr>
                <w:sz w:val="20"/>
                <w:szCs w:val="20"/>
                <w:color w:val="auto"/>
              </w:rPr>
            </w:pPr>
            <w:r>
              <w:rPr>
                <w:rFonts w:ascii="Times New Roman" w:cs="Times New Roman" w:eastAsia="Times New Roman" w:hAnsi="Times New Roman"/>
                <w:sz w:val="17"/>
                <w:szCs w:val="17"/>
                <w:color w:val="auto"/>
              </w:rPr>
              <w:t>5.93</w:t>
            </w:r>
          </w:p>
        </w:tc>
        <w:tc>
          <w:tcPr>
            <w:tcW w:w="11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5.16</w:t>
            </w:r>
          </w:p>
        </w:tc>
        <w:tc>
          <w:tcPr>
            <w:tcW w:w="2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ind w:left="50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as of December 31,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vMerge w:val="continue"/>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2,570,973</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5.88</w:t>
            </w:r>
          </w:p>
        </w:tc>
        <w:tc>
          <w:tcPr>
            <w:tcW w:w="36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5.06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ind w:left="500"/>
              <w:spacing w:after="0" w:line="189" w:lineRule="exact"/>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information is provided for share options under the 2011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7"/>
                <w:szCs w:val="17"/>
                <w:color w:val="auto"/>
              </w:rPr>
              <w:t>Year Ended December 31,</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18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6"/>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25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7"/>
              </w:rPr>
              <w:t>  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— </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4,345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Intrinsic value of share options exercised</w:t>
            </w:r>
          </w:p>
        </w:tc>
        <w:tc>
          <w:tcPr>
            <w:tcW w:w="25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60"/>
        <w:spacing w:after="0" w:line="295" w:lineRule="auto"/>
        <w:rPr>
          <w:sz w:val="20"/>
          <w:szCs w:val="20"/>
          <w:color w:val="auto"/>
        </w:rPr>
      </w:pPr>
      <w:r>
        <w:rPr>
          <w:rFonts w:ascii="Times New Roman" w:cs="Times New Roman" w:eastAsia="Times New Roman" w:hAnsi="Times New Roman"/>
          <w:sz w:val="17"/>
          <w:szCs w:val="17"/>
          <w:color w:val="auto"/>
        </w:rPr>
        <w:t>As of December 31, 2023, there were $16 unrecognized compensation costs related to share options under the 2011 Share Incentive Plan and the costs are expected to be recognized over a weighted average period of 0.27 years.</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120" w:lineRule="exact"/>
        <w:rPr>
          <w:sz w:val="20"/>
          <w:szCs w:val="20"/>
          <w:color w:val="auto"/>
        </w:rPr>
      </w:pPr>
    </w:p>
    <w:p>
      <w:pPr>
        <w:ind w:left="720" w:right="160"/>
        <w:spacing w:after="0" w:line="295" w:lineRule="auto"/>
        <w:rPr>
          <w:sz w:val="20"/>
          <w:szCs w:val="20"/>
          <w:color w:val="auto"/>
        </w:rPr>
      </w:pPr>
      <w:r>
        <w:rPr>
          <w:rFonts w:ascii="Times New Roman" w:cs="Times New Roman" w:eastAsia="Times New Roman" w:hAnsi="Times New Roman"/>
          <w:sz w:val="17"/>
          <w:szCs w:val="17"/>
          <w:color w:val="auto"/>
        </w:rPr>
        <w:t>Certain restricted shares were approved by Melco to be granted under the 2011 Share Incentive Plan to the eligible management personnel of the Company in lieu of the 2020 bonus for their services performed</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F-63</w:t>
      </w:r>
    </w:p>
    <w:p>
      <w:pPr>
        <w:sectPr>
          <w:pgSz w:w="11900" w:h="16838" w:orient="portrait"/>
          <w:cols w:equalWidth="0" w:num="1">
            <w:col w:w="10960"/>
          </w:cols>
          <w:pgMar w:left="320" w:top="473" w:right="6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1" w:lineRule="auto"/>
        <w:tabs>
          <w:tab w:leader="none" w:pos="712"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2011 Share Incentive Plan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Shares</w:t>
      </w:r>
      <w:r>
        <w:rPr>
          <w:rFonts w:ascii="Times New Roman" w:cs="Times New Roman" w:eastAsia="Times New Roman" w:hAnsi="Times New Roman"/>
          <w:sz w:val="17"/>
          <w:szCs w:val="17"/>
          <w:color w:val="auto"/>
        </w:rPr>
        <w:t xml:space="preserve"> - continued</w:t>
      </w:r>
    </w:p>
    <w:p>
      <w:pPr>
        <w:jc w:val="both"/>
        <w:ind w:left="720" w:right="18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2020. A total of 1,899,897 restricted shares were granted and vested immediately on March 31, 2021 (the “2020 Bonus Shares”) with the grant date fair value of $19.91 per ADS or $6.6367 per share, which was the closing price of Melco’s ADS trading on the Nasdaq Global Select Market on the date of grant.</w:t>
      </w:r>
    </w:p>
    <w:p>
      <w:pPr>
        <w:spacing w:after="0" w:line="57" w:lineRule="exact"/>
        <w:rPr>
          <w:rFonts w:ascii="Times New Roman" w:cs="Times New Roman" w:eastAsia="Times New Roman" w:hAnsi="Times New Roman"/>
          <w:sz w:val="17"/>
          <w:szCs w:val="17"/>
          <w:b w:val="1"/>
          <w:bCs w:val="1"/>
          <w:color w:val="auto"/>
        </w:rPr>
      </w:pPr>
    </w:p>
    <w:p>
      <w:pPr>
        <w:ind w:left="72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7, 2021, a total of 52,056 restricted shares were granted to employees of an affiliated company, a subsidiary of Melco International, for their services rendered to Melco International, with vesting periods of three months to twelve months. The grant date fair value for these restricted shares, which was determined with reference to the market closing price of Melco’s ADS trading on the Nasdaq Global Select Market on the date of grant, were recognized as a deemed distribution to Melco International in respect of share-based compensation against retained earnings over the vesting period. Deemed distributions to Melco International in respect of these restricted shares of $143 and $136 were recognized during the years ended December 31, 2022 and 2021, respectively. During the year ended December 31, 2022, the reimbursement from Melco International of $279 for restricted shares granted to employees of an affiliated company were recognized as an increase in additional paid-in capital of the Company as deemed contribution from Melco International in respect of these restricted shares, with a corresponding increase in receivable from affiliated companies in the consolidated balance sheet.</w:t>
      </w:r>
    </w:p>
    <w:p>
      <w:pPr>
        <w:spacing w:after="0" w:line="73" w:lineRule="exact"/>
        <w:rPr>
          <w:rFonts w:ascii="Times New Roman" w:cs="Times New Roman" w:eastAsia="Times New Roman" w:hAnsi="Times New Roman"/>
          <w:sz w:val="17"/>
          <w:szCs w:val="17"/>
          <w:b w:val="1"/>
          <w:bCs w:val="1"/>
          <w:color w:val="auto"/>
        </w:rPr>
      </w:pPr>
    </w:p>
    <w:p>
      <w:pPr>
        <w:ind w:left="720" w:right="1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restricted shares granted under the 2011 Share Incentive Plan during the years ended December 31, 2023 and 2022. Other than the restricted shares granted under the 2020 Bonus Shares as described above, the grant date fair values for restricted shares granted under the 2011 Share Incentive Plan during the year ended December 31, 2021, with vesting periods of generally three months to three years, were determined with reference to the market closing prices of Melco’s ADS trading on the Nasdaq Global Select Market on the dates of grant.</w:t>
      </w:r>
    </w:p>
    <w:p>
      <w:pPr>
        <w:spacing w:after="0" w:line="64"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restricted shares activity under the 2011 Share Incentive Plan for the year ended December 31, 2023,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4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w w:val="99"/>
              </w:rPr>
              <w:t>Weighted</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center"/>
              <w:ind w:right="460"/>
              <w:spacing w:after="0"/>
              <w:rPr>
                <w:sz w:val="20"/>
                <w:szCs w:val="20"/>
                <w:color w:val="auto"/>
              </w:rPr>
            </w:pPr>
            <w:r>
              <w:rPr>
                <w:rFonts w:ascii="Times New Roman" w:cs="Times New Roman" w:eastAsia="Times New Roman" w:hAnsi="Times New Roman"/>
                <w:sz w:val="17"/>
                <w:szCs w:val="17"/>
                <w:color w:val="auto"/>
              </w:rPr>
              <w:t>Number of</w:t>
            </w: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color w:val="auto"/>
              </w:rPr>
              <w:t>Restricted</w:t>
            </w:r>
          </w:p>
        </w:tc>
        <w:tc>
          <w:tcPr>
            <w:tcW w:w="12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27"/>
        </w:trPr>
        <w:tc>
          <w:tcPr>
            <w:tcW w:w="4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9"/>
                <w:szCs w:val="19"/>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January 1, 2023</w:t>
            </w:r>
          </w:p>
        </w:tc>
        <w:tc>
          <w:tcPr>
            <w:tcW w:w="2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7,705,320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5.42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(5,760,885)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(117,597)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Unvested as of December 31, 2023</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information is provided for restricted shares under the 2011 Share Incentive Plan:</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11"/>
          </w:tcPr>
          <w:p>
            <w:pPr>
              <w:ind w:left="62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402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w w:val="99"/>
              </w:rPr>
              <w:t>2021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2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 date fair value of restricted shares vested</w:t>
            </w:r>
          </w:p>
        </w:tc>
        <w:tc>
          <w:tcPr>
            <w:tcW w:w="2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54,424</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43,533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20" w:type="dxa"/>
            <w:vAlign w:val="bottom"/>
          </w:tcPr>
          <w:p>
            <w:pPr>
              <w:spacing w:after="0"/>
              <w:rPr>
                <w:sz w:val="24"/>
                <w:szCs w:val="24"/>
                <w:color w:val="auto"/>
              </w:rPr>
            </w:pPr>
          </w:p>
        </w:tc>
        <w:tc>
          <w:tcPr>
            <w:tcW w:w="2700" w:type="dxa"/>
            <w:vAlign w:val="bottom"/>
            <w:gridSpan w:val="2"/>
          </w:tcPr>
          <w:p>
            <w:pPr>
              <w:jc w:val="right"/>
              <w:ind w:right="1573"/>
              <w:spacing w:after="0"/>
              <w:rPr>
                <w:sz w:val="20"/>
                <w:szCs w:val="20"/>
                <w:color w:val="auto"/>
              </w:rPr>
            </w:pPr>
            <w:r>
              <w:rPr>
                <w:rFonts w:ascii="Times New Roman" w:cs="Times New Roman" w:eastAsia="Times New Roman" w:hAnsi="Times New Roman"/>
                <w:sz w:val="17"/>
                <w:szCs w:val="17"/>
                <w:color w:val="auto"/>
              </w:rPr>
              <w:t>F-64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1" w:lineRule="auto"/>
        <w:tabs>
          <w:tab w:leader="none" w:pos="712"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2011 Share Incentive Plan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Shares</w:t>
      </w:r>
      <w:r>
        <w:rPr>
          <w:rFonts w:ascii="Times New Roman" w:cs="Times New Roman" w:eastAsia="Times New Roman" w:hAnsi="Times New Roman"/>
          <w:sz w:val="17"/>
          <w:szCs w:val="17"/>
          <w:color w:val="auto"/>
        </w:rPr>
        <w:t xml:space="preserve"> - continued</w:t>
      </w:r>
    </w:p>
    <w:p>
      <w:pPr>
        <w:ind w:left="720" w:right="2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there were $2,104 unrecognized compensation costs related to restricted shares under the 2011 Share Incentive Plan and the costs are expected to be recognized over a weighted average period of 0.27 years.</w:t>
      </w:r>
    </w:p>
    <w:p>
      <w:pPr>
        <w:spacing w:after="0" w:line="4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2021 Share Incentive Plan</w:t>
      </w:r>
    </w:p>
    <w:p>
      <w:pPr>
        <w:spacing w:after="0" w:line="120" w:lineRule="exact"/>
        <w:rPr>
          <w:rFonts w:ascii="Times New Roman" w:cs="Times New Roman" w:eastAsia="Times New Roman" w:hAnsi="Times New Roman"/>
          <w:sz w:val="17"/>
          <w:szCs w:val="17"/>
          <w:b w:val="1"/>
          <w:bCs w:val="1"/>
          <w:color w:val="auto"/>
        </w:rPr>
      </w:pPr>
    </w:p>
    <w:p>
      <w:pPr>
        <w:ind w:left="7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adopted the 2021 Share Incentive Plan, effective on December 6, 2021, for grants of various share-based awards, including but not limited to, options to purchase Melco’s ordinary shares, restricted shares, share appreciation rights and other types of awards to eligible directors, employees and consultants of the Company and its affiliates. The maximum term of an award is 10 years from the date of the grant. The maximum aggregate number of ordinary shares to be available for all awards under the 2021 Share Incentive Plan may be increased from time to time, provided that the maximum aggregate number of Melco’s ordinary shares which may be issued upon exercise of options granted under the 2021 Share Incentive Plan shall not be more than 10% of the total number of the issued share capital of Melco on the date the new plan limit is approved by the shareholders of Melco International in accordance with the applicable listing rules in Hong Kong. As of December 31, 2023, there were 104,653,941 ordinary shares available for grants of various share-based awards under the 2021 Share Incentive Plan.</w:t>
      </w:r>
    </w:p>
    <w:p>
      <w:pPr>
        <w:spacing w:after="0" w:line="6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p>
    <w:p>
      <w:pPr>
        <w:spacing w:after="0" w:line="120" w:lineRule="exact"/>
        <w:rPr>
          <w:rFonts w:ascii="Times New Roman" w:cs="Times New Roman" w:eastAsia="Times New Roman" w:hAnsi="Times New Roman"/>
          <w:sz w:val="17"/>
          <w:szCs w:val="17"/>
          <w:b w:val="1"/>
          <w:bCs w:val="1"/>
          <w:color w:val="auto"/>
        </w:rPr>
      </w:pPr>
    </w:p>
    <w:p>
      <w:pPr>
        <w:ind w:left="720" w:right="26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and 2022, the exercise prices for share options granted under the 2021 Share Incentive Plan were determined at the market closing prices of Melco’s ADS trading on the Nasdaq Global Select Market on the dates of grant. These share options became exercisable over vesting periods of one to three years. The share options granted expire 10 years from the date of grant. There were no share options granted under the 2021 Share Incentive Plan during the year ended December 31, 2021.</w:t>
      </w:r>
    </w:p>
    <w:p>
      <w:pPr>
        <w:spacing w:after="0" w:line="64" w:lineRule="exact"/>
        <w:rPr>
          <w:rFonts w:ascii="Times New Roman" w:cs="Times New Roman" w:eastAsia="Times New Roman" w:hAnsi="Times New Roman"/>
          <w:sz w:val="17"/>
          <w:szCs w:val="17"/>
          <w:b w:val="1"/>
          <w:bCs w:val="1"/>
          <w:color w:val="auto"/>
        </w:rPr>
      </w:pPr>
    </w:p>
    <w:p>
      <w:pPr>
        <w:ind w:left="720" w:right="24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uses the Black-Scholes valuation model to determine the estimated fair value for each share option granted, with certain assumptions, changes in which could materially affect the estimated fair value. Dividend yield is based on the estimate of annual dividends expected to be paid at the time of grant. Expected volatility is based on the historical volatility of Melco’s ADS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w:t>
      </w:r>
    </w:p>
    <w:p>
      <w:pPr>
        <w:spacing w:after="0" w:line="68" w:lineRule="exact"/>
        <w:rPr>
          <w:rFonts w:ascii="Times New Roman" w:cs="Times New Roman" w:eastAsia="Times New Roman" w:hAnsi="Times New Roman"/>
          <w:sz w:val="17"/>
          <w:szCs w:val="17"/>
          <w:b w:val="1"/>
          <w:bCs w:val="1"/>
          <w:color w:val="auto"/>
        </w:rPr>
      </w:pPr>
    </w:p>
    <w:p>
      <w:pPr>
        <w:ind w:left="720" w:right="2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values of share options granted under the 2021 Share Incentive Plan were estimated on the dates of grant using the following weighted average assumptions:</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80" w:type="dxa"/>
            <w:vAlign w:val="bottom"/>
            <w:gridSpan w:val="4"/>
          </w:tcPr>
          <w:p>
            <w:pPr>
              <w:jc w:val="right"/>
              <w:ind w:right="44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34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Pr>
          <w:p>
            <w:pPr>
              <w:spacing w:after="0"/>
              <w:rPr>
                <w:sz w:val="17"/>
                <w:szCs w:val="17"/>
                <w:color w:val="auto"/>
              </w:rPr>
            </w:pPr>
          </w:p>
        </w:tc>
      </w:tr>
      <w:tr>
        <w:trPr>
          <w:trHeight w:val="20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5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43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58.67%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51.00%</w:t>
            </w: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5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3.39%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2.69%</w:t>
            </w: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55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5.1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w:t>
            </w:r>
          </w:p>
        </w:tc>
      </w:tr>
      <w:tr>
        <w:trPr>
          <w:trHeight w:val="334"/>
        </w:trPr>
        <w:tc>
          <w:tcPr>
            <w:tcW w:w="3440" w:type="dxa"/>
            <w:vAlign w:val="bottom"/>
          </w:tcPr>
          <w:p>
            <w:pPr>
              <w:spacing w:after="0"/>
              <w:rPr>
                <w:sz w:val="24"/>
                <w:szCs w:val="24"/>
                <w:color w:val="auto"/>
              </w:rPr>
            </w:pPr>
          </w:p>
        </w:tc>
        <w:tc>
          <w:tcPr>
            <w:tcW w:w="5560" w:type="dxa"/>
            <w:vAlign w:val="bottom"/>
            <w:gridSpan w:val="3"/>
          </w:tcPr>
          <w:p>
            <w:pPr>
              <w:jc w:val="right"/>
              <w:ind w:right="3940"/>
              <w:spacing w:after="0"/>
              <w:rPr>
                <w:sz w:val="20"/>
                <w:szCs w:val="20"/>
                <w:color w:val="auto"/>
              </w:rPr>
            </w:pPr>
            <w:r>
              <w:rPr>
                <w:rFonts w:ascii="Times New Roman" w:cs="Times New Roman" w:eastAsia="Times New Roman" w:hAnsi="Times New Roman"/>
                <w:sz w:val="17"/>
                <w:szCs w:val="17"/>
                <w:color w:val="auto"/>
              </w:rPr>
              <w:t>F-65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85" w:lineRule="auto"/>
        <w:tabs>
          <w:tab w:leader="none" w:pos="712"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2021 Share Incentive Plan</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28, 2022, the compensation committee of Melco approved a proposal to allow for an option exchange program, designed to provide the eligible participants an opportunity to exchange certain outstanding underwater share options for new share options and new restricted shares to be granted, subject to the eligible participants’ consent (the “Option Exchange Program”). The share options eligible for exchange under the Option Exchange Program were those that were granted during the years from 2012 to 2021 under the 2011 Share Incentive Plan, including those unvested, or vested but not exercised or the unexercised share options granted in 2012 but expired in March 2022. The Option Exchange Program became unconditional and effective on April 15, 2022, the date Melco accepted the eligible participants’ consent (the “Modification Date”), with a total of 26,076,978 eligible share options were tendered and surrendered by eligible participants (the “Cancelled Share Options”) and Melco granted an aggregate of 2,486,241 new share options (the “Replacement Share Options”) and 5,912,547 new restricted shares (the “Replacement Restricted Shares”) under the 2021 Share Incentive Plan. The Replacement Share Options and Replacement Restricted Shares have vesting periods of one to two years. The Replacement Share Options expire 10 years from April 6, 2022. A total incremental share-based compensation expense resulting from the Option Exchange Program was approximately $3,306, representing the excess of (i) the fair value of certain Replacement Share Options measured using the Black-Scholes valuation model on the Modification Date; and (ii) the fair value of certain Replacement Restricted Shares determined with reference to the market closing price of Melco’s ADS trading on the Nasdaq Global Select Market on the Modification Date, over the fair value of the Cancelled Share Options that were granted during 2013 to 2021 immediately before the exchange. The incremental share-based compensation expenses and the unrecognized compensation costs remaining from the Cancelled Share Options are being recognized over the new vesting periods of the Replacement Share Options and Replacement Restricted Shares. The weighted average fair value of the Replacement Share Options at the Modification Date was $0.82.</w:t>
      </w:r>
    </w:p>
    <w:p>
      <w:pPr>
        <w:spacing w:after="0" w:line="72" w:lineRule="exact"/>
        <w:rPr>
          <w:rFonts w:ascii="Times New Roman" w:cs="Times New Roman" w:eastAsia="Times New Roman" w:hAnsi="Times New Roman"/>
          <w:sz w:val="17"/>
          <w:szCs w:val="17"/>
          <w:b w:val="1"/>
          <w:bCs w:val="1"/>
          <w:color w:val="auto"/>
        </w:rPr>
      </w:pPr>
    </w:p>
    <w:p>
      <w:pPr>
        <w:ind w:left="720" w:right="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values of the Replacement Share Options granted under the 2021 Share Incentive Plan were estimated on the Modification Date using the following weighted average assumptions:</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6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6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w:t>
            </w: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6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6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w:t>
            </w:r>
          </w:p>
        </w:tc>
      </w:tr>
      <w:tr>
        <w:trPr>
          <w:trHeight w:val="334"/>
        </w:trPr>
        <w:tc>
          <w:tcPr>
            <w:tcW w:w="3440" w:type="dxa"/>
            <w:vAlign w:val="bottom"/>
          </w:tcPr>
          <w:p>
            <w:pPr>
              <w:spacing w:after="0"/>
              <w:rPr>
                <w:sz w:val="24"/>
                <w:szCs w:val="24"/>
                <w:color w:val="auto"/>
              </w:rPr>
            </w:pPr>
          </w:p>
        </w:tc>
        <w:tc>
          <w:tcPr>
            <w:tcW w:w="6800" w:type="dxa"/>
            <w:vAlign w:val="bottom"/>
          </w:tcPr>
          <w:p>
            <w:pPr>
              <w:jc w:val="right"/>
              <w:ind w:right="5093"/>
              <w:spacing w:after="0"/>
              <w:rPr>
                <w:sz w:val="20"/>
                <w:szCs w:val="20"/>
                <w:color w:val="auto"/>
              </w:rPr>
            </w:pPr>
            <w:r>
              <w:rPr>
                <w:rFonts w:ascii="Times New Roman" w:cs="Times New Roman" w:eastAsia="Times New Roman" w:hAnsi="Times New Roman"/>
                <w:sz w:val="17"/>
                <w:szCs w:val="17"/>
                <w:color w:val="auto"/>
              </w:rPr>
              <w:t>F-66</w:t>
            </w:r>
          </w:p>
        </w:tc>
      </w:tr>
    </w:tbl>
    <w:p>
      <w:pPr>
        <w:sectPr>
          <w:pgSz w:w="11900" w:h="16838" w:orient="portrait"/>
          <w:cols w:equalWidth="0" w:num="1">
            <w:col w:w="10960"/>
          </w:cols>
          <w:pgMar w:left="320" w:top="472" w:right="6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85" w:lineRule="auto"/>
        <w:tabs>
          <w:tab w:leader="none" w:pos="712"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2021 Share Incentive Plan</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share options activity under the 2021 Share Incentive Plan for the year ended December 31, 2023,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Weighted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Number of</w:t>
            </w:r>
          </w:p>
        </w:tc>
        <w:tc>
          <w:tcPr>
            <w:tcW w:w="220" w:type="dxa"/>
            <w:vAlign w:val="bottom"/>
          </w:tcPr>
          <w:p>
            <w:pPr>
              <w:spacing w:after="0"/>
              <w:rPr>
                <w:sz w:val="18"/>
                <w:szCs w:val="18"/>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7"/>
                <w:szCs w:val="17"/>
                <w:color w:val="auto"/>
                <w:w w:val="97"/>
              </w:rPr>
              <w:t>Average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Remaining</w:t>
            </w:r>
          </w:p>
        </w:tc>
        <w:tc>
          <w:tcPr>
            <w:tcW w:w="2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8"/>
              </w:rPr>
              <w:t>Aggregate</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Share</w:t>
            </w:r>
          </w:p>
        </w:tc>
        <w:tc>
          <w:tcPr>
            <w:tcW w:w="220" w:type="dxa"/>
            <w:vAlign w:val="bottom"/>
          </w:tcPr>
          <w:p>
            <w:pPr>
              <w:spacing w:after="0"/>
              <w:rPr>
                <w:sz w:val="18"/>
                <w:szCs w:val="18"/>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7"/>
                <w:szCs w:val="17"/>
                <w:color w:val="auto"/>
              </w:rPr>
              <w:t>Exercise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Contractual</w:t>
            </w:r>
          </w:p>
        </w:tc>
        <w:tc>
          <w:tcPr>
            <w:tcW w:w="2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7"/>
        </w:trPr>
        <w:tc>
          <w:tcPr>
            <w:tcW w:w="57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rPr>
              <w:t>Price</w:t>
            </w:r>
          </w:p>
        </w:tc>
        <w:tc>
          <w:tcPr>
            <w:tcW w:w="4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Term</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5,360,526</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7"/>
              </w:rPr>
              <w:t>   2.47</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158,949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4.13</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(68,148)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2.47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5,451,327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2,593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Fully vested and expected to vest as of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5,451,327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2,593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as of December 31, 2023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2,133,066</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4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information is provided for share options under the 2021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7"/>
              </w:rPr>
              <w:t>2023 </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82"/>
              </w:rPr>
              <w:t> </w:t>
            </w: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8"/>
              </w:rPr>
              <w:t>2022 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 (excluding the options granted under the Option Exchange Program)</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0.94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Intrinsic value of share options exercised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9"/>
              </w:rPr>
              <w:t>        120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— </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200"/>
        <w:spacing w:after="0" w:line="295" w:lineRule="auto"/>
        <w:rPr>
          <w:sz w:val="20"/>
          <w:szCs w:val="20"/>
          <w:color w:val="auto"/>
        </w:rPr>
      </w:pPr>
      <w:r>
        <w:rPr>
          <w:rFonts w:ascii="Times New Roman" w:cs="Times New Roman" w:eastAsia="Times New Roman" w:hAnsi="Times New Roman"/>
          <w:sz w:val="17"/>
          <w:szCs w:val="17"/>
          <w:color w:val="auto"/>
        </w:rPr>
        <w:t>As of December 31, 2023, there were $1,609 unrecognized compensation costs related to share options under the 2021 Share Incentive Plan and the costs are expected to be recognized over a weighted average period of 1.24 years.</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120" w:lineRule="exact"/>
        <w:rPr>
          <w:sz w:val="20"/>
          <w:szCs w:val="20"/>
          <w:color w:val="auto"/>
        </w:rPr>
      </w:pPr>
    </w:p>
    <w:p>
      <w:pPr>
        <w:ind w:left="720"/>
        <w:spacing w:after="0" w:line="263" w:lineRule="auto"/>
        <w:rPr>
          <w:sz w:val="20"/>
          <w:szCs w:val="20"/>
          <w:color w:val="auto"/>
        </w:rPr>
      </w:pPr>
      <w:r>
        <w:rPr>
          <w:rFonts w:ascii="Times New Roman" w:cs="Times New Roman" w:eastAsia="Times New Roman" w:hAnsi="Times New Roman"/>
          <w:sz w:val="17"/>
          <w:szCs w:val="17"/>
          <w:color w:val="auto"/>
        </w:rPr>
        <w:t>Certain restricted shares were approved by Melco to be granted under the 2021 Share Incentive Plan to the eligible management personnel of the Company and its affiliated company in lieu of the 2021 bonus for their services performed during 2021. A total of 4,578,543 restricted shares were granted and vested immediately on April 6, 2022 (the “2021 Bonus Shares”) with the grant date fair value of $7.40 per ADS or $2.47 per share, which was the closing price of Melco’s ADS trading on the Nasdaq Global Select Market on the date of grant. Based on the estimated bonus amount, share-based compensation expenses of $10,929, of which $729 were capitalized, were recognized for the restricted shares granted to the management personnel rendered services to the Company and deemed distribution to Melco International in respect of the restricted shares granted to employees of an affiliated company of $272 was recognized during the year ended December 31, 2021.</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F-67</w:t>
      </w:r>
    </w:p>
    <w:p>
      <w:pPr>
        <w:sectPr>
          <w:pgSz w:w="11900" w:h="16838" w:orient="portrait"/>
          <w:cols w:equalWidth="0" w:num="1">
            <w:col w:w="10960"/>
          </w:cols>
          <w:pgMar w:left="320" w:top="472" w:right="6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1" w:lineRule="auto"/>
        <w:tabs>
          <w:tab w:leader="none" w:pos="712"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2021 Share Incentive Plan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Shares</w:t>
      </w:r>
      <w:r>
        <w:rPr>
          <w:rFonts w:ascii="Times New Roman" w:cs="Times New Roman" w:eastAsia="Times New Roman" w:hAnsi="Times New Roman"/>
          <w:sz w:val="17"/>
          <w:szCs w:val="17"/>
          <w:color w:val="auto"/>
        </w:rPr>
        <w:t xml:space="preserve"> - continued</w:t>
      </w:r>
    </w:p>
    <w:p>
      <w:pPr>
        <w:ind w:left="720" w:right="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Certain restricted shares were approved by Melco to be granted under the 2021 Share Incentive Plan to the eligible management personnel of the Company in lieu of the 2022 bonus for their services performed during 2022. A total of 4,350,111 restricted shares were granted and vested immediately on April 5, 2023 (the “2022 Bonus Shares”) with the grant date fair value of $12.38 per ADS or $4.13 per share, which was the closing price of Melco’s ADS trading on the Nasdaq Global Select Market on the date of grant. Based on the estimated bonus amount, share-based compensation expenses of $17,926, of which $680 were capitalized, were recognized for such grant during the year ended December 31, 2022.</w:t>
      </w:r>
    </w:p>
    <w:p>
      <w:pPr>
        <w:spacing w:after="0" w:line="66" w:lineRule="exact"/>
        <w:rPr>
          <w:rFonts w:ascii="Times New Roman" w:cs="Times New Roman" w:eastAsia="Times New Roman" w:hAnsi="Times New Roman"/>
          <w:sz w:val="17"/>
          <w:szCs w:val="17"/>
          <w:b w:val="1"/>
          <w:bCs w:val="1"/>
          <w:color w:val="auto"/>
        </w:rPr>
      </w:pPr>
    </w:p>
    <w:p>
      <w:pPr>
        <w:ind w:left="720" w:right="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than the restricted shares granted under the 2021 Bonus Shares and the 2022 Bonus Shares as described above, the fair values for restricted shares granted under the 2021 Share Incentive Plan during the years ended December 31, 2023 and 2022, with vesting periods of generally five months to three years, were determined with reference to the market closing prices of Melco’s ADS trading on the Nasdaq Global Select Market on the dates of grant or the Modification Date. There were no restricted shares granted under the 2021 Share Incentive Plan during the year ended December 31, 2021.</w:t>
      </w:r>
    </w:p>
    <w:p>
      <w:pPr>
        <w:spacing w:after="0" w:line="66"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restricted shares activity under the 2021 Share Incentive Plan for the year ended December 31, 2023,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6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17"/>
                <w:szCs w:val="17"/>
                <w:color w:val="auto"/>
                <w:w w:val="99"/>
              </w:rPr>
              <w:t>Weighted</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7"/>
          </w:tcPr>
          <w:p>
            <w:pPr>
              <w:jc w:val="center"/>
              <w:ind w:right="80"/>
              <w:spacing w:after="0"/>
              <w:rPr>
                <w:sz w:val="20"/>
                <w:szCs w:val="20"/>
                <w:color w:val="auto"/>
              </w:rPr>
            </w:pPr>
            <w:r>
              <w:rPr>
                <w:rFonts w:ascii="Times New Roman" w:cs="Times New Roman" w:eastAsia="Times New Roman" w:hAnsi="Times New Roman"/>
                <w:sz w:val="17"/>
                <w:szCs w:val="17"/>
                <w:color w:val="auto"/>
              </w:rPr>
              <w:t>Grant Date or</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1500" w:type="dxa"/>
            <w:vAlign w:val="bottom"/>
            <w:gridSpan w:val="4"/>
          </w:tcPr>
          <w:p>
            <w:pPr>
              <w:jc w:val="right"/>
              <w:ind w:right="284"/>
              <w:spacing w:after="0"/>
              <w:rPr>
                <w:sz w:val="20"/>
                <w:szCs w:val="20"/>
                <w:color w:val="auto"/>
              </w:rPr>
            </w:pPr>
            <w:r>
              <w:rPr>
                <w:rFonts w:ascii="Times New Roman" w:cs="Times New Roman" w:eastAsia="Times New Roman" w:hAnsi="Times New Roman"/>
                <w:sz w:val="17"/>
                <w:szCs w:val="17"/>
                <w:color w:val="auto"/>
              </w:rPr>
              <w:t>Number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7"/>
          </w:tcPr>
          <w:p>
            <w:pPr>
              <w:jc w:val="center"/>
              <w:ind w:right="80"/>
              <w:spacing w:after="0"/>
              <w:rPr>
                <w:sz w:val="20"/>
                <w:szCs w:val="20"/>
                <w:color w:val="auto"/>
              </w:rPr>
            </w:pPr>
            <w:r>
              <w:rPr>
                <w:rFonts w:ascii="Times New Roman" w:cs="Times New Roman" w:eastAsia="Times New Roman" w:hAnsi="Times New Roman"/>
                <w:sz w:val="17"/>
                <w:szCs w:val="17"/>
                <w:color w:val="auto"/>
              </w:rPr>
              <w:t>Modification Date</w:t>
            </w: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150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7"/>
                <w:szCs w:val="17"/>
                <w:color w:val="auto"/>
              </w:rPr>
              <w:t>Restricted Shares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7"/>
                <w:szCs w:val="17"/>
                <w:color w:val="auto"/>
                <w:w w:val="96"/>
              </w:rPr>
              <w:t>Fair Value</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January 1, 2023</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19,183,428</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11,086,512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(12,819,975)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8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(362,919)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2023</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17,087,046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      3.08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information is provided for restricted shares under the 2021 Share Incentive Plan: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7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0"/>
          </w:tcPr>
          <w:p>
            <w:pPr>
              <w:ind w:left="16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6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7"/>
                <w:szCs w:val="17"/>
                <w:color w:val="auto"/>
                <w:w w:val="74"/>
              </w:rPr>
              <w:t>2023 </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72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86"/>
              </w:rPr>
              <w:t>2022 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 (excluding the options granted under the Option Exchange Program)</w:t>
            </w:r>
          </w:p>
        </w:tc>
        <w:tc>
          <w:tcPr>
            <w:tcW w:w="68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9"/>
              </w:rPr>
              <w:t> </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4.12</w:t>
            </w:r>
          </w:p>
        </w:tc>
        <w:tc>
          <w:tcPr>
            <w:tcW w:w="4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 date fair value of restricted shares vested</w:t>
            </w: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36,732</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12,967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200"/>
        <w:spacing w:after="0" w:line="295" w:lineRule="auto"/>
        <w:rPr>
          <w:sz w:val="20"/>
          <w:szCs w:val="20"/>
          <w:color w:val="auto"/>
        </w:rPr>
      </w:pPr>
      <w:r>
        <w:rPr>
          <w:rFonts w:ascii="Times New Roman" w:cs="Times New Roman" w:eastAsia="Times New Roman" w:hAnsi="Times New Roman"/>
          <w:sz w:val="17"/>
          <w:szCs w:val="17"/>
          <w:color w:val="auto"/>
        </w:rPr>
        <w:t>As of December 31, 2023, there were $32,510 unrecognized compensation costs related to restricted shares under the 2021 Share Incentive Plan and the costs are expected to be recognized over a weighted average period of 1.85 years.</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F-68</w:t>
      </w:r>
    </w:p>
    <w:p>
      <w:pPr>
        <w:sectPr>
          <w:pgSz w:w="11900" w:h="16838" w:orient="portrait"/>
          <w:cols w:equalWidth="0" w:num="1">
            <w:col w:w="10960"/>
          </w:cols>
          <w:pgMar w:left="320" w:top="473" w:right="6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MRP Share Incentive Plan</w:t>
      </w:r>
    </w:p>
    <w:p>
      <w:pPr>
        <w:spacing w:after="0" w:line="120" w:lineRule="exact"/>
        <w:rPr>
          <w:rFonts w:ascii="Times New Roman" w:cs="Times New Roman" w:eastAsia="Times New Roman" w:hAnsi="Times New Roman"/>
          <w:sz w:val="17"/>
          <w:szCs w:val="17"/>
          <w:b w:val="1"/>
          <w:bCs w:val="1"/>
          <w:color w:val="auto"/>
        </w:rPr>
      </w:pPr>
    </w:p>
    <w:p>
      <w:pPr>
        <w:ind w:left="720" w:right="4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MRP adopted a share incentive plan (the “MRP Share Incentive Plan”), effective on June 24, 2013, which was subsequently amended and restated, for grants of various share-based awards, including but not limited to, options to purchase MRP common shares, restricted shares, share appreciation rights and other types of awards to eligible directors, employees and consultants of MRP and its subsidiaries, and the Company and its affiliates. The maximum term of an award is 10 years from the date of grant. The maximum aggregate number of common shares to be available for all awards under the MRP Share Incentive Plan is 442,630,330 shares with up to 5% of the issued capital stock of MRP from time to time over 10 years. On April 24, 2019 and June 24, 2019, the board and the shareholders of MRP approved an amendment to the Amended Articles of Incorporation of MRP, respectively, whereby, without changing the total amount of the authorized capital stock, the par value per MRP common share was increased from PHP1 (equivalent to $0.02) per share to PHP500,000 (equivalent to $9,857) per share, thereby decreasing the total number of MRP common shares on a pro-rata basis (“Reverse Stock Split”). The Reverse Stock Split was approved by the Philippine Securities and Exchange Commission (the “Philippine SEC”) on May 12, 2020. As of December 31, 2023, there were 305 MRP common shares available for grants of various share-based awards under the MRP Share Incentive Plan. All share and per share data of MRP common shares relating to the transactions carried out before May 12, 2020 as disclosed in the accompanying consolidated financial statements, represent the number of shares or value per share of MRP common shares before the Reverse Stock Split.</w:t>
      </w:r>
    </w:p>
    <w:p>
      <w:pPr>
        <w:spacing w:after="0" w:line="80" w:lineRule="exact"/>
        <w:rPr>
          <w:rFonts w:ascii="Times New Roman" w:cs="Times New Roman" w:eastAsia="Times New Roman" w:hAnsi="Times New Roman"/>
          <w:sz w:val="17"/>
          <w:szCs w:val="17"/>
          <w:b w:val="1"/>
          <w:bCs w:val="1"/>
          <w:color w:val="auto"/>
        </w:rPr>
      </w:pPr>
    </w:p>
    <w:p>
      <w:pPr>
        <w:jc w:val="both"/>
        <w:ind w:left="7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accrued liability associated with the cash-settled share options and restricted shares in accordance with the original vesting schedules was fully vested and settled during the year ended December 31, 2021. No fair value gain or loss on remeasurement of the liability associated with the cash-settled share options and restricted shares was recognized for the year ended December 31, 2021.</w:t>
      </w:r>
    </w:p>
    <w:p>
      <w:pPr>
        <w:spacing w:after="0" w:line="5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there were no outstanding share options under the MRP Share Incentive Plan.</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share options granted or exercised under the MRP Share Incentive Plan during the years ended December 31, 2023, 2022 and 2021.</w:t>
      </w:r>
    </w:p>
    <w:p>
      <w:pPr>
        <w:spacing w:after="0" w:line="118" w:lineRule="exact"/>
        <w:rPr>
          <w:rFonts w:ascii="Times New Roman" w:cs="Times New Roman" w:eastAsia="Times New Roman" w:hAnsi="Times New Roman"/>
          <w:sz w:val="17"/>
          <w:szCs w:val="17"/>
          <w:b w:val="1"/>
          <w:bCs w:val="1"/>
          <w:color w:val="auto"/>
        </w:rPr>
      </w:pPr>
    </w:p>
    <w:p>
      <w:pPr>
        <w:ind w:left="7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MRP paid nil, nil and $87 to settle the vested share options that are classified as cash-settled awards under the MRP Share Inventive Plan, respectively.</w:t>
      </w:r>
    </w:p>
    <w:p>
      <w:pPr>
        <w:spacing w:after="0" w:line="42" w:lineRule="exact"/>
        <w:rPr>
          <w:rFonts w:ascii="Times New Roman" w:cs="Times New Roman" w:eastAsia="Times New Roman" w:hAnsi="Times New Roman"/>
          <w:sz w:val="17"/>
          <w:szCs w:val="17"/>
          <w:b w:val="1"/>
          <w:bCs w:val="1"/>
          <w:color w:val="auto"/>
        </w:rPr>
      </w:pPr>
    </w:p>
    <w:p>
      <w:pPr>
        <w:ind w:left="720" w:right="700"/>
        <w:spacing w:after="0" w:line="38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As of December 31, 2023, there were no unrecognized compensation costs related to share options under the MRP Share Incentive Plan. </w:t>
      </w:r>
      <w:r>
        <w:rPr>
          <w:rFonts w:ascii="Times New Roman" w:cs="Times New Roman" w:eastAsia="Times New Roman" w:hAnsi="Times New Roman"/>
          <w:sz w:val="17"/>
          <w:szCs w:val="17"/>
          <w:i w:val="1"/>
          <w:iCs w:val="1"/>
          <w:color w:val="auto"/>
        </w:rPr>
        <w:t>Restricted Shares</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there were no unvested restricted shares under the MRP Share Incentive Plan.</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restricted shares granted under the MRP Share Incentive Plan during the years ended December 31, 2023, 2022, and 2021.</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F-69</w:t>
      </w:r>
    </w:p>
    <w:p>
      <w:pPr>
        <w:sectPr>
          <w:pgSz w:w="11900" w:h="16838" w:orient="portrait"/>
          <w:cols w:equalWidth="0" w:num="1">
            <w:col w:w="10940"/>
          </w:cols>
          <w:pgMar w:left="320" w:top="473" w:right="6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1" w:lineRule="auto"/>
        <w:tabs>
          <w:tab w:leader="none" w:pos="712"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MRP Share Incentive Plan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Shares</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information is provided for restricted shares under the MRP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0" w:type="dxa"/>
            <w:vAlign w:val="bottom"/>
            <w:gridSpan w:val="6"/>
          </w:tcPr>
          <w:p>
            <w:pPr>
              <w:jc w:val="center"/>
              <w:ind w:right="6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5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2021</w:t>
            </w:r>
          </w:p>
        </w:tc>
        <w:tc>
          <w:tcPr>
            <w:tcW w:w="60" w:type="dxa"/>
            <w:vAlign w:val="bottom"/>
          </w:tcPr>
          <w:p>
            <w:pPr>
              <w:spacing w:after="0"/>
              <w:rPr>
                <w:sz w:val="17"/>
                <w:szCs w:val="17"/>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date fair value of restricted shares vested</w:t>
            </w:r>
          </w:p>
        </w:tc>
        <w:tc>
          <w:tcPr>
            <w:tcW w:w="2720" w:type="dxa"/>
            <w:vAlign w:val="bottom"/>
            <w:gridSpan w:val="2"/>
            <w:shd w:val="clear" w:color="auto" w:fill="CCEEFF"/>
          </w:tcPr>
          <w:p>
            <w:pPr>
              <w:jc w:val="center"/>
              <w:ind w:left="1753"/>
              <w:spacing w:after="0"/>
              <w:rPr>
                <w:sz w:val="20"/>
                <w:szCs w:val="20"/>
                <w:color w:val="auto"/>
              </w:rPr>
            </w:pPr>
            <w:r>
              <w:rPr>
                <w:rFonts w:ascii="Times New Roman" w:cs="Times New Roman" w:eastAsia="Times New Roman" w:hAnsi="Times New Roman"/>
                <w:sz w:val="17"/>
                <w:szCs w:val="17"/>
                <w:color w:val="auto"/>
              </w:rPr>
              <w:t>$         — </w:t>
            </w:r>
          </w:p>
        </w:tc>
        <w:tc>
          <w:tcPr>
            <w:tcW w:w="1140" w:type="dxa"/>
            <w:vAlign w:val="bottom"/>
            <w:gridSpan w:val="2"/>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         — </w:t>
            </w:r>
          </w:p>
        </w:tc>
        <w:tc>
          <w:tcPr>
            <w:tcW w:w="1220" w:type="dxa"/>
            <w:vAlign w:val="bottom"/>
            <w:gridSpan w:val="3"/>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w w:val="95"/>
              </w:rPr>
              <w:t>$         351</w:t>
            </w:r>
          </w:p>
        </w:tc>
      </w:tr>
      <w:tr>
        <w:trPr>
          <w:trHeight w:val="20"/>
        </w:trPr>
        <w:tc>
          <w:tcPr>
            <w:tcW w:w="5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40"/>
        <w:spacing w:after="0" w:line="295" w:lineRule="auto"/>
        <w:rPr>
          <w:sz w:val="20"/>
          <w:szCs w:val="20"/>
          <w:color w:val="auto"/>
        </w:rPr>
      </w:pPr>
      <w:r>
        <w:rPr>
          <w:rFonts w:ascii="Times New Roman" w:cs="Times New Roman" w:eastAsia="Times New Roman" w:hAnsi="Times New Roman"/>
          <w:sz w:val="17"/>
          <w:szCs w:val="17"/>
          <w:color w:val="auto"/>
        </w:rPr>
        <w:t>During the years ended December 31, 2023, 2022 and 2021, MRP paid nil, nil and $346 to settle the vested restricted shares that are classified as cash-settled awards under the MRP Share Incentive Plan, respectively.</w:t>
      </w:r>
    </w:p>
    <w:p>
      <w:pPr>
        <w:spacing w:after="0" w:line="42" w:lineRule="exact"/>
        <w:rPr>
          <w:sz w:val="20"/>
          <w:szCs w:val="20"/>
          <w:color w:val="auto"/>
        </w:rPr>
      </w:pPr>
    </w:p>
    <w:p>
      <w:pPr>
        <w:ind w:left="720" w:right="520"/>
        <w:spacing w:after="0" w:line="385" w:lineRule="auto"/>
        <w:rPr>
          <w:sz w:val="20"/>
          <w:szCs w:val="20"/>
          <w:color w:val="auto"/>
        </w:rPr>
      </w:pPr>
      <w:r>
        <w:rPr>
          <w:rFonts w:ascii="Times New Roman" w:cs="Times New Roman" w:eastAsia="Times New Roman" w:hAnsi="Times New Roman"/>
          <w:sz w:val="17"/>
          <w:szCs w:val="17"/>
          <w:color w:val="auto"/>
        </w:rPr>
        <w:t xml:space="preserve">As of December 31, 2023, there were no unrecognized compensation costs related to restricted shares under the MRP Share Incentive Plan. </w:t>
      </w:r>
      <w:r>
        <w:rPr>
          <w:rFonts w:ascii="Times New Roman" w:cs="Times New Roman" w:eastAsia="Times New Roman" w:hAnsi="Times New Roman"/>
          <w:sz w:val="17"/>
          <w:szCs w:val="17"/>
          <w:b w:val="1"/>
          <w:bCs w:val="1"/>
          <w:color w:val="auto"/>
        </w:rPr>
        <w:t>Melco International Share Incentive Plan</w:t>
      </w:r>
    </w:p>
    <w:p>
      <w:pPr>
        <w:jc w:val="both"/>
        <w:ind w:left="720" w:right="60"/>
        <w:spacing w:after="0" w:line="276" w:lineRule="auto"/>
        <w:rPr>
          <w:sz w:val="20"/>
          <w:szCs w:val="20"/>
          <w:color w:val="auto"/>
        </w:rPr>
      </w:pPr>
      <w:r>
        <w:rPr>
          <w:rFonts w:ascii="Times New Roman" w:cs="Times New Roman" w:eastAsia="Times New Roman" w:hAnsi="Times New Roman"/>
          <w:sz w:val="17"/>
          <w:szCs w:val="17"/>
          <w:color w:val="auto"/>
        </w:rPr>
        <w:t>On September 6, 2019, certain share-based awards under Melco International’s share option scheme adopted on May 30, 2012 and share purchase scheme adopted on October 18, 2007 (the “Melco International Share Incentive Plan”) were granted by Melco International to an employee of the Company.</w:t>
      </w:r>
    </w:p>
    <w:p>
      <w:pPr>
        <w:spacing w:after="0" w:line="57"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On April 6, 2022, the board of directors of Melco International announced an option exchange program, to provide the eligible participants an opportunity to exchange certain outstanding underwater share options for new share options and new restricted shares to be granted, subject to the eligible participants’ consent (the “Melco International Option Exchange Program”). The share options eligible for exchange under the Melco International Option Exchange Program were those that were granted during the years from 2016 to 2021 under the Melco International Share Incentive Plan, including those unvested, or vested but not exercised. The Melco International Option Exchange Program became effective on April 6, 2022. A total of 14,200,000 eligible share options granted to an employee of the Company were accepted and surrendered and Melco International granted an aggregate of 4,740,000 new restricted shares under the Melco International Share Incentive Plan (the “Melco International Replacement Restricted Shares”). The Melco International Replacement Restricted Shares have vesting periods of one to two years. No incremental share-based compensation expense was resulted from the Melco International Option Exchange Program.</w:t>
      </w:r>
    </w:p>
    <w:p>
      <w:pPr>
        <w:spacing w:after="0" w:line="73" w:lineRule="exact"/>
        <w:rPr>
          <w:sz w:val="20"/>
          <w:szCs w:val="20"/>
          <w:color w:val="auto"/>
        </w:rPr>
      </w:pPr>
    </w:p>
    <w:p>
      <w:pPr>
        <w:ind w:left="720" w:right="20"/>
        <w:spacing w:after="0" w:line="266" w:lineRule="auto"/>
        <w:rPr>
          <w:sz w:val="20"/>
          <w:szCs w:val="20"/>
          <w:color w:val="auto"/>
        </w:rPr>
      </w:pPr>
      <w:r>
        <w:rPr>
          <w:rFonts w:ascii="Times New Roman" w:cs="Times New Roman" w:eastAsia="Times New Roman" w:hAnsi="Times New Roman"/>
          <w:sz w:val="17"/>
          <w:szCs w:val="17"/>
          <w:color w:val="auto"/>
        </w:rPr>
        <w:t>In accordance with the applicable accounting standards, the share-based compensation expenses related to the grant of share-based awards under the Melco International Share Incentive Plan to an employee of the Company, to the extent of services received by the Company, are recognized in the accompanying consolidated statements of operations with a corresponding increase in additional paid-in capital, representing capital contribution from Melco International. No share-based compensation expenses related to share-based awards under the Melco International Share Incentive Plan were recognized during the year ended December 31, 2023.</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F-70</w:t>
      </w:r>
    </w:p>
    <w:p>
      <w:pPr>
        <w:sectPr>
          <w:pgSz w:w="11900" w:h="16838" w:orient="portrait"/>
          <w:cols w:equalWidth="0" w:num="1">
            <w:col w:w="10960"/>
          </w:cols>
          <w:pgMar w:left="320" w:top="473" w:right="61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95"/>
        </w:trPr>
        <w:tc>
          <w:tcPr>
            <w:tcW w:w="8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6"/>
        </w:trPr>
        <w:tc>
          <w:tcPr>
            <w:tcW w:w="7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20" w:type="dxa"/>
            <w:vAlign w:val="bottom"/>
          </w:tcPr>
          <w:p>
            <w:pPr>
              <w:jc w:val="center"/>
              <w:ind w:left="135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4"/>
        </w:trPr>
        <w:tc>
          <w:tcPr>
            <w:tcW w:w="852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16.  SHARE-BASED COMPENSATION</w:t>
            </w:r>
            <w:r>
              <w:rPr>
                <w:rFonts w:ascii="Times New Roman" w:cs="Times New Roman" w:eastAsia="Times New Roman" w:hAnsi="Times New Roman"/>
                <w:sz w:val="17"/>
                <w:szCs w:val="17"/>
                <w:color w:val="auto"/>
              </w:rPr>
              <w:t xml:space="preserve"> - continued</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85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The share-based compensation expenses for the Company were recognized as follows: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4"/>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7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r>
      <w:tr>
        <w:trPr>
          <w:trHeight w:val="189"/>
        </w:trPr>
        <w:tc>
          <w:tcPr>
            <w:tcW w:w="720" w:type="dxa"/>
            <w:vAlign w:val="bottom"/>
          </w:tcPr>
          <w:p>
            <w:pPr>
              <w:spacing w:after="0"/>
              <w:rPr>
                <w:sz w:val="16"/>
                <w:szCs w:val="16"/>
                <w:color w:val="auto"/>
              </w:rPr>
            </w:pPr>
          </w:p>
        </w:tc>
        <w:tc>
          <w:tcPr>
            <w:tcW w:w="7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Share-based compensation expenses:</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1"/>
        </w:trPr>
        <w:tc>
          <w:tcPr>
            <w:tcW w:w="720" w:type="dxa"/>
            <w:vAlign w:val="bottom"/>
          </w:tcPr>
          <w:p>
            <w:pPr>
              <w:spacing w:after="0"/>
              <w:rPr>
                <w:sz w:val="22"/>
                <w:szCs w:val="22"/>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2011 Share Incentive Plan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$10,343</w:t>
            </w:r>
          </w:p>
        </w:tc>
        <w:tc>
          <w:tcPr>
            <w:tcW w:w="30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$38,823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$53,466</w:t>
            </w:r>
          </w:p>
        </w:tc>
      </w:tr>
      <w:tr>
        <w:trPr>
          <w:trHeight w:val="53"/>
        </w:trPr>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9"/>
        </w:trPr>
        <w:tc>
          <w:tcPr>
            <w:tcW w:w="720" w:type="dxa"/>
            <w:vAlign w:val="bottom"/>
          </w:tcPr>
          <w:p>
            <w:pPr>
              <w:spacing w:after="0"/>
              <w:rPr>
                <w:sz w:val="18"/>
                <w:szCs w:val="18"/>
                <w:color w:val="auto"/>
              </w:rPr>
            </w:pPr>
          </w:p>
        </w:tc>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2021 Share Incentive Plan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32,803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10,929</w:t>
            </w:r>
          </w:p>
        </w:tc>
      </w:tr>
      <w:tr>
        <w:trPr>
          <w:trHeight w:val="261"/>
        </w:trPr>
        <w:tc>
          <w:tcPr>
            <w:tcW w:w="720" w:type="dxa"/>
            <w:vAlign w:val="bottom"/>
          </w:tcPr>
          <w:p>
            <w:pPr>
              <w:spacing w:after="0"/>
              <w:rPr>
                <w:sz w:val="22"/>
                <w:szCs w:val="22"/>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MRP Share Incentive Plan</w:t>
            </w:r>
          </w:p>
        </w:tc>
        <w:tc>
          <w:tcPr>
            <w:tcW w:w="2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w:t>
            </w:r>
          </w:p>
        </w:tc>
      </w:tr>
      <w:tr>
        <w:trPr>
          <w:trHeight w:val="53"/>
        </w:trPr>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9"/>
        </w:trPr>
        <w:tc>
          <w:tcPr>
            <w:tcW w:w="720" w:type="dxa"/>
            <w:vAlign w:val="bottom"/>
          </w:tcPr>
          <w:p>
            <w:pPr>
              <w:spacing w:after="0"/>
              <w:rPr>
                <w:sz w:val="18"/>
                <w:szCs w:val="18"/>
                <w:color w:val="auto"/>
              </w:rPr>
            </w:pPr>
          </w:p>
        </w:tc>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Melco International Share Incentive Plan</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6,641</w:t>
            </w:r>
          </w:p>
        </w:tc>
      </w:tr>
      <w:tr>
        <w:trPr>
          <w:trHeight w:val="52"/>
        </w:trPr>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67"/>
        </w:trPr>
        <w:tc>
          <w:tcPr>
            <w:tcW w:w="720" w:type="dxa"/>
            <w:vAlign w:val="bottom"/>
          </w:tcPr>
          <w:p>
            <w:pPr>
              <w:spacing w:after="0"/>
              <w:rPr>
                <w:sz w:val="23"/>
                <w:szCs w:val="23"/>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share-based compensation expenses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36,435</w:t>
            </w:r>
          </w:p>
        </w:tc>
        <w:tc>
          <w:tcPr>
            <w:tcW w:w="30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74,491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71,144</w:t>
            </w:r>
          </w:p>
        </w:tc>
      </w:tr>
      <w:tr>
        <w:trPr>
          <w:trHeight w:val="53"/>
        </w:trPr>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9"/>
        </w:trPr>
        <w:tc>
          <w:tcPr>
            <w:tcW w:w="7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Share-based compensation expenses capitalized in property and equipment</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(962)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(2,682)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(3,187)</w:t>
            </w: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7"/>
        </w:trPr>
        <w:tc>
          <w:tcPr>
            <w:tcW w:w="720" w:type="dxa"/>
            <w:vAlign w:val="bottom"/>
          </w:tcPr>
          <w:p>
            <w:pPr>
              <w:spacing w:after="0"/>
              <w:rPr>
                <w:sz w:val="23"/>
                <w:szCs w:val="23"/>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 expenses recognized in general and administrative expenses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35,473</w:t>
            </w:r>
          </w:p>
        </w:tc>
        <w:tc>
          <w:tcPr>
            <w:tcW w:w="30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71,809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67,957</w:t>
            </w: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ind w:left="720" w:hanging="428"/>
        <w:spacing w:after="0"/>
        <w:tabs>
          <w:tab w:leader="none" w:pos="720"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w:t>
      </w:r>
    </w:p>
    <w:p>
      <w:pPr>
        <w:spacing w:after="0" w:line="120" w:lineRule="exact"/>
        <w:rPr>
          <w:rFonts w:ascii="Times New Roman" w:cs="Times New Roman" w:eastAsia="Times New Roman" w:hAnsi="Times New Roman"/>
          <w:sz w:val="17"/>
          <w:szCs w:val="17"/>
          <w:b w:val="1"/>
          <w:bCs w:val="1"/>
          <w:color w:val="auto"/>
        </w:rPr>
      </w:pPr>
    </w:p>
    <w:p>
      <w:pPr>
        <w:ind w:left="720" w:right="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operates defined contribution fund schemes in different jurisdictions, which allow eligible employees to participate in defined contribution plans (the “Defined Contribution Fund Schemes”).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ranging from upon contribution to 10 years from the date of employment effective in April 2021. The Defined Contribution Fund Schemes were established under trusts with the fund assets being held separately from those of the Company by independent trustees.</w:t>
      </w:r>
    </w:p>
    <w:p>
      <w:pPr>
        <w:spacing w:after="0" w:line="68" w:lineRule="exact"/>
        <w:rPr>
          <w:rFonts w:ascii="Times New Roman" w:cs="Times New Roman" w:eastAsia="Times New Roman" w:hAnsi="Times New Roman"/>
          <w:sz w:val="17"/>
          <w:szCs w:val="17"/>
          <w:b w:val="1"/>
          <w:bCs w:val="1"/>
          <w:color w:val="auto"/>
        </w:rPr>
      </w:pPr>
    </w:p>
    <w:p>
      <w:pPr>
        <w:ind w:left="720" w:right="2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Employees employed by the Company in different jurisdictions are members of government-managed social security fund schemes (the “Social Security Fund Schemes”), which are operated by the respective governments, if applicable. The Company is required to pay monthly fixed contributions or certain percentages of employee relevant income and meet the minimum mandatory requirements of the respective Social Security Fund Schemes to fund the benefits.</w:t>
      </w:r>
    </w:p>
    <w:p>
      <w:pPr>
        <w:spacing w:after="0" w:line="64" w:lineRule="exact"/>
        <w:rPr>
          <w:rFonts w:ascii="Times New Roman" w:cs="Times New Roman" w:eastAsia="Times New Roman" w:hAnsi="Times New Roman"/>
          <w:sz w:val="17"/>
          <w:szCs w:val="17"/>
          <w:b w:val="1"/>
          <w:bCs w:val="1"/>
          <w:color w:val="auto"/>
        </w:rPr>
      </w:pPr>
    </w:p>
    <w:p>
      <w:pPr>
        <w:ind w:left="720" w:right="6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Company’s contributions into the defined contribution retirement benefits schemes were $32,041, $26,688 and $26,984, respectively.</w:t>
      </w:r>
    </w:p>
    <w:p>
      <w:pPr>
        <w:spacing w:after="0" w:line="288"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DISTRIBUTION OF PROFITS</w:t>
      </w:r>
    </w:p>
    <w:p>
      <w:pPr>
        <w:spacing w:after="0" w:line="120" w:lineRule="exact"/>
        <w:rPr>
          <w:rFonts w:ascii="Times New Roman" w:cs="Times New Roman" w:eastAsia="Times New Roman" w:hAnsi="Times New Roman"/>
          <w:sz w:val="17"/>
          <w:szCs w:val="17"/>
          <w:b w:val="1"/>
          <w:bCs w:val="1"/>
          <w:color w:val="auto"/>
        </w:rPr>
      </w:pPr>
    </w:p>
    <w:p>
      <w:pPr>
        <w:ind w:left="720" w:right="1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Subsidiaries of Melco incorporated in Macau are required to set aside a minimum between 10% to 25% of the entity’s profit after tax to the legal reserve until the balance of the legal reserve reaches a level equivalent to between 25%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F-71</w:t>
      </w:r>
    </w:p>
    <w:p>
      <w:pPr>
        <w:sectPr>
          <w:pgSz w:w="11900" w:h="16838" w:orient="portrait"/>
          <w:cols w:equalWidth="0" w:num="1">
            <w:col w:w="10960"/>
          </w:cols>
          <w:pgMar w:left="320" w:top="467" w:right="6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DISTRIBUTION OF PROFITS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3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year in which it is approved by the shareholders of the relevant subsidiaries. As of December 31, 2023 and 2022, the aggregate balance of the legal reserves amounted to $31,525 and $31,524, respectively.</w:t>
      </w:r>
    </w:p>
    <w:p>
      <w:pPr>
        <w:spacing w:after="0" w:line="42" w:lineRule="exact"/>
        <w:rPr>
          <w:rFonts w:ascii="Times New Roman" w:cs="Times New Roman" w:eastAsia="Times New Roman" w:hAnsi="Times New Roman"/>
          <w:sz w:val="17"/>
          <w:szCs w:val="17"/>
          <w:b w:val="1"/>
          <w:bCs w:val="1"/>
          <w:color w:val="auto"/>
        </w:rPr>
      </w:pPr>
    </w:p>
    <w:p>
      <w:pPr>
        <w:ind w:left="720" w:right="1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borrowings, subject to certain exceptions and conditions, contain certain restrictions on paying dividends and other distributions, as defined in the respective indentures governing the relevant senior notes and credit facility agreements, and disclosed in Note 11 under each of the respective borrowings.</w:t>
      </w:r>
    </w:p>
    <w:p>
      <w:pPr>
        <w:spacing w:after="0" w:line="303"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May 2020, the Company suspended its quarterly dividend program due to the impact of the COVID-19 outbreak.</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 did not declare any dividends on the ordinary shares.</w:t>
      </w:r>
    </w:p>
    <w:p>
      <w:pPr>
        <w:spacing w:after="0" w:line="364" w:lineRule="exact"/>
        <w:rPr>
          <w:rFonts w:ascii="Times New Roman" w:cs="Times New Roman" w:eastAsia="Times New Roman" w:hAnsi="Times New Roman"/>
          <w:sz w:val="17"/>
          <w:szCs w:val="17"/>
          <w:b w:val="1"/>
          <w:bCs w:val="1"/>
          <w:color w:val="auto"/>
        </w:rPr>
      </w:pPr>
    </w:p>
    <w:p>
      <w:pPr>
        <w:ind w:left="720" w:right="140" w:hanging="428"/>
        <w:spacing w:after="0" w:line="298" w:lineRule="auto"/>
        <w:tabs>
          <w:tab w:leader="none" w:pos="72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REGULAR LICENSE, COOPERATION AGREEMENT, OPERATING AGREEMENT AND MRP LEASE AGREEMENT FOR CITY OF DREAMS MANILA</w:t>
      </w:r>
    </w:p>
    <w:p>
      <w:pPr>
        <w:spacing w:after="0" w:line="39" w:lineRule="exact"/>
        <w:rPr>
          <w:rFonts w:ascii="Times New Roman" w:cs="Times New Roman" w:eastAsia="Times New Roman" w:hAnsi="Times New Roman"/>
          <w:sz w:val="17"/>
          <w:szCs w:val="17"/>
          <w:b w:val="1"/>
          <w:bCs w:val="1"/>
          <w:color w:val="auto"/>
        </w:rPr>
      </w:pPr>
    </w:p>
    <w:p>
      <w:pPr>
        <w:ind w:left="720" w:right="10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agreements related to the development of City of Dreams Manila were entered into by the relevant parties of the Licensees (described below) and certain of its subsidiaries, which became effective on March 13, 2013 and end on the date of expiry of the Regular License as described below, currently expected to be on July 11, 2033, unless terminated earlier in accordance with the respective terms of the individual agreements.</w:t>
      </w:r>
    </w:p>
    <w:p>
      <w:pPr>
        <w:spacing w:after="0" w:line="284"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Regular License</w:t>
      </w:r>
    </w:p>
    <w:p>
      <w:pPr>
        <w:spacing w:after="0" w:line="120" w:lineRule="exact"/>
        <w:rPr>
          <w:rFonts w:ascii="Times New Roman" w:cs="Times New Roman" w:eastAsia="Times New Roman" w:hAnsi="Times New Roman"/>
          <w:sz w:val="17"/>
          <w:szCs w:val="17"/>
          <w:color w:val="auto"/>
        </w:rPr>
      </w:pPr>
    </w:p>
    <w:p>
      <w:pPr>
        <w:ind w:left="1260" w:right="1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29, 2015, PAGCOR issued a regular casino gaming license, as amended (the “Regular License”) in replacement of a provisional license granted as of March 13, 2013, to the co-licensees (the “Licensees”) namely, MPHIL Holdings No. 1 Corporation, a subsidiary of MRP, and its subsidiaries including Melco Resorts Leisure (collectively the “MPHIL Holdings Group”), SM Investments Corporation (“SMIC”), Belle Corporation (“Belle”) and PremiumLeisure and Amusement, Inc. (“PLAI”) (SMIC, Belle and PLAI are collectively referred to as the “Philippine Parties”) for the establishment and operation of City of Dreams Manila, with Melco Resorts Leisure, a co-licensee, as the “special purpose entity” to operate the casino business and as representative for itself and on behalf of the other co-licensees in dealings with PAGCOR. The Regular License has the same terms and conditions as the provisional license, and is valid until July 11, 2033. Further details of the terms and commitments under the Regular License are included in Note 21(b).</w:t>
      </w:r>
    </w:p>
    <w:p>
      <w:pPr>
        <w:spacing w:after="0" w:line="8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Cooperation Agreement</w:t>
      </w:r>
    </w:p>
    <w:p>
      <w:pPr>
        <w:spacing w:after="0" w:line="120" w:lineRule="exact"/>
        <w:rPr>
          <w:rFonts w:ascii="Times New Roman" w:cs="Times New Roman" w:eastAsia="Times New Roman" w:hAnsi="Times New Roman"/>
          <w:sz w:val="17"/>
          <w:szCs w:val="17"/>
          <w:color w:val="auto"/>
        </w:rPr>
      </w:pPr>
    </w:p>
    <w:p>
      <w:pPr>
        <w:ind w:left="126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and certain of its subsidiaries entered into a cooperation agreement (the “Cooperation Agreement”) and other related arrangements which govern the rights and obligations of the Licensees. Under the Cooperation Agreement, Melco Resorts Leisure is appointed as the sole and exclusive representative of the Licensees in connection with the Regular License and is designated as the operator to operate and manage City of Dreams Manila. Further details of the commitments under the Cooperation Agreement are included in Note 21(b).</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F-72</w:t>
      </w:r>
    </w:p>
    <w:p>
      <w:pPr>
        <w:sectPr>
          <w:pgSz w:w="11900" w:h="16838" w:orient="portrait"/>
          <w:cols w:equalWidth="0" w:num="1">
            <w:col w:w="10960"/>
          </w:cols>
          <w:pgMar w:left="320" w:top="472" w:right="6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80" w:hanging="428"/>
        <w:spacing w:after="0" w:line="298" w:lineRule="auto"/>
        <w:tabs>
          <w:tab w:leader="none" w:pos="720"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REGULAR LICENSE, COOPERATION AGREEMENT, OPERATING AGREEMENT AND MRP LEASE AGREEMENT FOR CITY OF DREAMS MANILA</w:t>
      </w:r>
      <w:r>
        <w:rPr>
          <w:rFonts w:ascii="Times New Roman" w:cs="Times New Roman" w:eastAsia="Times New Roman" w:hAnsi="Times New Roman"/>
          <w:sz w:val="17"/>
          <w:szCs w:val="17"/>
          <w:color w:val="auto"/>
        </w:rPr>
        <w:t xml:space="preserve"> - continued</w:t>
      </w:r>
    </w:p>
    <w:p>
      <w:pPr>
        <w:spacing w:after="0" w:line="50"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Operating Agreement</w:t>
      </w:r>
    </w:p>
    <w:p>
      <w:pPr>
        <w:spacing w:after="0" w:line="120" w:lineRule="exact"/>
        <w:rPr>
          <w:rFonts w:ascii="Times New Roman" w:cs="Times New Roman" w:eastAsia="Times New Roman" w:hAnsi="Times New Roman"/>
          <w:sz w:val="17"/>
          <w:szCs w:val="17"/>
          <w:color w:val="auto"/>
        </w:rPr>
      </w:pPr>
    </w:p>
    <w:p>
      <w:pPr>
        <w:ind w:left="1260" w:right="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entered into an operating agreement (the “Operating Agreement”) which governs the operation and management of City of Dreams Manila by Melco Resorts Leisure. Under the Operating Agreement, Melco Resorts Leisure is appointed as the sole and exclusive operator and manager of City of Dreams Manila, and is responsible for, and has sole discretion (subject to certain exceptions) and control over, all matters relating to the operation and management of City of Dreams Manila (including the gaming and non-gaming operations). The Operating Agreement also includes terms of certain monthly payments to PLAI from Melco Resorts Leisure, based on the performance of gaming operations of City of Dreams Manila and is included in payments to the Philippine Parties in the accompanying consolidated statements of operations, and further provides that Melco Resorts Leisure has the right to retain all revenues from non-gaming operations of City of Dreams Manila.</w:t>
      </w:r>
    </w:p>
    <w:p>
      <w:pPr>
        <w:spacing w:after="0" w:line="70"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disruptions and impact caused by the COVID-19 outbreak, on March 22, 2021, Melco Resorts Leisure and PLAI entered into a supplemental agreement to the Operating Agreement where the monthly payments paid or payable by Melco Resorts Leisure from 2019 to 2022 were adjusted.</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MRP Lease Agreement</w:t>
      </w:r>
    </w:p>
    <w:p>
      <w:pPr>
        <w:spacing w:after="0" w:line="120"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and Belle entered into a lease agreement, as amended from time to time (the “MRP Lease Agreement”) under which Belle agreed to lease to Melco Resorts Leisure the land and certain of the building structures for City of Dreams Manila. The leased property is used by Melco Resorts Leisure and any of its affiliates exclusively as a hotel, casino and resort complex.</w:t>
      </w:r>
    </w:p>
    <w:p>
      <w:pPr>
        <w:spacing w:after="0" w:line="57"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disruptions and impact caused by the COVID-19 outbreak, on March 22, 2021, Melco Resorts Leisure and Belle entered into a supplemental agreement to the MRP Lease Agreement to make certain adjustments to the rental payments paid or payable by Melco Resorts Leisure for 2020 and 2021.</w:t>
      </w:r>
    </w:p>
    <w:p>
      <w:pPr>
        <w:spacing w:after="0" w:line="57" w:lineRule="exact"/>
        <w:rPr>
          <w:rFonts w:ascii="Times New Roman" w:cs="Times New Roman" w:eastAsia="Times New Roman" w:hAnsi="Times New Roman"/>
          <w:sz w:val="17"/>
          <w:szCs w:val="17"/>
          <w:color w:val="auto"/>
        </w:rPr>
      </w:pPr>
    </w:p>
    <w:p>
      <w:pPr>
        <w:ind w:left="1260" w:right="3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19, 2022 and October 31, 2022, Melco Resorts Leisure and Belle entered into supplemental agreements to the MRP Lease Agreement to make certain adjustments to the rental payments paid or payable by Melco Resorts Leisure from 2022 to 2033.</w:t>
      </w:r>
    </w:p>
    <w:p>
      <w:pPr>
        <w:spacing w:after="0" w:line="288"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 Commitments</w:t>
      </w:r>
    </w:p>
    <w:p>
      <w:pPr>
        <w:spacing w:after="0" w:line="120" w:lineRule="exact"/>
        <w:rPr>
          <w:rFonts w:ascii="Times New Roman" w:cs="Times New Roman" w:eastAsia="Times New Roman" w:hAnsi="Times New Roman"/>
          <w:sz w:val="17"/>
          <w:szCs w:val="17"/>
          <w:color w:val="auto"/>
        </w:rPr>
      </w:pPr>
    </w:p>
    <w:p>
      <w:pPr>
        <w:ind w:left="1260" w:right="1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Company had capital commitments mainly for the construction and acquisition of property and equipment for Studio City and City of Dreams totaling $51,938.</w:t>
      </w:r>
    </w:p>
    <w:p>
      <w:pPr>
        <w:spacing w:after="0" w:line="53" w:lineRule="exact"/>
        <w:rPr>
          <w:rFonts w:ascii="Times New Roman" w:cs="Times New Roman" w:eastAsia="Times New Roman" w:hAnsi="Times New Roman"/>
          <w:sz w:val="17"/>
          <w:szCs w:val="17"/>
          <w:color w:val="auto"/>
        </w:rPr>
      </w:pPr>
    </w:p>
    <w:p>
      <w:pPr>
        <w:jc w:val="both"/>
        <w:ind w:left="1260" w:right="8120" w:hanging="550"/>
        <w:spacing w:after="0" w:line="386" w:lineRule="auto"/>
        <w:tabs>
          <w:tab w:leader="none" w:pos="1241"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 Concession - Macau</w:t>
      </w:r>
    </w:p>
    <w:p>
      <w:pPr>
        <w:ind w:left="1260" w:right="3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Concession awarded by the Macau government to Melco Resorts Macau on December 16, 2022, in addition to the fixed premium and variable premiums, as well as the Fee (see Note 7), Melco Resorts Macau is obligated to pay the Macau government the following:</w:t>
      </w:r>
    </w:p>
    <w:p>
      <w:pPr>
        <w:spacing w:after="0" w:line="70"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2"/>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gaming tax of an amount equal to 35% of gross gaming revenue on a monthly basis.</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F-73</w:t>
      </w:r>
    </w:p>
    <w:p>
      <w:pPr>
        <w:sectPr>
          <w:pgSz w:w="11900" w:h="16838" w:orient="portrait"/>
          <w:cols w:equalWidth="0" w:num="1">
            <w:col w:w="10900"/>
          </w:cols>
          <w:pgMar w:left="320" w:top="472" w:right="6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jc w:val="both"/>
        <w:ind w:left="1260" w:right="7340" w:hanging="550"/>
        <w:spacing w:after="0" w:line="394" w:lineRule="auto"/>
        <w:tabs>
          <w:tab w:leader="none" w:pos="1241"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Concession - Macau</w:t>
      </w:r>
      <w:r>
        <w:rPr>
          <w:rFonts w:ascii="Times New Roman" w:cs="Times New Roman" w:eastAsia="Times New Roman" w:hAnsi="Times New Roman"/>
          <w:sz w:val="17"/>
          <w:szCs w:val="17"/>
          <w:color w:val="auto"/>
        </w:rPr>
        <w:t xml:space="preserve"> - continued</w:t>
      </w:r>
    </w:p>
    <w:p>
      <w:pPr>
        <w:ind w:left="1660" w:right="300" w:hanging="414"/>
        <w:spacing w:after="0" w:line="276" w:lineRule="auto"/>
        <w:tabs>
          <w:tab w:leader="none" w:pos="1660" w:val="left"/>
        </w:tabs>
        <w:numPr>
          <w:ilvl w:val="2"/>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Contributions of 2% and 3% of gross gaming revenue to a public fund, and to urban development, touristic promotion and social security, respectively, on a monthly basis. These contributions may be waived or reduced with respect to gross gaming revenue generated by foreign patrons under certain circumstances.</w:t>
      </w:r>
    </w:p>
    <w:p>
      <w:pPr>
        <w:spacing w:after="0" w:line="70" w:lineRule="exact"/>
        <w:rPr>
          <w:rFonts w:ascii="Times New Roman" w:cs="Times New Roman" w:eastAsia="Times New Roman" w:hAnsi="Times New Roman"/>
          <w:sz w:val="17"/>
          <w:szCs w:val="17"/>
          <w:color w:val="auto"/>
        </w:rPr>
      </w:pPr>
    </w:p>
    <w:p>
      <w:pPr>
        <w:ind w:left="1660" w:right="120" w:hanging="414"/>
        <w:spacing w:after="0" w:line="266" w:lineRule="auto"/>
        <w:tabs>
          <w:tab w:leader="none" w:pos="1660" w:val="left"/>
        </w:tabs>
        <w:numPr>
          <w:ilvl w:val="2"/>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premium in the event the average gross gaming revenue of Melco Resorts Macau’s gaming tables does not reach the annual minimum of MOP7,000 (equivalent to $870) and the average gross gaming revenue of the electronic gaming machines does not reach the annual minimum of MOP300 (equivalent to $37). The amount of the special premium is equivalent to the difference between the amount of the special gaming tax paid by Melco Resorts Macau and the amount that would be paid under the annual minimum set average gross gaming revenue for gaming tables and electronic gaming machines.</w:t>
      </w:r>
    </w:p>
    <w:p>
      <w:pPr>
        <w:spacing w:after="0" w:line="79" w:lineRule="exact"/>
        <w:rPr>
          <w:rFonts w:ascii="Times New Roman" w:cs="Times New Roman" w:eastAsia="Times New Roman" w:hAnsi="Times New Roman"/>
          <w:sz w:val="17"/>
          <w:szCs w:val="17"/>
          <w:color w:val="auto"/>
        </w:rPr>
      </w:pPr>
    </w:p>
    <w:p>
      <w:pPr>
        <w:ind w:left="1660" w:right="540" w:hanging="414"/>
        <w:spacing w:after="0" w:line="276" w:lineRule="auto"/>
        <w:tabs>
          <w:tab w:leader="none" w:pos="1660" w:val="left"/>
        </w:tabs>
        <w:numPr>
          <w:ilvl w:val="2"/>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must maintain a guarantee issued by a Macau bank in favor of the Macau government in the amount of MOP1,000,000 (equivalent to $124,284) until 180 days after the earlier of the expiration or termination of the Concession to guarantee its performance of certain of its legal and contractual obligations, including labor obligations.</w:t>
      </w:r>
    </w:p>
    <w:p>
      <w:pPr>
        <w:spacing w:after="0" w:line="57" w:lineRule="exact"/>
        <w:rPr>
          <w:sz w:val="20"/>
          <w:szCs w:val="20"/>
          <w:color w:val="auto"/>
        </w:rPr>
      </w:pPr>
    </w:p>
    <w:p>
      <w:pPr>
        <w:ind w:left="1260" w:right="480"/>
        <w:spacing w:after="0" w:line="295" w:lineRule="auto"/>
        <w:rPr>
          <w:sz w:val="20"/>
          <w:szCs w:val="20"/>
          <w:color w:val="auto"/>
        </w:rPr>
      </w:pPr>
      <w:r>
        <w:rPr>
          <w:rFonts w:ascii="Times New Roman" w:cs="Times New Roman" w:eastAsia="Times New Roman" w:hAnsi="Times New Roman"/>
          <w:sz w:val="17"/>
          <w:szCs w:val="17"/>
          <w:color w:val="auto"/>
        </w:rPr>
        <w:t>As a result of the bank guarantee issued by the bank to the Macau government as disclosed above, a sum of 0.03% per annum of the guarantee amount is payable by Melco Resorts Macau to the bank.</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Committed Investment</w:t>
      </w:r>
    </w:p>
    <w:p>
      <w:pPr>
        <w:spacing w:after="0" w:line="120"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17"/>
          <w:szCs w:val="17"/>
          <w:color w:val="auto"/>
        </w:rPr>
        <w:t>In connection with the Concession, Melco Resorts Macau has undertaken to carry out investment in the overall amount of MOP11,823,700 (equivalent to $1,469,491) by December 2032.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Out of the total investment amount referred to above, MOP10,008,000 (equivalent to $1,243,829) is to be applied to non-gaming related projects, with the balance applied to gaming related projects. Melco Resorts Macau has undertaken to carry out incremental additional non-gaming investment in the amount of approximately 20% of its initial non-gaming investment, or MOP2,003,000 (equivalent to $248,940), in the event the Macau’s annual gross gaming revenue reaches MOP180,000,000 (equivalent to $22,371,034) (the “Incremental Investment Trigger”). As Macau’s annual gross gaming revenue exceeded MOP180,000,000 (equivalent to $22,371,034) in 2023, the Incremental Investment Trigger was reached and, the non-gaming investment to be carried out was increased by</w:t>
      </w:r>
    </w:p>
    <w:p>
      <w:pPr>
        <w:spacing w:after="0" w:line="8"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17"/>
          <w:szCs w:val="17"/>
          <w:color w:val="auto"/>
        </w:rPr>
        <w:t>MOP2,003,000 (equivalent to $248,940) to MOP12,011,000 (equivalent to $1,492,769), with the overall investment amount increased to MOP13,826,700 (equivalent to $1,718,431) to be carried out by December 2032. As of December 31, 2023, the total investment in gaming and non-gaming related projects carried out was in the aggregate amount of MOP1,330,971 (equivalent to $165,418).</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Regular License - Philippines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Commitments required by PAGCOR under the Regular License are as follows:</w:t>
      </w:r>
    </w:p>
    <w:p>
      <w:pPr>
        <w:spacing w:after="0" w:line="131" w:lineRule="exact"/>
        <w:rPr>
          <w:sz w:val="20"/>
          <w:szCs w:val="20"/>
          <w:color w:val="auto"/>
        </w:rPr>
      </w:pPr>
    </w:p>
    <w:p>
      <w:pPr>
        <w:ind w:left="1660" w:right="240" w:hanging="414"/>
        <w:spacing w:after="0" w:line="295" w:lineRule="auto"/>
        <w:tabs>
          <w:tab w:leader="none" w:pos="166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a surety bond in favor of PAGCOR in the amount of PHP100,000 (equivalent to $1,800) to ensure prompt and punctual remittances/payments of all license fees.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F-74</w:t>
      </w:r>
    </w:p>
    <w:p>
      <w:pPr>
        <w:sectPr>
          <w:pgSz w:w="11900" w:h="16838" w:orient="portrait"/>
          <w:cols w:equalWidth="0" w:num="1">
            <w:col w:w="10940"/>
          </w:cols>
          <w:pgMar w:left="320" w:top="473" w:right="6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60" w:right="6700" w:hanging="550"/>
        <w:spacing w:after="0" w:line="394" w:lineRule="auto"/>
        <w:tabs>
          <w:tab w:leader="none" w:pos="124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Regular License - Philippines</w:t>
      </w:r>
      <w:r>
        <w:rPr>
          <w:rFonts w:ascii="Times New Roman" w:cs="Times New Roman" w:eastAsia="Times New Roman" w:hAnsi="Times New Roman"/>
          <w:sz w:val="17"/>
          <w:szCs w:val="17"/>
          <w:color w:val="auto"/>
        </w:rPr>
        <w:t xml:space="preserve"> - continued</w:t>
      </w:r>
    </w:p>
    <w:p>
      <w:pPr>
        <w:ind w:left="1660" w:hanging="414"/>
        <w:spacing w:after="0" w:line="264" w:lineRule="auto"/>
        <w:tabs>
          <w:tab w:leader="none" w:pos="166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operations. The license fees are inclusive of the 5% franchise tax under the terms of the PAGCOR charter. In October 2021, certain terms under the Regular License were amended to include the monthly minimum guarantee fee of PHP300 (equivalent to $5) on certain games under the 25% non-high roller tables effective on March 15, 2022. This monthly minimum guarantee fee was discontinued in June 2022, but was reinstated on March 2, 2023.</w:t>
      </w:r>
    </w:p>
    <w:p>
      <w:pPr>
        <w:spacing w:after="0" w:line="82" w:lineRule="exact"/>
        <w:rPr>
          <w:rFonts w:ascii="Times New Roman" w:cs="Times New Roman" w:eastAsia="Times New Roman" w:hAnsi="Times New Roman"/>
          <w:sz w:val="17"/>
          <w:szCs w:val="17"/>
          <w:color w:val="auto"/>
        </w:rPr>
      </w:pPr>
    </w:p>
    <w:p>
      <w:pPr>
        <w:ind w:left="1660" w:right="20" w:hanging="414"/>
        <w:spacing w:after="0" w:line="295" w:lineRule="auto"/>
        <w:tabs>
          <w:tab w:leader="none" w:pos="166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are required to remit 2% of casino revenues generated from non-junket operation tables to a foundation devoted to the restoration of Philippine cultural heritage, as selected by the Licensees and approved by PAGCOR.</w:t>
      </w:r>
    </w:p>
    <w:p>
      <w:pPr>
        <w:spacing w:after="0" w:line="55" w:lineRule="exact"/>
        <w:rPr>
          <w:rFonts w:ascii="Times New Roman" w:cs="Times New Roman" w:eastAsia="Times New Roman" w:hAnsi="Times New Roman"/>
          <w:sz w:val="17"/>
          <w:szCs w:val="17"/>
          <w:color w:val="auto"/>
        </w:rPr>
      </w:pPr>
    </w:p>
    <w:p>
      <w:pPr>
        <w:ind w:left="1660" w:right="300" w:hanging="414"/>
        <w:spacing w:after="0" w:line="295" w:lineRule="auto"/>
        <w:tabs>
          <w:tab w:leader="none" w:pos="166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may collect a 5% fee on non-gaming revenue received from food and beverage, retail and entertainment outlets. All revenues from hotel operations should not be subject to the 5% fee except for rental income received from retail concessionaires.</w:t>
      </w:r>
    </w:p>
    <w:p>
      <w:pPr>
        <w:spacing w:after="0" w:line="55" w:lineRule="exact"/>
        <w:rPr>
          <w:rFonts w:ascii="Times New Roman" w:cs="Times New Roman" w:eastAsia="Times New Roman" w:hAnsi="Times New Roman"/>
          <w:sz w:val="17"/>
          <w:szCs w:val="17"/>
          <w:color w:val="auto"/>
        </w:rPr>
      </w:pPr>
    </w:p>
    <w:p>
      <w:pPr>
        <w:ind w:left="1660" w:right="20" w:hanging="414"/>
        <w:spacing w:after="0" w:line="269" w:lineRule="auto"/>
        <w:tabs>
          <w:tab w:leader="none" w:pos="166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Grounds for revocation of the Regular License, among others, are as follows: (a) failure to comply with material provisions of this license; (b) failure to remit license fees within 30 days from receipt of notice of default; (c) the holder has become bankrupt or insolvent; and (d) if the debt-to-equity ratio is more than 70:30. As of December 31, 2023 and 2022, MPHIL Holdings Group, as one of the Licensee parties, has complied with the required debt-to-equity ratio under the definition as agreed with PAGCOR.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Cooperation Agreement - Philippines</w:t>
      </w:r>
    </w:p>
    <w:p>
      <w:pPr>
        <w:spacing w:after="0" w:line="120" w:lineRule="exact"/>
        <w:rPr>
          <w:sz w:val="20"/>
          <w:szCs w:val="20"/>
          <w:color w:val="auto"/>
        </w:rPr>
      </w:pPr>
    </w:p>
    <w:p>
      <w:pPr>
        <w:ind w:left="1260" w:right="40"/>
        <w:spacing w:after="0" w:line="268" w:lineRule="auto"/>
        <w:rPr>
          <w:sz w:val="20"/>
          <w:szCs w:val="20"/>
          <w:color w:val="auto"/>
        </w:rPr>
      </w:pPr>
      <w:r>
        <w:rPr>
          <w:rFonts w:ascii="Times New Roman" w:cs="Times New Roman" w:eastAsia="Times New Roman" w:hAnsi="Times New Roman"/>
          <w:sz w:val="17"/>
          <w:szCs w:val="17"/>
          <w:color w:val="auto"/>
        </w:rPr>
        <w:t>Under the terms of the Cooperation Agreement, the Licensees are jointly and severally liable to PAGCOR under the Regular License and each Licensee (indemnifying Licensee) must indemnify the other Licensees for any losses suffered or incurred by that Licensee arising out of, or in connection with, any breach by the indemnifying Licensee of the Regular License. Also, each of the Philippine Parties and MPHIL Holdings Group agree to indemnify the non-breaching party for any losses suffered or incurred as a result of a breach of any warranties.</w:t>
      </w:r>
    </w:p>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Gaming License - Cyprus</w:t>
      </w:r>
    </w:p>
    <w:p>
      <w:pPr>
        <w:spacing w:after="0" w:line="120" w:lineRule="exact"/>
        <w:rPr>
          <w:sz w:val="20"/>
          <w:szCs w:val="20"/>
          <w:color w:val="auto"/>
        </w:rPr>
      </w:pPr>
    </w:p>
    <w:p>
      <w:pPr>
        <w:ind w:left="1260" w:right="120"/>
        <w:spacing w:after="0" w:line="276" w:lineRule="auto"/>
        <w:rPr>
          <w:sz w:val="20"/>
          <w:szCs w:val="20"/>
          <w:color w:val="auto"/>
        </w:rPr>
      </w:pPr>
      <w:r>
        <w:rPr>
          <w:rFonts w:ascii="Times New Roman" w:cs="Times New Roman" w:eastAsia="Times New Roman" w:hAnsi="Times New Roman"/>
          <w:sz w:val="17"/>
          <w:szCs w:val="17"/>
          <w:color w:val="auto"/>
        </w:rPr>
        <w:t>Pursuant to the Cyprus License agreement, in addition to the Cyprus License Fee (see Note 7), the Cyprus Subsidiary has committed to pay the Cyprus government a casino tax of an amount equal to 15% of the gross gaming revenue on a monthly basis and the rate shall not be increased during the period of exclusivity for the Cyprus License.</w:t>
      </w:r>
    </w:p>
    <w:p>
      <w:pPr>
        <w:spacing w:after="0" w:line="68" w:lineRule="exact"/>
        <w:rPr>
          <w:sz w:val="20"/>
          <w:szCs w:val="20"/>
          <w:color w:val="auto"/>
        </w:rPr>
      </w:pPr>
    </w:p>
    <w:p>
      <w:pPr>
        <w:ind w:left="1240" w:hanging="530"/>
        <w:spacing w:after="0"/>
        <w:tabs>
          <w:tab w:leader="none" w:pos="12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Guarantees</w:t>
      </w:r>
    </w:p>
    <w:p>
      <w:pPr>
        <w:spacing w:after="0" w:line="12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Notes 11 and 21(b), the Company has made the following significant guarantees as of December 31, 2023:</w:t>
      </w:r>
    </w:p>
    <w:p>
      <w:pPr>
        <w:spacing w:after="0" w:line="131" w:lineRule="exact"/>
        <w:rPr>
          <w:rFonts w:ascii="Times New Roman" w:cs="Times New Roman" w:eastAsia="Times New Roman" w:hAnsi="Times New Roman"/>
          <w:sz w:val="17"/>
          <w:szCs w:val="17"/>
          <w:color w:val="auto"/>
        </w:rPr>
      </w:pPr>
    </w:p>
    <w:p>
      <w:pPr>
        <w:ind w:left="1660" w:right="200" w:hanging="414"/>
        <w:spacing w:after="0" w:line="295" w:lineRule="auto"/>
        <w:tabs>
          <w:tab w:leader="none" w:pos="166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entered into two deeds of guarantee with third parties amounting to $35,000 to guarantee certain payment obligations of the City of Dreams’ operations.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F-75</w:t>
      </w:r>
    </w:p>
    <w:p>
      <w:pPr>
        <w:sectPr>
          <w:pgSz w:w="11900" w:h="16838" w:orient="portrait"/>
          <w:cols w:equalWidth="0" w:num="1">
            <w:col w:w="10960"/>
          </w:cols>
          <w:pgMar w:left="320" w:top="473" w:right="6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Guarantees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660" w:right="20" w:hanging="414"/>
        <w:spacing w:after="0" w:line="269" w:lineRule="auto"/>
        <w:tabs>
          <w:tab w:leader="none" w:pos="1660"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2013, one of the Melco’s subsidiaries entered into a trade credit facility agreement for HK$200,000 (equivalent to $25,602) (“Trade Credit Facility”) with a bank to meet certain payment obligations of the Studio City project. The Trade Credit Facility which matured on August 31, 2023 was further extended to August 31, 2025, and is guaranteed by Studio City Company. As of December 31, 2023, approximately $640 of the Trade Credit Facility had been utilized.</w:t>
      </w:r>
    </w:p>
    <w:p>
      <w:pPr>
        <w:spacing w:after="0" w:line="77" w:lineRule="exact"/>
        <w:rPr>
          <w:rFonts w:ascii="Times New Roman" w:cs="Times New Roman" w:eastAsia="Times New Roman" w:hAnsi="Times New Roman"/>
          <w:sz w:val="17"/>
          <w:szCs w:val="17"/>
          <w:color w:val="auto"/>
        </w:rPr>
      </w:pPr>
    </w:p>
    <w:p>
      <w:pPr>
        <w:ind w:left="1660" w:right="420" w:hanging="414"/>
        <w:spacing w:after="0" w:line="295" w:lineRule="auto"/>
        <w:tabs>
          <w:tab w:leader="none" w:pos="1660"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issued a corporate guarantee of PHP100,000 (equivalent to $1,800) to a bank in respect of a surety bond issued to PAGCOR as disclosed in Note 21(b) under the Regular License.</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Litigation</w:t>
      </w:r>
    </w:p>
    <w:p>
      <w:pPr>
        <w:spacing w:after="0" w:line="120" w:lineRule="exact"/>
        <w:rPr>
          <w:rFonts w:ascii="Times New Roman" w:cs="Times New Roman" w:eastAsia="Times New Roman" w:hAnsi="Times New Roman"/>
          <w:sz w:val="17"/>
          <w:szCs w:val="17"/>
          <w:color w:val="auto"/>
        </w:rPr>
      </w:pPr>
    </w:p>
    <w:p>
      <w:pPr>
        <w:ind w:left="1260" w:right="8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7, 2021, the Independent Liquor and Gaming Authority in Australia (“ILGA”) commenced proceedings in the Supreme Court of New South Wales against Melco and six individual directors and/or officers of Melco, principally seeking a payment of Australian dollars (“AUD”) 3,676 (equivalent to $2,664) together with (i) the corresponding interest on such amount from August 3, 2020 to the date of judgment, and (ii) ILGA’s legal costs in the proceedings by ILGA allegedly associated with its seeking in its assessment of whether a major change was proposed or occurred as a result of Melco’s acquisition of shares in Crown in 2019. On July 24, 2023, a settlement deed was entered into for full and final settlement of all outstanding claims in respect of such proceedings.</w:t>
      </w:r>
    </w:p>
    <w:p>
      <w:pPr>
        <w:spacing w:after="0" w:line="68" w:lineRule="exact"/>
        <w:rPr>
          <w:rFonts w:ascii="Times New Roman" w:cs="Times New Roman" w:eastAsia="Times New Roman" w:hAnsi="Times New Roman"/>
          <w:sz w:val="17"/>
          <w:szCs w:val="17"/>
          <w:color w:val="auto"/>
        </w:rPr>
      </w:pPr>
    </w:p>
    <w:p>
      <w:pPr>
        <w:ind w:left="1260" w:right="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Company was a party to certain other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 entered into the following significant related party transactions:</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7"/>
              </w:rPr>
              <w:t>Related companies</w:t>
            </w:r>
          </w:p>
        </w:tc>
        <w:tc>
          <w:tcPr>
            <w:tcW w:w="2080" w:type="dxa"/>
            <w:vAlign w:val="bottom"/>
            <w:vMerge w:val="restart"/>
          </w:tcPr>
          <w:p>
            <w:pPr>
              <w:spacing w:after="0"/>
              <w:rPr>
                <w:sz w:val="17"/>
                <w:szCs w:val="17"/>
                <w:color w:val="auto"/>
              </w:rPr>
            </w:pPr>
          </w:p>
        </w:tc>
        <w:tc>
          <w:tcPr>
            <w:tcW w:w="800" w:type="dxa"/>
            <w:vAlign w:val="bottom"/>
            <w:vMerge w:val="restart"/>
          </w:tcPr>
          <w:p>
            <w:pPr>
              <w:spacing w:after="0"/>
              <w:rPr>
                <w:sz w:val="17"/>
                <w:szCs w:val="17"/>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Nature of transactions</w:t>
            </w:r>
          </w:p>
        </w:tc>
        <w:tc>
          <w:tcPr>
            <w:tcW w:w="300" w:type="dxa"/>
            <w:vAlign w:val="bottom"/>
          </w:tcPr>
          <w:p>
            <w:pPr>
              <w:spacing w:after="0"/>
              <w:rPr>
                <w:sz w:val="17"/>
                <w:szCs w:val="17"/>
                <w:color w:val="auto"/>
              </w:rPr>
            </w:pPr>
          </w:p>
        </w:tc>
        <w:tc>
          <w:tcPr>
            <w:tcW w:w="240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top w:val="single" w:sz="8" w:color="auto"/>
            </w:tcBorders>
          </w:tcPr>
          <w:p>
            <w:pPr>
              <w:jc w:val="right"/>
              <w:ind w:right="102"/>
              <w:spacing w:after="0" w:line="182" w:lineRule="exact"/>
              <w:rPr>
                <w:sz w:val="20"/>
                <w:szCs w:val="20"/>
                <w:color w:val="auto"/>
              </w:rPr>
            </w:pPr>
            <w:r>
              <w:rPr>
                <w:rFonts w:ascii="Times New Roman" w:cs="Times New Roman" w:eastAsia="Times New Roman" w:hAnsi="Times New Roman"/>
                <w:sz w:val="16"/>
                <w:szCs w:val="16"/>
                <w:color w:val="auto"/>
              </w:rPr>
              <w:t>2023</w:t>
            </w: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22"/>
              <w:spacing w:after="0" w:line="182" w:lineRule="exact"/>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Transactions with affiliated companies</w:t>
            </w:r>
          </w:p>
        </w:tc>
        <w:tc>
          <w:tcPr>
            <w:tcW w:w="8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Melco International and its subsidiaries</w:t>
            </w:r>
          </w:p>
        </w:tc>
        <w:tc>
          <w:tcPr>
            <w:tcW w:w="426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Revenues and income (services provided by the</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3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Shared service fee income for corporate office</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2,198</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2,188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1,345</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Loan interest income</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16,133</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0"/>
        </w:trPr>
        <w:tc>
          <w:tcPr>
            <w:tcW w:w="12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260" w:type="dxa"/>
            <w:vAlign w:val="bottom"/>
            <w:gridSpan w:val="3"/>
            <w:shd w:val="clear" w:color="auto" w:fill="CCEEFF"/>
          </w:tcPr>
          <w:p>
            <w:pPr>
              <w:ind w:left="800"/>
              <w:spacing w:after="0" w:line="180" w:lineRule="exact"/>
              <w:rPr>
                <w:sz w:val="20"/>
                <w:szCs w:val="20"/>
                <w:color w:val="auto"/>
              </w:rPr>
            </w:pPr>
            <w:r>
              <w:rPr>
                <w:rFonts w:ascii="Times New Roman" w:cs="Times New Roman" w:eastAsia="Times New Roman" w:hAnsi="Times New Roman"/>
                <w:sz w:val="16"/>
                <w:szCs w:val="16"/>
                <w:b w:val="1"/>
                <w:bCs w:val="1"/>
                <w:color w:val="auto"/>
              </w:rPr>
              <w:t>Costs and expenses (services provided to the</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6"/>
                <w:szCs w:val="16"/>
                <w:color w:val="auto"/>
              </w:rPr>
              <w:t>Management fee expenses</w:t>
            </w:r>
            <w:r>
              <w:rPr>
                <w:rFonts w:ascii="Times New Roman" w:cs="Times New Roman" w:eastAsia="Times New Roman" w:hAnsi="Times New Roman"/>
                <w:sz w:val="19"/>
                <w:szCs w:val="19"/>
                <w:color w:val="auto"/>
                <w:vertAlign w:val="superscript"/>
              </w:rPr>
              <w:t>(1)</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2,182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6"/>
                <w:szCs w:val="16"/>
                <w:color w:val="auto"/>
              </w:rPr>
              <w:t>Share-based compensation expenses</w:t>
            </w:r>
            <w:r>
              <w:rPr>
                <w:rFonts w:ascii="Times New Roman" w:cs="Times New Roman" w:eastAsia="Times New Roman" w:hAnsi="Times New Roman"/>
                <w:sz w:val="19"/>
                <w:szCs w:val="19"/>
                <w:color w:val="auto"/>
                <w:vertAlign w:val="superscript"/>
              </w:rPr>
              <w:t>(2)</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120" w:right="160" w:hanging="410"/>
        <w:spacing w:after="0" w:line="281" w:lineRule="auto"/>
        <w:tabs>
          <w:tab w:leader="none" w:pos="11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mainly represents management fee expenses for the services provided by the senior management of Melco International and for the operation of the office of Melco’s Chief Executive Officer.</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F-76</w:t>
      </w:r>
    </w:p>
    <w:p>
      <w:pPr>
        <w:sectPr>
          <w:pgSz w:w="11900" w:h="16838" w:orient="portrait"/>
          <w:cols w:equalWidth="0" w:num="1">
            <w:col w:w="10960"/>
          </w:cols>
          <w:pgMar w:left="320" w:top="473" w:right="6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17"/>
          <w:szCs w:val="17"/>
          <w:color w:val="auto"/>
        </w:rPr>
        <w:t xml:space="preserve"> - continued</w:t>
      </w:r>
    </w:p>
    <w:p>
      <w:pPr>
        <w:spacing w:after="0" w:line="137" w:lineRule="exact"/>
        <w:rPr>
          <w:rFonts w:ascii="Times New Roman" w:cs="Times New Roman" w:eastAsia="Times New Roman" w:hAnsi="Times New Roman"/>
          <w:sz w:val="17"/>
          <w:szCs w:val="17"/>
          <w:b w:val="1"/>
          <w:bCs w:val="1"/>
          <w:color w:val="auto"/>
        </w:rPr>
      </w:pPr>
    </w:p>
    <w:p>
      <w:pPr>
        <w:ind w:left="1120" w:right="460" w:hanging="410"/>
        <w:spacing w:after="0" w:line="281" w:lineRule="auto"/>
        <w:tabs>
          <w:tab w:leader="none" w:pos="112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represents the share-based compensation expenses related to the grant of certain share-based awards under the Melco International Share Incentive Plan to an employee of the Company. Further information on the share-based compensation arrangements is included in Note 16.</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120"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As of December 31, 2023, Mr. Lawrence Yau Lung Ho, Melco’s Chief Executive Officer, and his controlled entity; and an independent director of Melco held an aggregate principal amount of $60,000 and $7,591 senior notes issued by subsidiaries of Melco, respectively. As of December 31, 2022, Mr. Lawrence Yau Lung Ho and his controlled entity; and an independent director of Melco held an aggregate principal amount of $60,000 and $8,500 senior notes issued by subsidiaries of Melco, respectively.</w:t>
      </w:r>
    </w:p>
    <w:p>
      <w:pPr>
        <w:spacing w:after="0" w:line="65" w:lineRule="exact"/>
        <w:rPr>
          <w:sz w:val="20"/>
          <w:szCs w:val="20"/>
          <w:color w:val="auto"/>
        </w:rPr>
      </w:pPr>
    </w:p>
    <w:p>
      <w:pPr>
        <w:ind w:left="720" w:right="380"/>
        <w:spacing w:after="0" w:line="295" w:lineRule="auto"/>
        <w:rPr>
          <w:sz w:val="20"/>
          <w:szCs w:val="20"/>
          <w:color w:val="auto"/>
        </w:rPr>
      </w:pPr>
      <w:r>
        <w:rPr>
          <w:rFonts w:ascii="Times New Roman" w:cs="Times New Roman" w:eastAsia="Times New Roman" w:hAnsi="Times New Roman"/>
          <w:sz w:val="17"/>
          <w:szCs w:val="17"/>
          <w:color w:val="auto"/>
        </w:rPr>
        <w:t>In November 2023, an independent director of Melco participated in the Tender Offer and a principal amount of $909 of the 2020 6.000% SC Notes was purchased by Studio City Finance for a consideration of $886.</w:t>
      </w:r>
    </w:p>
    <w:p>
      <w:pPr>
        <w:spacing w:after="0" w:line="42" w:lineRule="exact"/>
        <w:rPr>
          <w:sz w:val="20"/>
          <w:szCs w:val="20"/>
          <w:color w:val="auto"/>
        </w:rPr>
      </w:pPr>
    </w:p>
    <w:p>
      <w:pPr>
        <w:ind w:left="720" w:right="160"/>
        <w:spacing w:after="0" w:line="269" w:lineRule="auto"/>
        <w:rPr>
          <w:sz w:val="20"/>
          <w:szCs w:val="20"/>
          <w:color w:val="auto"/>
        </w:rPr>
      </w:pPr>
      <w:r>
        <w:rPr>
          <w:rFonts w:ascii="Times New Roman" w:cs="Times New Roman" w:eastAsia="Times New Roman" w:hAnsi="Times New Roman"/>
          <w:sz w:val="17"/>
          <w:szCs w:val="17"/>
          <w:color w:val="auto"/>
        </w:rPr>
        <w:t>During the years ended December 31, 2023, 2022 and 2021, total interest expense of $3,300, $3,300 and $4,494, in relation to the senior notes issued by a subsidiary of Melco, were paid or payable to Mr. Lawrence Yau Lung Ho and his controlled entity, respectively. During the years ended December 31, 2023, 2022 and 2021, total interest expense of $519, $497 and $316, in relation to the senior notes issued by subsidiaries of Melco, were paid or payable to an independent director of Melco, respectively.</w:t>
      </w:r>
    </w:p>
    <w:p>
      <w:pPr>
        <w:spacing w:after="0" w:line="76" w:lineRule="exact"/>
        <w:rPr>
          <w:sz w:val="20"/>
          <w:szCs w:val="20"/>
          <w:color w:val="auto"/>
        </w:rPr>
      </w:pPr>
    </w:p>
    <w:p>
      <w:pPr>
        <w:ind w:left="1240" w:hanging="530"/>
        <w:spacing w:after="0"/>
        <w:tabs>
          <w:tab w:leader="none" w:pos="124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Affiliated Companies</w:t>
      </w:r>
    </w:p>
    <w:p>
      <w:pPr>
        <w:spacing w:after="0" w:line="120" w:lineRule="exact"/>
        <w:rPr>
          <w:rFonts w:ascii="Times New Roman" w:cs="Times New Roman" w:eastAsia="Times New Roman" w:hAnsi="Times New Roman"/>
          <w:sz w:val="17"/>
          <w:szCs w:val="17"/>
          <w:color w:val="auto"/>
        </w:rPr>
      </w:pPr>
    </w:p>
    <w:p>
      <w:pPr>
        <w:ind w:left="1260" w:right="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mainly arising from operating income or prepayment of operating expenses on behalf of the affiliated companies as of December 31, 2023 and 2022 are unsecured, non-interest bearing and repayable on demand with details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80" w:type="dxa"/>
            <w:vAlign w:val="bottom"/>
            <w:gridSpan w:val="5"/>
          </w:tcPr>
          <w:p>
            <w:pPr>
              <w:jc w:val="right"/>
              <w:ind w:right="3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6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r>
      <w:tr>
        <w:trPr>
          <w:trHeight w:val="20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Melco International and its subsidiaries and joint venture</w:t>
            </w:r>
          </w:p>
        </w:tc>
        <w:tc>
          <w:tcPr>
            <w:tcW w:w="2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$ 728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$ 563</w:t>
            </w: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60" w:type="dxa"/>
            <w:vAlign w:val="bottom"/>
          </w:tcPr>
          <w:p>
            <w:pPr>
              <w:spacing w:after="0"/>
              <w:rPr>
                <w:sz w:val="18"/>
                <w:szCs w:val="18"/>
                <w:color w:val="auto"/>
              </w:rPr>
            </w:pPr>
          </w:p>
        </w:tc>
      </w:tr>
      <w:tr>
        <w:trPr>
          <w:trHeight w:val="209"/>
        </w:trPr>
        <w:tc>
          <w:tcPr>
            <w:tcW w:w="604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$ 797</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$ 630</w:t>
            </w:r>
          </w:p>
        </w:tc>
      </w:tr>
      <w:tr>
        <w:trPr>
          <w:trHeight w:val="20"/>
        </w:trPr>
        <w:tc>
          <w:tcPr>
            <w:tcW w:w="6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Payables to Affiliated Companies</w:t>
      </w:r>
    </w:p>
    <w:p>
      <w:pPr>
        <w:spacing w:after="0" w:line="120" w:lineRule="exact"/>
        <w:rPr>
          <w:rFonts w:ascii="Times New Roman" w:cs="Times New Roman" w:eastAsia="Times New Roman" w:hAnsi="Times New Roman"/>
          <w:sz w:val="17"/>
          <w:szCs w:val="17"/>
          <w:color w:val="auto"/>
        </w:rPr>
      </w:pPr>
    </w:p>
    <w:p>
      <w:pPr>
        <w:ind w:left="1260" w:right="1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mainly arising from operating expenses and expenses paid by affiliated companies on behalf of the Company as of December 31, 2023 and 2022, are unsecured, non-interest bearing and repayable on demand with details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4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5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r>
      <w:tr>
        <w:trPr>
          <w:trHeight w:val="20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Melco International and its subsidiaries</w:t>
            </w:r>
          </w:p>
        </w:tc>
        <w:tc>
          <w:tcPr>
            <w:tcW w:w="3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$ 377</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$ 761</w:t>
            </w:r>
          </w:p>
        </w:tc>
      </w:tr>
      <w:tr>
        <w:trPr>
          <w:trHeight w:val="20"/>
        </w:trPr>
        <w:tc>
          <w:tcPr>
            <w:tcW w:w="5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an Affiliated Company, Non-current</w:t>
      </w:r>
    </w:p>
    <w:p>
      <w:pPr>
        <w:spacing w:after="0" w:line="120" w:lineRule="exact"/>
        <w:rPr>
          <w:rFonts w:ascii="Times New Roman" w:cs="Times New Roman" w:eastAsia="Times New Roman" w:hAnsi="Times New Roman"/>
          <w:sz w:val="17"/>
          <w:szCs w:val="17"/>
          <w:color w:val="auto"/>
        </w:rPr>
      </w:pPr>
    </w:p>
    <w:p>
      <w:pPr>
        <w:ind w:left="1260" w:right="30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28, 2022, Melco entered into a facility agreement (the “Facility Agreement”) with Melco International pursuant to which a $250,000 revolving loan facility was granted by Melco as lender to Melco International as borrower for a period of 12 months after the first utilization date (the last day of</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F-77</w:t>
      </w:r>
    </w:p>
    <w:p>
      <w:pPr>
        <w:sectPr>
          <w:pgSz w:w="11900" w:h="16838" w:orient="portrait"/>
          <w:cols w:equalWidth="0" w:num="1">
            <w:col w:w="10960"/>
          </w:cols>
          <w:pgMar w:left="320" w:top="473" w:right="6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an Affiliated Company, Non-current</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period being the “Final Repayment Date”). Melco International could request utilization of all or part of the loan from the date of the Facility Agreement until one month prior to the Final Repayment Date for general corporate purposes of Melco International and its subsidiaries (excluding the Company). Principal amounts outstanding under the Facility Agreement bore interest at an annual rate of 11%, with outstanding principal amounts and accrued interest payable by Melco International on the Final Repayment Date. On December 30, 2022, Melco and Melco International agreed to amend the Final Repayment Date to June 30, 2024, subject to certain conditions. As of December 31, 2022, the outstanding principal amount under the Facility Agreement was $200,000 and the remaining outstanding balance mainly represented the accrued interest payable. No part of the amounts would be repayable within the next twelve months from the balance sheet date and, accordingly, the amounts were shown as non-current assets in the accompanying consolidated balance sheets.</w:t>
      </w:r>
    </w:p>
    <w:p>
      <w:pPr>
        <w:spacing w:after="0" w:line="70"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amount of $200,000 under the Facility Agreement was fully repaid by Melco International on January 18, 2023. The Facility Agreement was terminated on March 10, 2023 following the settlement of the related accrued loan interest under the Facility Agreement due by Melco International to Melco on the same date.</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120" w:lineRule="exact"/>
        <w:rPr>
          <w:rFonts w:ascii="Times New Roman" w:cs="Times New Roman" w:eastAsia="Times New Roman" w:hAnsi="Times New Roman"/>
          <w:sz w:val="17"/>
          <w:szCs w:val="17"/>
          <w:b w:val="1"/>
          <w:bCs w:val="1"/>
          <w:color w:val="auto"/>
        </w:rPr>
      </w:pPr>
    </w:p>
    <w:p>
      <w:pPr>
        <w:ind w:left="720" w:right="1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principally engaged in the gaming and hospitality business in Asia and Europe and its principal operating and developmental activities occur in three geographic areas: Macau, the Philippines and Cyprus. The Company monitors its operations and evaluates earnings by reviewing the assets and operations of Mocha, Altira Macau, City of Dreams, Studio City, City of Dreams Manila and City of Dreams Mediterranean and Other. Development projects are included in the Corporate and Other category. Effective from June 12, 2023, with the soft opening of City of Dreams Mediterranean as disclosed in Note 1, the Cyprus Operations segment which previously included the operation of the temporary casino before its closure on June 9, 2023 and the licensed satellite casinos in Cyprus, has been renamed to City of Dreams Mediterranean and Other segment which included the operation of City of Dreams Mediterranean and the licensed satellite casinos in Cyprus. Effective from June 27, 2022, the Grand Dragon Casino, which was previously reported under the Corporate and Other segment, has been included in the Mocha and Other segment as a result of the change of terms of the right-to-use agreement for the Grand Dragon Casino. Grand Dragon Casino’s total assets of $4,966 were included in the Corporate and Other segment as of December 31, 2021. Grand Dragon Casino’s operating revenues of $24,189 were included in the Corporate and Other segment during the year ended December 31, 2021.</w:t>
      </w:r>
    </w:p>
    <w:p>
      <w:pPr>
        <w:spacing w:after="0" w:line="1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F-78</w:t>
      </w:r>
    </w:p>
    <w:p>
      <w:pPr>
        <w:sectPr>
          <w:pgSz w:w="11900" w:h="16838" w:orient="portrait"/>
          <w:cols w:equalWidth="0" w:num="1">
            <w:col w:w="10880"/>
          </w:cols>
          <w:pgMar w:left="320" w:top="472" w:right="6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segment information for total assets and capital expenditures is as follows:</w:t>
      </w:r>
    </w:p>
    <w:p>
      <w:pPr>
        <w:spacing w:after="0" w:line="247"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December 31,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Macau:</w:t>
            </w:r>
          </w:p>
        </w:tc>
        <w:tc>
          <w:tcPr>
            <w:tcW w:w="2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Mocha and Other</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135,256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122,499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121,214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Altira Macau</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239,575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2,720,571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2,641,875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Studio City</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3,705,391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3,924,262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6,638,849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6,928,211</w:t>
            </w: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6,998,134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 Manila</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418,594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381,579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742,450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565,663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535,179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1,426,331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Total consolidated assets</w:t>
            </w:r>
          </w:p>
        </w:tc>
        <w:tc>
          <w:tcPr>
            <w:tcW w:w="2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8,335,072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9,301,784</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8,883,690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90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left="493"/>
              <w:spacing w:after="0"/>
              <w:rPr>
                <w:sz w:val="20"/>
                <w:szCs w:val="20"/>
                <w:color w:val="auto"/>
              </w:rPr>
            </w:pPr>
            <w:r>
              <w:rPr>
                <w:rFonts w:ascii="Times New Roman" w:cs="Times New Roman" w:eastAsia="Times New Roman" w:hAnsi="Times New Roman"/>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Macau:</w:t>
            </w:r>
          </w:p>
        </w:tc>
        <w:tc>
          <w:tcPr>
            <w:tcW w:w="2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Mocha and Other</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4,590</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1,704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Altira Macau</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3,303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22,259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21,684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Studio City</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73,452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429,362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505,783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456,053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565,794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 Manila</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24,970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4,986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108,214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131,419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186,361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598,414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782,150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00" w:type="dxa"/>
            <w:vAlign w:val="bottom"/>
          </w:tcPr>
          <w:p>
            <w:pPr>
              <w:spacing w:after="0"/>
              <w:rPr>
                <w:sz w:val="24"/>
                <w:szCs w:val="24"/>
                <w:color w:val="auto"/>
              </w:rPr>
            </w:pPr>
          </w:p>
        </w:tc>
        <w:tc>
          <w:tcPr>
            <w:tcW w:w="3080" w:type="dxa"/>
            <w:vAlign w:val="bottom"/>
            <w:gridSpan w:val="2"/>
          </w:tcPr>
          <w:p>
            <w:pPr>
              <w:jc w:val="right"/>
              <w:ind w:right="1833"/>
              <w:spacing w:after="0"/>
              <w:rPr>
                <w:sz w:val="20"/>
                <w:szCs w:val="20"/>
                <w:color w:val="auto"/>
              </w:rPr>
            </w:pPr>
            <w:r>
              <w:rPr>
                <w:rFonts w:ascii="Times New Roman" w:cs="Times New Roman" w:eastAsia="Times New Roman" w:hAnsi="Times New Roman"/>
                <w:sz w:val="17"/>
                <w:szCs w:val="17"/>
                <w:color w:val="auto"/>
              </w:rPr>
              <w:t>F-79</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segment information and reconciliation to net loss attributable to Melco Resorts &amp; Entertainment Limited is as follows:</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color w:val="auto"/>
                <w:w w:val="96"/>
              </w:rPr>
              <w:t>Year Ended December 31,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color w:val="auto"/>
              </w:rPr>
              <w:t>2022</w:t>
            </w: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Operating revenues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Macau:</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Mocha and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117,700</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76,403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84,954</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Altira Macau</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110,825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59"/>
              <w:spacing w:after="0"/>
              <w:rPr>
                <w:sz w:val="20"/>
                <w:szCs w:val="20"/>
                <w:color w:val="auto"/>
              </w:rPr>
            </w:pPr>
            <w:r>
              <w:rPr>
                <w:rFonts w:ascii="Times New Roman" w:cs="Times New Roman" w:eastAsia="Times New Roman" w:hAnsi="Times New Roman"/>
                <w:sz w:val="17"/>
                <w:szCs w:val="17"/>
                <w:color w:val="auto"/>
              </w:rPr>
              <w:t>32,615</w:t>
            </w:r>
          </w:p>
        </w:tc>
        <w:tc>
          <w:tcPr>
            <w:tcW w:w="140" w:type="dxa"/>
            <w:vAlign w:val="bottom"/>
          </w:tcPr>
          <w:p>
            <w:pPr>
              <w:spacing w:after="0"/>
              <w:rPr>
                <w:sz w:val="17"/>
                <w:szCs w:val="17"/>
                <w:color w:val="auto"/>
              </w:rPr>
            </w:pP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56,205</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City of Dreams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1,930,483</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559,684</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9"/>
              </w:rPr>
              <w:t>1,146,919</w:t>
            </w:r>
          </w:p>
        </w:tc>
        <w:tc>
          <w:tcPr>
            <w:tcW w:w="0" w:type="dxa"/>
            <w:vAlign w:val="bottom"/>
          </w:tcPr>
          <w:p>
            <w:pPr>
              <w:spacing w:after="0"/>
              <w:rPr>
                <w:sz w:val="1"/>
                <w:szCs w:val="1"/>
                <w:color w:val="auto"/>
              </w:rPr>
            </w:pPr>
          </w:p>
        </w:tc>
      </w:tr>
      <w:tr>
        <w:trPr>
          <w:trHeight w:val="202"/>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 City</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958,354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175,983</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Sub-total</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3,117,362</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844,685</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9"/>
              </w:rPr>
              <w:t>1,660,355</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Philippines: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City of Dreams Manila</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495,097</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396,392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268,597</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Cyprus: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159,359</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91,255</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52,631</w:t>
            </w:r>
          </w:p>
        </w:tc>
        <w:tc>
          <w:tcPr>
            <w:tcW w:w="0" w:type="dxa"/>
            <w:vAlign w:val="bottom"/>
          </w:tcPr>
          <w:p>
            <w:pPr>
              <w:spacing w:after="0"/>
              <w:rPr>
                <w:sz w:val="1"/>
                <w:szCs w:val="1"/>
                <w:color w:val="auto"/>
              </w:rPr>
            </w:pPr>
          </w:p>
        </w:tc>
      </w:tr>
      <w:tr>
        <w:trPr>
          <w:trHeight w:val="202"/>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and Other</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17,645</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3,775,247</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1,349,977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9"/>
              </w:rPr>
              <w:t>2,012,356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Adjusted property EBITDA</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Macau:</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Mocha and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27,286</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459"/>
              <w:spacing w:after="0"/>
              <w:rPr>
                <w:sz w:val="20"/>
                <w:szCs w:val="20"/>
                <w:color w:val="auto"/>
              </w:rPr>
            </w:pPr>
            <w:r>
              <w:rPr>
                <w:rFonts w:ascii="Times New Roman" w:cs="Times New Roman" w:eastAsia="Times New Roman" w:hAnsi="Times New Roman"/>
                <w:sz w:val="17"/>
                <w:szCs w:val="17"/>
                <w:color w:val="auto"/>
              </w:rPr>
              <w:t>10,291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17,054</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Altira Macau</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(43,020)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(53,974)</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576,313</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(32,160)</w:t>
            </w:r>
          </w:p>
        </w:tc>
        <w:tc>
          <w:tcPr>
            <w:tcW w:w="140" w:type="dxa"/>
            <w:vAlign w:val="bottom"/>
          </w:tcPr>
          <w:p>
            <w:pPr>
              <w:spacing w:after="0"/>
              <w:rPr>
                <w:sz w:val="17"/>
                <w:szCs w:val="17"/>
                <w:color w:val="auto"/>
              </w:rPr>
            </w:pP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201,954</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Studio City</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206,790</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(105,164)</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(20,490)</w:t>
            </w:r>
          </w:p>
        </w:tc>
        <w:tc>
          <w:tcPr>
            <w:tcW w:w="0" w:type="dxa"/>
            <w:vAlign w:val="bottom"/>
          </w:tcPr>
          <w:p>
            <w:pPr>
              <w:spacing w:after="0"/>
              <w:rPr>
                <w:sz w:val="1"/>
                <w:szCs w:val="1"/>
                <w:color w:val="auto"/>
              </w:rPr>
            </w:pPr>
          </w:p>
        </w:tc>
      </w:tr>
      <w:tr>
        <w:trPr>
          <w:trHeight w:val="202"/>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Sub-total</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809,112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(170,053)</w:t>
            </w: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The Philippines: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 Manila</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205,452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59"/>
              <w:spacing w:after="0"/>
              <w:rPr>
                <w:sz w:val="20"/>
                <w:szCs w:val="20"/>
                <w:color w:val="auto"/>
              </w:rPr>
            </w:pPr>
            <w:r>
              <w:rPr>
                <w:rFonts w:ascii="Times New Roman" w:cs="Times New Roman" w:eastAsia="Times New Roman" w:hAnsi="Times New Roman"/>
                <w:sz w:val="17"/>
                <w:szCs w:val="17"/>
                <w:color w:val="auto"/>
              </w:rPr>
              <w:t>146,926</w:t>
            </w:r>
          </w:p>
        </w:tc>
        <w:tc>
          <w:tcPr>
            <w:tcW w:w="140" w:type="dxa"/>
            <w:vAlign w:val="bottom"/>
          </w:tcPr>
          <w:p>
            <w:pPr>
              <w:spacing w:after="0"/>
              <w:rPr>
                <w:sz w:val="17"/>
                <w:szCs w:val="17"/>
                <w:color w:val="auto"/>
              </w:rPr>
            </w:pP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88,962</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Cyprus: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23,696</w:t>
            </w:r>
          </w:p>
        </w:tc>
        <w:tc>
          <w:tcPr>
            <w:tcW w:w="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adjusted property EBITDA</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1,042,064</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235,099</w:t>
            </w:r>
          </w:p>
        </w:tc>
        <w:tc>
          <w:tcPr>
            <w:tcW w:w="0" w:type="dxa"/>
            <w:vAlign w:val="bottom"/>
          </w:tcPr>
          <w:p>
            <w:pPr>
              <w:spacing w:after="0"/>
              <w:rPr>
                <w:sz w:val="1"/>
                <w:szCs w:val="1"/>
                <w:color w:val="auto"/>
              </w:rPr>
            </w:pPr>
          </w:p>
        </w:tc>
      </w:tr>
      <w:tr>
        <w:trPr>
          <w:trHeight w:val="201"/>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to the Philippine Parties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(42,451)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(28,894)</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Pre-opening costs</w:t>
            </w: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(43,994)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(15,585)</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Development costs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(1,202)</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(30,677)</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gaming subconcession</w:t>
            </w: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(32,785)</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(57,276)</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(22,670)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(22,662)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(22,832)</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(520,726)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(466,492)</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(499,739)</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Land rent to Belle</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(2,318)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(35,473)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(71,809)</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(67,957)</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(228,437)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(39,982)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(30,575)</w:t>
            </w:r>
          </w:p>
        </w:tc>
        <w:tc>
          <w:tcPr>
            <w:tcW w:w="0" w:type="dxa"/>
            <w:vAlign w:val="bottom"/>
          </w:tcPr>
          <w:p>
            <w:pPr>
              <w:spacing w:after="0"/>
              <w:rPr>
                <w:sz w:val="1"/>
                <w:szCs w:val="1"/>
                <w:color w:val="auto"/>
              </w:rPr>
            </w:pPr>
          </w:p>
        </w:tc>
      </w:tr>
      <w:tr>
        <w:trPr>
          <w:trHeight w:val="196"/>
        </w:trPr>
        <w:tc>
          <w:tcPr>
            <w:tcW w:w="6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and Other expenses</w:t>
            </w: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(80,241)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color w:val="auto"/>
              </w:rPr>
              <w:t>(63,147)</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(70,118)</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(977,105)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rPr>
              <w:t>(743,674)</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(812,550)</w:t>
            </w: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64,959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(743,105</w:t>
            </w:r>
          </w:p>
        </w:tc>
        <w:tc>
          <w:tcPr>
            <w:tcW w:w="500" w:type="dxa"/>
            <w:vAlign w:val="bottom"/>
          </w:tcPr>
          <w:p>
            <w:pPr>
              <w:jc w:val="right"/>
              <w:ind w:right="4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(577,451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F-80</w:t>
      </w:r>
    </w:p>
    <w:p>
      <w:pPr>
        <w:sectPr>
          <w:pgSz w:w="11900" w:h="16838" w:orient="portrait"/>
          <w:cols w:equalWidth="0" w:num="1">
            <w:col w:w="10960"/>
          </w:cols>
          <w:pgMar w:left="320" w:top="472" w:right="6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23.</w:t>
        <w:tab/>
        <w:t>SEGMENT INFORMATION</w:t>
      </w:r>
      <w:r>
        <w:rPr>
          <w:rFonts w:ascii="Times New Roman" w:cs="Times New Roman" w:eastAsia="Times New Roman" w:hAnsi="Times New Roman"/>
          <w:sz w:val="17"/>
          <w:szCs w:val="17"/>
          <w:color w:val="auto"/>
        </w:rPr>
        <w:t xml:space="preserve"> - continued</w:t>
      </w:r>
    </w:p>
    <w:p>
      <w:pPr>
        <w:spacing w:after="0" w:line="13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color w:val="auto"/>
                <w:w w:val="98"/>
              </w:rPr>
              <w:t>Year Ended December 31,</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6"/>
                <w:szCs w:val="16"/>
                <w:color w:val="auto"/>
              </w:rPr>
            </w:pPr>
          </w:p>
        </w:tc>
      </w:tr>
      <w:tr>
        <w:trPr>
          <w:trHeight w:val="176"/>
        </w:trPr>
        <w:tc>
          <w:tcPr>
            <w:tcW w:w="5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Non-operating income (expenses):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1"/>
              </w:rPr>
              <w:t>   23,305</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w w:val="99"/>
              </w:rPr>
              <w:t>   26,458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6,618</w:t>
            </w:r>
          </w:p>
        </w:tc>
      </w:tr>
      <w:tr>
        <w:trPr>
          <w:trHeight w:val="19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 net of amounts capitalized</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(492,391)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(376,722)</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0"/>
              </w:rPr>
              <w:t>  (350,544)</w:t>
            </w:r>
          </w:p>
        </w:tc>
      </w:tr>
      <w:tr>
        <w:trPr>
          <w:trHeight w:val="19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financing costs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(4,372)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(6,396)</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(11,033)</w:t>
            </w:r>
          </w:p>
        </w:tc>
      </w:tr>
      <w:tr>
        <w:trPr>
          <w:trHeight w:val="19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exchange gains, net</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2,232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3,904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4,566</w:t>
            </w:r>
          </w:p>
        </w:tc>
      </w:tr>
      <w:tr>
        <w:trPr>
          <w:trHeight w:val="19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net</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2,748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3,930</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3,082</w:t>
            </w:r>
          </w:p>
        </w:tc>
      </w:tr>
      <w:tr>
        <w:trPr>
          <w:trHeight w:val="19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1,611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(28,817)</w:t>
            </w:r>
          </w:p>
        </w:tc>
      </w:tr>
      <w:tr>
        <w:trPr>
          <w:trHeight w:val="208"/>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1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(466,867)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(348,826)</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(376,128)</w:t>
            </w:r>
          </w:p>
        </w:tc>
        <w:tc>
          <w:tcPr>
            <w:tcW w:w="100" w:type="dxa"/>
            <w:vAlign w:val="bottom"/>
          </w:tcPr>
          <w:p>
            <w:pPr>
              <w:spacing w:after="0"/>
              <w:rPr>
                <w:sz w:val="18"/>
                <w:szCs w:val="18"/>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(401,908)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8"/>
              </w:rPr>
              <w:t>(1,091,931)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(953,579)</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(13,422)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(5,236)</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(2,885)</w:t>
            </w:r>
          </w:p>
        </w:tc>
      </w:tr>
      <w:tr>
        <w:trPr>
          <w:trHeight w:val="26"/>
        </w:trPr>
        <w:tc>
          <w:tcPr>
            <w:tcW w:w="5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(415,330)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8"/>
              </w:rPr>
              <w:t>(1,097,167)</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(956,464)</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88,410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166,641</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144,713</w:t>
            </w:r>
          </w:p>
        </w:tc>
      </w:tr>
      <w:tr>
        <w:trPr>
          <w:trHeight w:val="26"/>
        </w:trPr>
        <w:tc>
          <w:tcPr>
            <w:tcW w:w="5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(326,920)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(930,526)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(811,751)</w:t>
            </w:r>
          </w:p>
        </w:tc>
      </w:tr>
      <w:tr>
        <w:trPr>
          <w:trHeight w:val="20"/>
        </w:trPr>
        <w:tc>
          <w:tcPr>
            <w:tcW w:w="5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1020" w:right="100" w:hanging="310"/>
        <w:spacing w:after="0" w:line="228" w:lineRule="auto"/>
        <w:tabs>
          <w:tab w:leader="none" w:pos="10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 is net loss before interest, taxes, depreciation, amortization, pre-opening costs, development costs, property charges and other, share-based compensation, payments to the Philippine Parties, land rent to Belle, Corporate and Other expenses, and other non-operating income and expenses. The Company uses Adjusted property EBITDA to measure the operating performance of Mocha and Other, Altira Macau, City of Dreams, Studio City, City of Dreams Manila and City of Dreams Mediterranean and Other and to compare the operating performance of its properties with those of its competitors.</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Company’s geographic information for long-lived assets is as follows:</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251"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474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bottom w:val="single" w:sz="8" w:color="CCEEFF"/>
            </w:tcBorders>
          </w:tcPr>
          <w:p>
            <w:pPr>
              <w:spacing w:after="0"/>
              <w:rPr>
                <w:sz w:val="17"/>
                <w:szCs w:val="17"/>
                <w:color w:val="auto"/>
              </w:rPr>
            </w:pPr>
          </w:p>
        </w:tc>
      </w:tr>
      <w:tr>
        <w:trPr>
          <w:trHeight w:val="20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5,752,786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6,068,502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6,080,616</w:t>
            </w:r>
          </w:p>
        </w:tc>
        <w:tc>
          <w:tcPr>
            <w:tcW w:w="120" w:type="dxa"/>
            <w:vAlign w:val="bottom"/>
            <w:shd w:val="clear" w:color="auto" w:fill="CCEEFF"/>
          </w:tcPr>
          <w:p>
            <w:pPr>
              <w:spacing w:after="0"/>
              <w:rPr>
                <w:sz w:val="17"/>
                <w:szCs w:val="17"/>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341,307</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663,633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378,738</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Hong Kong and other foreign countries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29,871</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32,972</w:t>
            </w:r>
          </w:p>
        </w:tc>
      </w:tr>
      <w:tr>
        <w:trPr>
          <w:trHeight w:val="26"/>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long-lived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6,565,366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6,725,708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6,833,633  </w:t>
            </w:r>
          </w:p>
        </w:tc>
      </w:tr>
      <w:tr>
        <w:trPr>
          <w:trHeight w:val="20"/>
        </w:trPr>
        <w:tc>
          <w:tcPr>
            <w:tcW w:w="4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right="6020" w:hanging="428"/>
        <w:spacing w:after="0" w:line="386" w:lineRule="auto"/>
        <w:tabs>
          <w:tab w:leader="none" w:pos="712"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SHAREHOLDINGS OF SUBSIDIARIES The Philippine subsidiaries</w:t>
      </w:r>
    </w:p>
    <w:p>
      <w:pPr>
        <w:ind w:left="720" w:right="6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 result of the Reverse Stock Split, only those shareholders of MRP who originally owned 500,000 MRP common shares with a par value of PHP1 (equivalent to $0.02) per share (each an “Original Share”) and in multiples thereof immediately prior to the Reverse Stock Split would now own whole shares (each a “MRP Whole Share”) of stock of MRP. Other holders of the Original Shares could now only hold a fractional share of MRP (“MRP Fractional Share”). To facilitate the elimination of MRP Fractional Shares held by other shareholders of MRP, MPHIL Corporation (“MPHIL”), a subsidiary of Melco, offered to purchase the resulting MRP Fractional Shares at the purchase price to be calculated by multiplying the number of Original Shares represented by the relevant MRP Fractional Shares (which were equal to the number of Original Shares held by the relevant shareholder immediately prior to the Reverse Stock Split) by the price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F-81</w:t>
      </w:r>
    </w:p>
    <w:p>
      <w:pPr>
        <w:sectPr>
          <w:pgSz w:w="11900" w:h="16838" w:orient="portrait"/>
          <w:cols w:equalWidth="0" w:num="1">
            <w:col w:w="10960"/>
          </w:cols>
          <w:pgMar w:left="320" w:top="473" w:right="6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5180" w:hanging="428"/>
        <w:spacing w:after="0" w:line="394" w:lineRule="auto"/>
        <w:tabs>
          <w:tab w:leader="none" w:pos="712"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SHAREHOLDINGS OF SUBSIDIARIES</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The Philippine subsidiaries</w:t>
      </w:r>
      <w:r>
        <w:rPr>
          <w:rFonts w:ascii="Times New Roman" w:cs="Times New Roman" w:eastAsia="Times New Roman" w:hAnsi="Times New Roman"/>
          <w:sz w:val="17"/>
          <w:szCs w:val="17"/>
          <w:color w:val="auto"/>
        </w:rPr>
        <w:t xml:space="preserve"> - continued</w:t>
      </w:r>
    </w:p>
    <w:p>
      <w:pPr>
        <w:ind w:left="720" w:right="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 PHP7.25 (equivalent to $0.14) per Original Share (“Fractional Share Elimination Plan”). A shareholder could also sell any MRP Whole Shares to MPHIL under the Fractional Share Elimination Plan. Any holder of MRP Fractional Shares and/or MRP Whole Shares may accept this offer during the two-year period commencing from June 5, 2020. The Fractional Share Elimination Plan expired on June 4, 2022 and was subsequently extended for the period from August 15, 2022 to November 15, 2022.</w:t>
      </w:r>
    </w:p>
    <w:p>
      <w:pPr>
        <w:spacing w:after="0" w:line="64" w:lineRule="exact"/>
        <w:rPr>
          <w:rFonts w:ascii="Times New Roman" w:cs="Times New Roman" w:eastAsia="Times New Roman" w:hAnsi="Times New Roman"/>
          <w:sz w:val="17"/>
          <w:szCs w:val="17"/>
          <w:b w:val="1"/>
          <w:bCs w:val="1"/>
          <w:color w:val="auto"/>
        </w:rPr>
      </w:pPr>
    </w:p>
    <w:p>
      <w:pPr>
        <w:ind w:left="720" w:right="1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 through its subsidiaries, purchased 10.111, 50.906 and 123.103 common shares of MRP at a total consideration of PHP36,651 (equivalent to $671), PHP175,173 (equivalent to $3,310) and PHP440,032 (equivalent to $8,518) from the noncontrolling interests, which increased Melco’s shareholding in MRP and the Company recognized a decrease of $582, $2,952 and $6,951 in Melco’s additional paid-in capital which reflected the adjustment to the carrying amount of the noncontrolling interest in MRP, respectively.</w:t>
      </w:r>
    </w:p>
    <w:p>
      <w:pPr>
        <w:spacing w:after="0" w:line="66"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retains its controlling financial interests in MRP before and after the above transactions.</w:t>
      </w:r>
    </w:p>
    <w:p>
      <w:pPr>
        <w:spacing w:after="0" w:line="32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Studio City International</w:t>
      </w:r>
    </w:p>
    <w:p>
      <w:pPr>
        <w:spacing w:after="0" w:line="120" w:lineRule="exact"/>
        <w:rPr>
          <w:rFonts w:ascii="Times New Roman" w:cs="Times New Roman" w:eastAsia="Times New Roman" w:hAnsi="Times New Roman"/>
          <w:sz w:val="17"/>
          <w:szCs w:val="17"/>
          <w:b w:val="1"/>
          <w:bCs w:val="1"/>
          <w:color w:val="auto"/>
        </w:rPr>
      </w:pPr>
    </w:p>
    <w:p>
      <w:pPr>
        <w:ind w:left="720"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February and March 2022, Studio City International, respectively, announced and completed a series of private offers of its 400,000,000 Class A ordinary shares to certain existing shareholders and holders of its ADSs, including Melco, with gross proceeds amounting to $300,000, of which $134,944 was from noncontrolling interests (the “2022 Private Placements”). The 2022 Private Placements increased Melco’s shareholding in Studio City International and the Company recognized an increase of $879 in Melco’s additional paid-in capital which reflected the adjustment to the carrying amount of the noncontrolling interest in Studio City International.</w:t>
      </w:r>
    </w:p>
    <w:p>
      <w:pPr>
        <w:spacing w:after="0" w:line="66"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retains its controlling financial interest in Studio City International before and after the above transactions.</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schedule below discloses the effects of changes in Melco’s ownership interest in MRP and Studio City International on its equity:</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8"/>
          </w:tcPr>
          <w:p>
            <w:pPr>
              <w:ind w:left="46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Melco Resorts &amp; Entertainment Limited</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(326,920)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(930,526)</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(811,751)</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Transfers (to) from noncontrolling interests: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The Philippine subsidiaries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80"/>
              <w:spacing w:after="0" w:line="191" w:lineRule="exact"/>
              <w:rPr>
                <w:sz w:val="20"/>
                <w:szCs w:val="20"/>
                <w:color w:val="auto"/>
              </w:rPr>
            </w:pPr>
            <w:r>
              <w:rPr>
                <w:rFonts w:ascii="Times New Roman" w:cs="Times New Roman" w:eastAsia="Times New Roman" w:hAnsi="Times New Roman"/>
                <w:sz w:val="17"/>
                <w:szCs w:val="17"/>
                <w:color w:val="auto"/>
              </w:rPr>
              <w:t>Decrease in additional paid-in capital resulting from purchases of common shares of MRP from the</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open market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(582)</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(2,952)</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(6,951)</w:t>
            </w: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Studio City International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Increase in additional paid-in capital resulting from the private placements</w:t>
            </w: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72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Changes from net loss attributable to Melco Resorts &amp; Entertainment Limited’s shareholders and</w:t>
            </w: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transfers from noncontrolling interests</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(327,502)</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(932,599)</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(818,702)</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740"/>
              <w:spacing w:after="0"/>
              <w:rPr>
                <w:sz w:val="20"/>
                <w:szCs w:val="20"/>
                <w:color w:val="auto"/>
              </w:rPr>
            </w:pPr>
            <w:r>
              <w:rPr>
                <w:rFonts w:ascii="Times New Roman" w:cs="Times New Roman" w:eastAsia="Times New Roman" w:hAnsi="Times New Roman"/>
                <w:sz w:val="17"/>
                <w:szCs w:val="17"/>
                <w:color w:val="auto"/>
              </w:rPr>
              <w:t>F-82</w:t>
            </w: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3862705</wp:posOffset>
            </wp:positionV>
            <wp:extent cx="7178675" cy="666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472" w:right="6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FINANCIAL INFORMATION OF PARENT COMPANY</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61,345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from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157,737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175,450</w:t>
            </w:r>
          </w:p>
        </w:tc>
        <w:tc>
          <w:tcPr>
            <w:tcW w:w="0" w:type="dxa"/>
            <w:vAlign w:val="bottom"/>
          </w:tcPr>
          <w:p>
            <w:pPr>
              <w:spacing w:after="0"/>
              <w:rPr>
                <w:sz w:val="1"/>
                <w:szCs w:val="1"/>
                <w:color w:val="auto"/>
              </w:rPr>
            </w:pPr>
          </w:p>
        </w:tc>
      </w:tr>
      <w:tr>
        <w:trPr>
          <w:trHeight w:val="215"/>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from an affiliated company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216,333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Receivables from subsidiaries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673,729</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943,667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980,359</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12,536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Payables to an affiliated company</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Payables to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260,720</w:t>
            </w: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289,249</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deficit in subsidiaries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511,449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to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1,430,195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1,541,434</w:t>
            </w: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2,230,947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Ordinary shares, par value $0.01; 7,300,000,000 shares authorized;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1,404,679,067 and 1,445,052,143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1,311,270,775 and 1,335,307,327 shares outstanding, respectively</w:t>
            </w: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14,047</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shares, at cost; 93,408,292 and 109,744,816 shares, respectively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(255,068)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(241,750)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3,109,212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3,218,895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(98,599)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(111,969)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losses</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(4,056,872)</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(3,729,952)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(1,287,280)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(850,325)</w:t>
            </w:r>
          </w:p>
        </w:tc>
        <w:tc>
          <w:tcPr>
            <w:tcW w:w="0" w:type="dxa"/>
            <w:vAlign w:val="bottom"/>
          </w:tcPr>
          <w:p>
            <w:pPr>
              <w:spacing w:after="0"/>
              <w:rPr>
                <w:sz w:val="1"/>
                <w:szCs w:val="1"/>
                <w:color w:val="auto"/>
              </w:rPr>
            </w:pPr>
          </w:p>
        </w:tc>
      </w:tr>
      <w:tr>
        <w:trPr>
          <w:trHeight w:val="215"/>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943,667</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F-83</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120" w:right="6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OPERATIONS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9"/>
          </w:tcPr>
          <w:p>
            <w:pPr>
              <w:jc w:val="right"/>
              <w:ind w:right="64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38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38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15,340</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(50,532)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21"/>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(50,938)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1"/>
              </w:rPr>
              <w:t>    48,544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(35,598)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(74,694)</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3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1"/>
              </w:rPr>
              <w:t>    16,151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(3,165)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gains, net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7,437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11,220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4"/>
              </w:rPr>
              <w:t>    15,092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of results of subsidiaries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(358,767)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(922,771)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(755,678)</w:t>
            </w:r>
          </w:p>
        </w:tc>
        <w:tc>
          <w:tcPr>
            <w:tcW w:w="0" w:type="dxa"/>
            <w:vAlign w:val="bottom"/>
          </w:tcPr>
          <w:p>
            <w:pPr>
              <w:spacing w:after="0"/>
              <w:rPr>
                <w:sz w:val="1"/>
                <w:szCs w:val="1"/>
                <w:color w:val="auto"/>
              </w:rPr>
            </w:pPr>
          </w:p>
        </w:tc>
      </w:tr>
      <w:tr>
        <w:trPr>
          <w:trHeight w:val="221"/>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(364,344)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(891,128)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(734,355)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(315,800)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(926,726)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(809,049)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(326,920)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(930,526)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(811,751)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980" w:type="dxa"/>
            <w:vAlign w:val="bottom"/>
            <w:gridSpan w:val="2"/>
          </w:tcPr>
          <w:p>
            <w:pPr>
              <w:jc w:val="right"/>
              <w:ind w:right="2193"/>
              <w:spacing w:after="0"/>
              <w:rPr>
                <w:sz w:val="20"/>
                <w:szCs w:val="20"/>
                <w:color w:val="auto"/>
              </w:rPr>
            </w:pPr>
            <w:r>
              <w:rPr>
                <w:rFonts w:ascii="Times New Roman" w:cs="Times New Roman" w:eastAsia="Times New Roman" w:hAnsi="Times New Roman"/>
                <w:sz w:val="17"/>
                <w:szCs w:val="17"/>
                <w:color w:val="auto"/>
              </w:rPr>
              <w:t>F-84</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COMPREHENSIVE LOSS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7"/>
                <w:szCs w:val="17"/>
                <w:color w:val="auto"/>
              </w:rPr>
            </w:pPr>
          </w:p>
        </w:tc>
        <w:tc>
          <w:tcPr>
            <w:tcW w:w="92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(326,920)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(930,526)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(811,751)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13,370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(35,961)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(64,676)</w:t>
            </w: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(64,676)</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w:t>
            </w:r>
          </w:p>
        </w:tc>
        <w:tc>
          <w:tcPr>
            <w:tcW w:w="3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(313,550)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(966,487)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(876,427)</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40" w:type="dxa"/>
            <w:vAlign w:val="bottom"/>
            <w:gridSpan w:val="3"/>
          </w:tcPr>
          <w:p>
            <w:pPr>
              <w:jc w:val="right"/>
              <w:ind w:right="2940"/>
              <w:spacing w:after="0"/>
              <w:rPr>
                <w:sz w:val="20"/>
                <w:szCs w:val="20"/>
                <w:color w:val="auto"/>
              </w:rPr>
            </w:pPr>
            <w:r>
              <w:rPr>
                <w:rFonts w:ascii="Times New Roman" w:cs="Times New Roman" w:eastAsia="Times New Roman" w:hAnsi="Times New Roman"/>
                <w:sz w:val="17"/>
                <w:szCs w:val="17"/>
                <w:color w:val="auto"/>
              </w:rPr>
              <w:t>F-85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CASH FLOWS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xml:space="preserve">$ </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 70,894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86,252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(21,401)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advances to subsidiaries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(528,794)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(215,613)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advances repayment from subsidiaries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75,041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 repayment from an affiliated company</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transfer of intangible asset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519,000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loan to an affiliated company</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(200,000)</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265,247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99"/>
              </w:rPr>
              <w:t>(415,613)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(20,005)</w:t>
            </w:r>
          </w:p>
        </w:tc>
        <w:tc>
          <w:tcPr>
            <w:tcW w:w="0" w:type="dxa"/>
            <w:vAlign w:val="bottom"/>
          </w:tcPr>
          <w:p>
            <w:pPr>
              <w:spacing w:after="0"/>
              <w:rPr>
                <w:sz w:val="1"/>
                <w:szCs w:val="1"/>
                <w:color w:val="auto"/>
              </w:rPr>
            </w:pPr>
          </w:p>
        </w:tc>
      </w:tr>
      <w:tr>
        <w:trPr>
          <w:trHeight w:val="215"/>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loans or advances from subsidiaries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99"/>
              </w:rPr>
              <w:t>(270,593)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shares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(169,836)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w w:val="99"/>
              </w:rPr>
              <w:t>(189,161)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loans or advances from subsidiaries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158,000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521,860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54,187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99"/>
              </w:rPr>
              <w:t>(282,203)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332,699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9,262</w:t>
            </w:r>
          </w:p>
        </w:tc>
        <w:tc>
          <w:tcPr>
            <w:tcW w:w="0" w:type="dxa"/>
            <w:vAlign w:val="bottom"/>
          </w:tcPr>
          <w:p>
            <w:pPr>
              <w:spacing w:after="0"/>
              <w:rPr>
                <w:sz w:val="1"/>
                <w:szCs w:val="1"/>
                <w:color w:val="auto"/>
              </w:rPr>
            </w:pPr>
          </w:p>
        </w:tc>
      </w:tr>
      <w:tr>
        <w:trPr>
          <w:trHeight w:val="215"/>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53,938</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(32,144)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7,407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4,069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36,213</w:t>
            </w:r>
          </w:p>
        </w:tc>
        <w:tc>
          <w:tcPr>
            <w:tcW w:w="0" w:type="dxa"/>
            <w:vAlign w:val="bottom"/>
          </w:tcPr>
          <w:p>
            <w:pPr>
              <w:spacing w:after="0"/>
              <w:rPr>
                <w:sz w:val="1"/>
                <w:szCs w:val="1"/>
                <w:color w:val="auto"/>
              </w:rPr>
            </w:pPr>
          </w:p>
        </w:tc>
      </w:tr>
      <w:tr>
        <w:trPr>
          <w:trHeight w:val="215"/>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10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61,345</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7,407</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cash flow disclosures: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Assignment of advance to subsidiary to offset with advance from subsidiary</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235,897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Capitalization of advance to subsidiary as investment in subsidiary</w:t>
            </w:r>
          </w:p>
        </w:tc>
        <w:tc>
          <w:tcPr>
            <w:tcW w:w="1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235,897</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500" w:type="dxa"/>
            <w:vAlign w:val="bottom"/>
          </w:tcPr>
          <w:p>
            <w:pPr>
              <w:ind w:left="5140"/>
              <w:spacing w:after="0"/>
              <w:rPr>
                <w:sz w:val="20"/>
                <w:szCs w:val="20"/>
                <w:color w:val="auto"/>
              </w:rPr>
            </w:pPr>
            <w:r>
              <w:rPr>
                <w:rFonts w:ascii="Times New Roman" w:cs="Times New Roman" w:eastAsia="Times New Roman" w:hAnsi="Times New Roman"/>
                <w:sz w:val="17"/>
                <w:szCs w:val="17"/>
                <w:color w:val="auto"/>
              </w:rPr>
              <w:t>F-86</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40" w:right="238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NOTES TO FINANCIAL STATEMENT SCHEDULE 1 (In thousands)</w:t>
      </w:r>
    </w:p>
    <w:p>
      <w:pPr>
        <w:spacing w:after="0" w:line="200" w:lineRule="exact"/>
        <w:rPr>
          <w:sz w:val="20"/>
          <w:szCs w:val="20"/>
          <w:color w:val="auto"/>
        </w:rPr>
      </w:pPr>
    </w:p>
    <w:p>
      <w:pPr>
        <w:spacing w:after="0" w:line="204" w:lineRule="exact"/>
        <w:rPr>
          <w:sz w:val="20"/>
          <w:szCs w:val="20"/>
          <w:color w:val="auto"/>
        </w:rPr>
      </w:pPr>
    </w:p>
    <w:p>
      <w:pPr>
        <w:ind w:left="720" w:right="40" w:hanging="428"/>
        <w:spacing w:after="0" w:line="263" w:lineRule="auto"/>
        <w:tabs>
          <w:tab w:leader="none" w:pos="72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2023, approximately $740,000 of the restricted net assets were not available for distribution and as such, the condensed financial information of Melco has been presented for the years ended December 31, 2023, 2022 and 2021. Melco received no cash dividends from its subsidiary during the years ended December 31, 2023, 2022 and 2021.</w:t>
      </w:r>
    </w:p>
    <w:p>
      <w:pPr>
        <w:spacing w:after="0" w:line="81"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Basis of Presentation</w:t>
      </w:r>
    </w:p>
    <w:p>
      <w:pPr>
        <w:spacing w:after="0" w:line="118" w:lineRule="exact"/>
        <w:rPr>
          <w:rFonts w:ascii="Times New Roman" w:cs="Times New Roman" w:eastAsia="Times New Roman" w:hAnsi="Times New Roman"/>
          <w:sz w:val="17"/>
          <w:szCs w:val="17"/>
          <w:color w:val="auto"/>
        </w:rPr>
      </w:pPr>
    </w:p>
    <w:p>
      <w:pPr>
        <w:ind w:left="7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condensed financial information has been prepared using the same accounting policies as set out in Melco’s consolidated financial statements except that the parent company has used the equity method to account for its investments in subsidiaries. For the parent company, the Company records its investments in subsidiaries under the equity method of accounting as prescribed in Accounting Standards Codification 323, Investments-Equity Method and Joint Ventures. Such investments are presented on the Condensed Balance Sheets as ‘‘Investments in subsidiaries” or “Investments deficit in subsidiaries” and the subsidiaries’ profit or loss as ‘‘Share of results of subsidiaries” on the Condensed Statements of Operations. Ordinarily,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1,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spacing w:after="0" w:line="3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F-87</w:t>
      </w:r>
    </w:p>
    <w:p>
      <w:pPr>
        <w:sectPr>
          <w:pgSz w:w="11900" w:h="16838" w:orient="portrait"/>
          <w:cols w:equalWidth="0" w:num="1">
            <w:col w:w="10920"/>
          </w:cols>
          <w:pgMar w:left="320" w:top="473" w:right="65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7"/>
          <w:szCs w:val="17"/>
          <w:b w:val="1"/>
          <w:bCs w:val="1"/>
          <w:color w:val="auto"/>
        </w:rPr>
        <w:t>Exhibit 2.24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169545</wp:posOffset>
            </wp:positionV>
            <wp:extent cx="1609725" cy="132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1609725"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Dated 29 June 2023</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Amendment and Restatement Agreement</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in respect of the HKD14,850,000,000 Revolving Credit Facility Agreement originally dated 29 April 2020 (as amended and restated from time to time)</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between</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as Company and Guarantors’ Agent</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MCO Investments Limited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as a Subsidiary Guarantor</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Melco Resorts Finance Limited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MCO International Limited</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as Subordinated Creditors</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as Agent</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White &amp; Case</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16th Floor, York House, The Landmark</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15 Queen’s Road Central</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Hong Kong</w:t>
      </w:r>
    </w:p>
    <w:p>
      <w:pPr>
        <w:sectPr>
          <w:pgSz w:w="11900" w:h="16838" w:orient="portrait"/>
          <w:cols w:equalWidth="0" w:num="1">
            <w:col w:w="10600"/>
          </w:cols>
          <w:pgMar w:left="680" w:top="119" w:right="61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180" w:type="dxa"/>
            <w:vAlign w:val="bottom"/>
          </w:tcPr>
          <w:p>
            <w:pPr>
              <w:jc w:val="right"/>
              <w:ind w:right="4533"/>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426"/>
        </w:trPr>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Interpretation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Amendment to the Facility Agreement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Representations</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Continuity and further assurance</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Costs and expenses</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Enforcement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Miscellaneous</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Counterparts</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Governing law</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9"/>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Schedule 1  Amended and Restated Facility Agreement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29"/>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Schedule 2  Conditions Precedent</w:t>
            </w:r>
          </w:p>
        </w:tc>
        <w:tc>
          <w:tcPr>
            <w:tcW w:w="6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175</w:t>
            </w:r>
          </w:p>
        </w:tc>
      </w:tr>
    </w:tbl>
    <w:p>
      <w:pPr>
        <w:jc w:val="right"/>
        <w:spacing w:after="0"/>
        <w:rPr>
          <w:sz w:val="20"/>
          <w:szCs w:val="20"/>
          <w:color w:val="auto"/>
        </w:rPr>
        <w:sectPr>
          <w:pgSz w:w="11900" w:h="16838" w:orient="portrait"/>
          <w:cols w:equalWidth="0" w:num="1">
            <w:col w:w="10600"/>
          </w:cols>
          <w:pgMar w:left="620" w:top="263"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293" w:name="page294"/>
    <w:bookmarkEnd w:id="293"/>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This Amendment and Restatement Agreement </w:t>
      </w:r>
      <w:r>
        <w:rPr>
          <w:rFonts w:ascii="Times New Roman" w:cs="Times New Roman" w:eastAsia="Times New Roman" w:hAnsi="Times New Roman"/>
          <w:sz w:val="17"/>
          <w:szCs w:val="17"/>
          <w:color w:val="auto"/>
        </w:rPr>
        <w:t>is dated 29 June 2023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and made</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31" w:lineRule="exact"/>
        <w:rPr>
          <w:sz w:val="20"/>
          <w:szCs w:val="20"/>
          <w:color w:val="auto"/>
        </w:rPr>
      </w:pPr>
    </w:p>
    <w:p>
      <w:pPr>
        <w:ind w:left="748" w:right="200" w:hanging="748"/>
        <w:spacing w:after="0" w:line="270" w:lineRule="auto"/>
        <w:tabs>
          <w:tab w:leader="none" w:pos="748"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MCO Nominee One Limited</w:t>
      </w:r>
      <w:r>
        <w:rPr>
          <w:rFonts w:ascii="Times New Roman" w:cs="Times New Roman" w:eastAsia="Times New Roman" w:hAnsi="Times New Roman"/>
          <w:sz w:val="17"/>
          <w:szCs w:val="17"/>
          <w:color w:val="auto"/>
        </w:rPr>
        <w:t>, an exempted company incorporated with limited liability in the Cayman Islands with its registered office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 Intertrust Corporate Services (Cayman) Limited, One Nexus Way, Camana Bay, Grand Cayman, KY1-9005, Cayman Islands and with registration number 187717 for itself as the Company (in such capacity,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as the Guarantors’ Agent for each Subsidiary Guarantor (in such capacity, the “</w:t>
      </w:r>
      <w:r>
        <w:rPr>
          <w:rFonts w:ascii="Times New Roman" w:cs="Times New Roman" w:eastAsia="Times New Roman" w:hAnsi="Times New Roman"/>
          <w:sz w:val="17"/>
          <w:szCs w:val="17"/>
          <w:b w:val="1"/>
          <w:bCs w:val="1"/>
          <w:color w:val="auto"/>
        </w:rPr>
        <w:t>Guarantors’ Agent</w:t>
      </w:r>
      <w:r>
        <w:rPr>
          <w:rFonts w:ascii="Times New Roman" w:cs="Times New Roman" w:eastAsia="Times New Roman" w:hAnsi="Times New Roman"/>
          <w:sz w:val="17"/>
          <w:szCs w:val="17"/>
          <w:color w:val="auto"/>
        </w:rPr>
        <w:t>”);</w:t>
      </w:r>
    </w:p>
    <w:p>
      <w:pPr>
        <w:spacing w:after="0" w:line="74" w:lineRule="exact"/>
        <w:rPr>
          <w:rFonts w:ascii="Times New Roman" w:cs="Times New Roman" w:eastAsia="Times New Roman" w:hAnsi="Times New Roman"/>
          <w:sz w:val="17"/>
          <w:szCs w:val="17"/>
          <w:b w:val="1"/>
          <w:bCs w:val="1"/>
          <w:color w:val="auto"/>
        </w:rPr>
      </w:pPr>
    </w:p>
    <w:p>
      <w:pPr>
        <w:ind w:left="748" w:right="100" w:hanging="748"/>
        <w:spacing w:after="0" w:line="270" w:lineRule="auto"/>
        <w:tabs>
          <w:tab w:leader="none" w:pos="748"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MCO Investments Limited</w:t>
      </w:r>
      <w:r>
        <w:rPr>
          <w:rFonts w:ascii="Times New Roman" w:cs="Times New Roman" w:eastAsia="Times New Roman" w:hAnsi="Times New Roman"/>
          <w:sz w:val="17"/>
          <w:szCs w:val="17"/>
          <w:color w:val="auto"/>
        </w:rPr>
        <w:t>, an exempted company incorporated with limited liability in the Cayman Islands with its registered office at c/o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Intertrust Corporate Services (Cayman) Limited, One Nexus Way, Camana Bay, Grand Cayman, KY1-9005, Cayman Islands and with registration number 168835 as a subsidiary guarantor (“</w:t>
      </w:r>
      <w:r>
        <w:rPr>
          <w:rFonts w:ascii="Times New Roman" w:cs="Times New Roman" w:eastAsia="Times New Roman" w:hAnsi="Times New Roman"/>
          <w:sz w:val="17"/>
          <w:szCs w:val="17"/>
          <w:b w:val="1"/>
          <w:bCs w:val="1"/>
          <w:color w:val="auto"/>
        </w:rPr>
        <w:t>MCO Investments</w:t>
      </w:r>
      <w:r>
        <w:rPr>
          <w:rFonts w:ascii="Times New Roman" w:cs="Times New Roman" w:eastAsia="Times New Roman" w:hAnsi="Times New Roman"/>
          <w:sz w:val="17"/>
          <w:szCs w:val="17"/>
          <w:color w:val="auto"/>
        </w:rPr>
        <w:t>” and together with Melco Resorts Macau (as defined below), the “</w:t>
      </w:r>
      <w:r>
        <w:rPr>
          <w:rFonts w:ascii="Times New Roman" w:cs="Times New Roman" w:eastAsia="Times New Roman" w:hAnsi="Times New Roman"/>
          <w:sz w:val="17"/>
          <w:szCs w:val="17"/>
          <w:b w:val="1"/>
          <w:bCs w:val="1"/>
          <w:color w:val="auto"/>
        </w:rPr>
        <w:t>Subsidiary Guarantors</w:t>
      </w:r>
      <w:r>
        <w:rPr>
          <w:rFonts w:ascii="Times New Roman" w:cs="Times New Roman" w:eastAsia="Times New Roman" w:hAnsi="Times New Roman"/>
          <w:sz w:val="17"/>
          <w:szCs w:val="17"/>
          <w:color w:val="auto"/>
        </w:rPr>
        <w:t>”);</w:t>
      </w:r>
    </w:p>
    <w:p>
      <w:pPr>
        <w:spacing w:after="0" w:line="74" w:lineRule="exact"/>
        <w:rPr>
          <w:rFonts w:ascii="Times New Roman" w:cs="Times New Roman" w:eastAsia="Times New Roman" w:hAnsi="Times New Roman"/>
          <w:sz w:val="17"/>
          <w:szCs w:val="17"/>
          <w:b w:val="1"/>
          <w:bCs w:val="1"/>
          <w:color w:val="auto"/>
        </w:rPr>
      </w:pPr>
    </w:p>
    <w:p>
      <w:pPr>
        <w:ind w:left="748" w:right="20" w:hanging="748"/>
        <w:spacing w:after="0" w:line="264" w:lineRule="auto"/>
        <w:tabs>
          <w:tab w:leader="none" w:pos="748"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Melco Resorts Finance Limited </w:t>
      </w:r>
      <w:r>
        <w:rPr>
          <w:rFonts w:ascii="Times New Roman" w:cs="Times New Roman" w:eastAsia="Times New Roman" w:hAnsi="Times New Roman"/>
          <w:sz w:val="17"/>
          <w:szCs w:val="17"/>
          <w:color w:val="auto"/>
        </w:rPr>
        <w:t>(formerly known as MCE Finance Limited), an exempted company incorporated with limited liability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Cayman Islands with its registered office at c/o Intertrust Corporate Services (Cayman) Limited, One Nexus Way, Camana Bay, Grand Cayman, KY1-9005, Cayman Islands and with registration number 168872 and </w:t>
      </w:r>
      <w:r>
        <w:rPr>
          <w:rFonts w:ascii="Times New Roman" w:cs="Times New Roman" w:eastAsia="Times New Roman" w:hAnsi="Times New Roman"/>
          <w:sz w:val="17"/>
          <w:szCs w:val="17"/>
          <w:b w:val="1"/>
          <w:bCs w:val="1"/>
          <w:color w:val="auto"/>
        </w:rPr>
        <w:t>MCO International Limited</w:t>
      </w:r>
      <w:r>
        <w:rPr>
          <w:rFonts w:ascii="Times New Roman" w:cs="Times New Roman" w:eastAsia="Times New Roman" w:hAnsi="Times New Roman"/>
          <w:sz w:val="17"/>
          <w:szCs w:val="17"/>
          <w:color w:val="auto"/>
        </w:rPr>
        <w:t>, an exempted company incorporated with limited liability in the Cayman Islands with its registered office at c/o Intertrust Corporate Services (Cayman) Limited, One Nexus Way, Camana Bay, Grand Cayman, KY1-9005, Cayman Islands and with registration number 143605 as subordinated creditors (together with the Company, the Guarantors’ Agent and the Subsidiary Guarantors, the “</w:t>
      </w:r>
      <w:r>
        <w:rPr>
          <w:rFonts w:ascii="Times New Roman" w:cs="Times New Roman" w:eastAsia="Times New Roman" w:hAnsi="Times New Roman"/>
          <w:sz w:val="17"/>
          <w:szCs w:val="17"/>
          <w:b w:val="1"/>
          <w:bCs w:val="1"/>
          <w:color w:val="auto"/>
        </w:rPr>
        <w:t>Transaction Obligors</w:t>
      </w:r>
      <w:r>
        <w:rPr>
          <w:rFonts w:ascii="Times New Roman" w:cs="Times New Roman" w:eastAsia="Times New Roman" w:hAnsi="Times New Roman"/>
          <w:sz w:val="17"/>
          <w:szCs w:val="17"/>
          <w:color w:val="auto"/>
        </w:rPr>
        <w:t>”); and</w:t>
      </w:r>
    </w:p>
    <w:p>
      <w:pPr>
        <w:spacing w:after="0" w:line="82" w:lineRule="exact"/>
        <w:rPr>
          <w:rFonts w:ascii="Times New Roman" w:cs="Times New Roman" w:eastAsia="Times New Roman" w:hAnsi="Times New Roman"/>
          <w:sz w:val="17"/>
          <w:szCs w:val="17"/>
          <w:b w:val="1"/>
          <w:bCs w:val="1"/>
          <w:color w:val="auto"/>
        </w:rPr>
      </w:pPr>
    </w:p>
    <w:p>
      <w:pPr>
        <w:ind w:left="748" w:right="100" w:hanging="748"/>
        <w:spacing w:after="0" w:line="298" w:lineRule="auto"/>
        <w:tabs>
          <w:tab w:leader="none" w:pos="748"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Bank of China Limited, Macau Branch</w:t>
      </w:r>
      <w:r>
        <w:rPr>
          <w:rFonts w:ascii="Times New Roman" w:cs="Times New Roman" w:eastAsia="Times New Roman" w:hAnsi="Times New Roman"/>
          <w:sz w:val="17"/>
          <w:szCs w:val="17"/>
          <w:color w:val="auto"/>
        </w:rPr>
        <w:t>, incorporated with limited liability under the laws of the People’s Republic of China in its capacity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facility agent of the other Finance Parties under the Facility Agreement (the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w:t>
      </w:r>
    </w:p>
    <w:p>
      <w:pPr>
        <w:spacing w:after="0" w:line="2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133" w:lineRule="exact"/>
        <w:rPr>
          <w:sz w:val="20"/>
          <w:szCs w:val="20"/>
          <w:color w:val="auto"/>
        </w:rPr>
      </w:pPr>
    </w:p>
    <w:p>
      <w:pPr>
        <w:ind w:left="748" w:right="220" w:hanging="748"/>
        <w:spacing w:after="0" w:line="295" w:lineRule="auto"/>
        <w:tabs>
          <w:tab w:leader="none" w:pos="74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parties hereto (among others) have entered into a HKD14,850,000,000 Revolving Credit Facility Agreement originally dated 29 April 2020 as further amended and restated from time to time (the “</w:t>
      </w:r>
      <w:r>
        <w:rPr>
          <w:rFonts w:ascii="Times New Roman" w:cs="Times New Roman" w:eastAsia="Times New Roman" w:hAnsi="Times New Roman"/>
          <w:sz w:val="17"/>
          <w:szCs w:val="17"/>
          <w:b w:val="1"/>
          <w:bCs w:val="1"/>
          <w:color w:val="auto"/>
        </w:rPr>
        <w:t>Facility Agreement</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supplemental to the Facility Agreement.</w:t>
      </w:r>
    </w:p>
    <w:p>
      <w:pPr>
        <w:spacing w:after="0" w:line="131" w:lineRule="exact"/>
        <w:rPr>
          <w:rFonts w:ascii="Times New Roman" w:cs="Times New Roman" w:eastAsia="Times New Roman" w:hAnsi="Times New Roman"/>
          <w:sz w:val="17"/>
          <w:szCs w:val="17"/>
          <w:color w:val="auto"/>
        </w:rPr>
      </w:pPr>
    </w:p>
    <w:p>
      <w:pPr>
        <w:ind w:left="748" w:right="560" w:hanging="748"/>
        <w:spacing w:after="0" w:line="295" w:lineRule="auto"/>
        <w:tabs>
          <w:tab w:leader="none" w:pos="74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Guarantors’ Agent have requested that the Facility Agreement be amended and restated as contemplated by this Agreement and the Agent consents to the making of those amendments, subject to the terms and conditions of this Agreement.</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wish to enter into this Agreement to record their agreements in relation to the above.</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3" w:right="619" w:bottom="1440" w:gutter="0" w:footer="0" w:header="0"/>
        </w:sectPr>
      </w:pPr>
    </w:p>
    <w:bookmarkStart w:id="294" w:name="page295"/>
    <w:bookmarkEnd w:id="294"/>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It is agreed </w:t>
      </w:r>
      <w:r>
        <w:rPr>
          <w:rFonts w:ascii="Times New Roman" w:cs="Times New Roman" w:eastAsia="Times New Roman" w:hAnsi="Times New Roman"/>
          <w:sz w:val="17"/>
          <w:szCs w:val="17"/>
          <w:color w:val="auto"/>
        </w:rPr>
        <w:t>as follows:</w:t>
      </w:r>
    </w:p>
    <w:p>
      <w:pPr>
        <w:spacing w:after="0" w:line="131" w:lineRule="exact"/>
        <w:rPr>
          <w:sz w:val="20"/>
          <w:szCs w:val="20"/>
          <w:color w:val="auto"/>
        </w:rPr>
      </w:pPr>
    </w:p>
    <w:p>
      <w:pPr>
        <w:ind w:left="748" w:hanging="748"/>
        <w:spacing w:after="0"/>
        <w:tabs>
          <w:tab w:leader="none" w:pos="748"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Interpretation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In this Agreement:</w:t>
      </w:r>
    </w:p>
    <w:p>
      <w:pPr>
        <w:spacing w:after="0" w:line="116" w:lineRule="exact"/>
        <w:rPr>
          <w:sz w:val="20"/>
          <w:szCs w:val="20"/>
          <w:color w:val="auto"/>
        </w:rPr>
      </w:pPr>
    </w:p>
    <w:p>
      <w:pPr>
        <w:ind w:left="748"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Amended and Restated Facility Agreement</w:t>
      </w:r>
      <w:r>
        <w:rPr>
          <w:rFonts w:ascii="Times New Roman" w:cs="Times New Roman" w:eastAsia="Times New Roman" w:hAnsi="Times New Roman"/>
          <w:sz w:val="17"/>
          <w:szCs w:val="17"/>
          <w:color w:val="auto"/>
        </w:rPr>
        <w:t>” means the Facility Agreement, as amended and restated pursuant to the terms and conditions of this Agreement (as on the Effective Date, in the form set out in Schedule 1 (</w:t>
      </w:r>
      <w:r>
        <w:rPr>
          <w:rFonts w:ascii="Times New Roman" w:cs="Times New Roman" w:eastAsia="Times New Roman" w:hAnsi="Times New Roman"/>
          <w:sz w:val="17"/>
          <w:szCs w:val="17"/>
          <w:i w:val="1"/>
          <w:iCs w:val="1"/>
          <w:color w:val="auto"/>
        </w:rPr>
        <w:t>Amended and Restated Facility Agreement</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748" w:right="8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Consent Extension Request Letter</w:t>
      </w:r>
      <w:r>
        <w:rPr>
          <w:rFonts w:ascii="Times New Roman" w:cs="Times New Roman" w:eastAsia="Times New Roman" w:hAnsi="Times New Roman"/>
          <w:sz w:val="17"/>
          <w:szCs w:val="17"/>
          <w:color w:val="auto"/>
        </w:rPr>
        <w:t>” means the consent extension request letter dated 1 June 2022 from the Company to the Agent in relation to the requested waiver of the Company’s obligations under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of the Facility Agreement for the Waived Test Period (as defined therein) and which was duly acknowledged and consented to by the Agent on behalf of the Majority Lenders.</w:t>
      </w:r>
    </w:p>
    <w:p>
      <w:pPr>
        <w:spacing w:after="0" w:line="5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later of:</w:t>
      </w:r>
    </w:p>
    <w:p>
      <w:pPr>
        <w:spacing w:after="0" w:line="133" w:lineRule="exact"/>
        <w:rPr>
          <w:sz w:val="20"/>
          <w:szCs w:val="20"/>
          <w:color w:val="auto"/>
        </w:rPr>
      </w:pPr>
    </w:p>
    <w:p>
      <w:pPr>
        <w:ind w:left="1368" w:hanging="518"/>
        <w:spacing w:after="0"/>
        <w:tabs>
          <w:tab w:leader="none" w:pos="136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this Agreement; and</w:t>
      </w:r>
    </w:p>
    <w:p>
      <w:pPr>
        <w:spacing w:after="0" w:line="131" w:lineRule="exact"/>
        <w:rPr>
          <w:rFonts w:ascii="Times New Roman" w:cs="Times New Roman" w:eastAsia="Times New Roman" w:hAnsi="Times New Roman"/>
          <w:sz w:val="17"/>
          <w:szCs w:val="17"/>
          <w:color w:val="auto"/>
        </w:rPr>
      </w:pPr>
    </w:p>
    <w:p>
      <w:pPr>
        <w:ind w:left="1368" w:right="20" w:hanging="518"/>
        <w:spacing w:after="0" w:line="295" w:lineRule="auto"/>
        <w:tabs>
          <w:tab w:leader="none" w:pos="136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Agent confirms in writing to the Company that it has received all of the documents and other evidence listed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and that each is in form and substance satisfactory to it.</w:t>
      </w:r>
    </w:p>
    <w:p>
      <w:pPr>
        <w:spacing w:after="0" w:line="40" w:lineRule="exact"/>
        <w:rPr>
          <w:sz w:val="20"/>
          <w:szCs w:val="20"/>
          <w:color w:val="auto"/>
        </w:rPr>
      </w:pPr>
    </w:p>
    <w:p>
      <w:pPr>
        <w:jc w:val="both"/>
        <w:ind w:left="748"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Melco Resorts Macau</w:t>
      </w:r>
      <w:r>
        <w:rPr>
          <w:rFonts w:ascii="Times New Roman" w:cs="Times New Roman" w:eastAsia="Times New Roman" w:hAnsi="Times New Roman"/>
          <w:sz w:val="17"/>
          <w:szCs w:val="17"/>
          <w:color w:val="auto"/>
        </w:rPr>
        <w:t>” means Melco Resorts (Macau) Limited, a company incorporated under the laws of the Macau SAR (with registered number 24325 (SO)), whose registered office is Avenida da Praia Grande no. 594, 15. andar A, Macau, and formerly known as Melco Crown (Macau) Limited and formerly known as Melco Crown Gaming (Macau) Limited.</w:t>
      </w:r>
    </w:p>
    <w:p>
      <w:pPr>
        <w:spacing w:after="0" w:line="303"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3" w:lineRule="exact"/>
        <w:rPr>
          <w:sz w:val="20"/>
          <w:szCs w:val="20"/>
          <w:color w:val="auto"/>
        </w:rPr>
      </w:pPr>
    </w:p>
    <w:p>
      <w:pPr>
        <w:ind w:left="1268" w:right="380" w:hanging="523"/>
        <w:spacing w:after="0" w:line="295" w:lineRule="auto"/>
        <w:tabs>
          <w:tab w:leader="none" w:pos="126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principles of construction and rules of interpretation set out in the Facility Agreement (including but not limited to clause 1.2 (</w:t>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of the Facility Agreement) shall have effect as if set out in this Agreement.</w:t>
      </w:r>
    </w:p>
    <w:p>
      <w:pPr>
        <w:spacing w:after="0" w:line="55" w:lineRule="exact"/>
        <w:rPr>
          <w:rFonts w:ascii="Times New Roman" w:cs="Times New Roman" w:eastAsia="Times New Roman" w:hAnsi="Times New Roman"/>
          <w:sz w:val="17"/>
          <w:szCs w:val="17"/>
          <w:color w:val="auto"/>
        </w:rPr>
      </w:pPr>
    </w:p>
    <w:p>
      <w:pPr>
        <w:ind w:left="1268" w:right="20" w:hanging="523"/>
        <w:spacing w:after="0" w:line="269" w:lineRule="auto"/>
        <w:tabs>
          <w:tab w:leader="none" w:pos="126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a term defined in or by reference in the Facility Agreement has the same meaning in this Agreement. Words and expressions defined in this Agreement by reference to the Amended and Restated Facility Agreement shall (at all times prior to the Effective Date) have the meaning attributed to them in the form of the Amended and Restated Facility Agreement set out in Schedule 1 (</w:t>
      </w:r>
      <w:r>
        <w:rPr>
          <w:rFonts w:ascii="Times New Roman" w:cs="Times New Roman" w:eastAsia="Times New Roman" w:hAnsi="Times New Roman"/>
          <w:sz w:val="17"/>
          <w:szCs w:val="17"/>
          <w:i w:val="1"/>
          <w:iCs w:val="1"/>
          <w:color w:val="auto"/>
        </w:rPr>
        <w:t>Amended and Restated Facility Agreement</w:t>
      </w:r>
      <w:r>
        <w:rPr>
          <w:rFonts w:ascii="Times New Roman" w:cs="Times New Roman" w:eastAsia="Times New Roman" w:hAnsi="Times New Roman"/>
          <w:sz w:val="17"/>
          <w:szCs w:val="17"/>
          <w:color w:val="auto"/>
        </w:rPr>
        <w:t>).</w:t>
      </w:r>
    </w:p>
    <w:p>
      <w:pPr>
        <w:spacing w:after="0" w:line="77" w:lineRule="exact"/>
        <w:rPr>
          <w:rFonts w:ascii="Times New Roman" w:cs="Times New Roman" w:eastAsia="Times New Roman" w:hAnsi="Times New Roman"/>
          <w:sz w:val="17"/>
          <w:szCs w:val="17"/>
          <w:color w:val="auto"/>
        </w:rPr>
      </w:pPr>
    </w:p>
    <w:p>
      <w:pPr>
        <w:ind w:left="1268" w:right="340" w:hanging="523"/>
        <w:spacing w:after="0" w:line="295" w:lineRule="auto"/>
        <w:tabs>
          <w:tab w:leader="none" w:pos="126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 any reference to a “Clause”, a “Schedule” or a “Party” is, unless the context otherwise requires, a reference to a Clause, a Schedule or a Party to this Agreement.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Designation</w:t>
      </w:r>
    </w:p>
    <w:p>
      <w:pPr>
        <w:spacing w:after="0" w:line="120" w:lineRule="exact"/>
        <w:rPr>
          <w:sz w:val="20"/>
          <w:szCs w:val="20"/>
          <w:color w:val="auto"/>
        </w:rPr>
      </w:pPr>
    </w:p>
    <w:p>
      <w:pPr>
        <w:ind w:left="748" w:right="580"/>
        <w:spacing w:after="0" w:line="295" w:lineRule="auto"/>
        <w:rPr>
          <w:sz w:val="20"/>
          <w:szCs w:val="20"/>
          <w:color w:val="auto"/>
        </w:rPr>
      </w:pPr>
      <w:r>
        <w:rPr>
          <w:rFonts w:ascii="Times New Roman" w:cs="Times New Roman" w:eastAsia="Times New Roman" w:hAnsi="Times New Roman"/>
          <w:sz w:val="17"/>
          <w:szCs w:val="17"/>
          <w:color w:val="auto"/>
        </w:rPr>
        <w:t>The Company and the Agent designate this Agreement as a Finance Document by execution of this Agreement for the purposes of the definition of “Finance Document” in the Facility Agreement.</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3" w:right="619" w:bottom="1440" w:gutter="0" w:footer="0" w:header="0"/>
        </w:sectPr>
      </w:pPr>
    </w:p>
    <w:bookmarkStart w:id="295" w:name="page296"/>
    <w:bookmarkEnd w:id="295"/>
    <w:p>
      <w:pPr>
        <w:ind w:left="748" w:hanging="748"/>
        <w:spacing w:after="0"/>
        <w:tabs>
          <w:tab w:leader="none" w:pos="748" w:val="left"/>
        </w:tabs>
        <w:numPr>
          <w:ilvl w:val="0"/>
          <w:numId w:val="2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Amendment to the Facility Agreement</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2.1Amendment to the Facility Agreement</w:t>
      </w:r>
    </w:p>
    <w:p>
      <w:pPr>
        <w:spacing w:after="0" w:line="133" w:lineRule="exact"/>
        <w:rPr>
          <w:rFonts w:ascii="Times New Roman" w:cs="Times New Roman" w:eastAsia="Times New Roman" w:hAnsi="Times New Roman"/>
          <w:sz w:val="17"/>
          <w:szCs w:val="17"/>
          <w:b w:val="1"/>
          <w:bCs w:val="1"/>
          <w:color w:val="auto"/>
        </w:rPr>
      </w:pPr>
    </w:p>
    <w:p>
      <w:pPr>
        <w:ind w:left="1268" w:right="60" w:hanging="523"/>
        <w:spacing w:after="0" w:line="267" w:lineRule="auto"/>
        <w:tabs>
          <w:tab w:leader="none" w:pos="1268"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and pursuant to the Facility Agreement, each Party consents to the amendments to the Facility Agreement as contemplated by this Agreement.</w:t>
      </w:r>
    </w:p>
    <w:p>
      <w:pPr>
        <w:spacing w:after="0" w:line="1" w:lineRule="exact"/>
        <w:rPr>
          <w:rFonts w:ascii="Times New Roman" w:cs="Times New Roman" w:eastAsia="Times New Roman" w:hAnsi="Times New Roman"/>
          <w:sz w:val="17"/>
          <w:szCs w:val="17"/>
          <w:color w:val="auto"/>
        </w:rPr>
      </w:pPr>
    </w:p>
    <w:p>
      <w:pPr>
        <w:ind w:left="1268" w:right="60" w:hanging="523"/>
        <w:spacing w:after="0" w:line="260" w:lineRule="auto"/>
        <w:tabs>
          <w:tab w:leader="none" w:pos="1268"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Obligor (including the Guarantors’ Agent (for and on behalf of each Subsidiary Guarantor)) and the Agent (on behalf of itself and on behalf of each Finance Party pursuant to paragraph (b) of clause 38.1 (</w:t>
      </w:r>
      <w:r>
        <w:rPr>
          <w:rFonts w:ascii="Times New Roman" w:cs="Times New Roman" w:eastAsia="Times New Roman" w:hAnsi="Times New Roman"/>
          <w:sz w:val="17"/>
          <w:szCs w:val="17"/>
          <w:i w:val="1"/>
          <w:iCs w:val="1"/>
          <w:color w:val="auto"/>
        </w:rPr>
        <w:t>Required consents</w:t>
      </w:r>
      <w:r>
        <w:rPr>
          <w:rFonts w:ascii="Times New Roman" w:cs="Times New Roman" w:eastAsia="Times New Roman" w:hAnsi="Times New Roman"/>
          <w:sz w:val="17"/>
          <w:szCs w:val="17"/>
          <w:color w:val="auto"/>
        </w:rPr>
        <w:t>) of the Facility Agreement) agree, in accordance with clause 38 (</w:t>
      </w: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 of the Facility Agreement that with immediate and automatic effect on and from the Effective Date, the Facility Agreement shall be amended and restated so that it shall be read and construed for all purposes as set out in Schedule 1 (</w:t>
      </w:r>
      <w:r>
        <w:rPr>
          <w:rFonts w:ascii="Times New Roman" w:cs="Times New Roman" w:eastAsia="Times New Roman" w:hAnsi="Times New Roman"/>
          <w:sz w:val="17"/>
          <w:szCs w:val="17"/>
          <w:i w:val="1"/>
          <w:iCs w:val="1"/>
          <w:color w:val="auto"/>
        </w:rPr>
        <w:t>Amended and Restated Facility Agreement</w:t>
      </w:r>
      <w:r>
        <w:rPr>
          <w:rFonts w:ascii="Times New Roman" w:cs="Times New Roman" w:eastAsia="Times New Roman" w:hAnsi="Times New Roman"/>
          <w:sz w:val="17"/>
          <w:szCs w:val="17"/>
          <w:color w:val="auto"/>
        </w:rPr>
        <w:t>) and all references in the Amended and Restated Facility Agreement to “this Agreement” shall include this Agreement.</w:t>
      </w:r>
    </w:p>
    <w:p>
      <w:pPr>
        <w:spacing w:after="0" w:line="83" w:lineRule="exact"/>
        <w:rPr>
          <w:rFonts w:ascii="Times New Roman" w:cs="Times New Roman" w:eastAsia="Times New Roman" w:hAnsi="Times New Roman"/>
          <w:sz w:val="17"/>
          <w:szCs w:val="17"/>
          <w:color w:val="auto"/>
        </w:rPr>
      </w:pPr>
    </w:p>
    <w:p>
      <w:pPr>
        <w:ind w:left="1268" w:right="300" w:hanging="523"/>
        <w:spacing w:after="0" w:line="269" w:lineRule="auto"/>
        <w:tabs>
          <w:tab w:leader="none" w:pos="1268"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amendments to the Facility Agreement as contemplated by this Agreement, the Agent (acting on behalf of the Majority Lenders) acknowledges for the avoidance of doubt that the waivers consented to under the terms of Consent Extension Request Letter shall continue to be in effect up to and including the last of the Waived Test Period (as defined in the Consent Extension Request Letter).</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Notwithstanding any other provision of any Finance Document:</w:t>
      </w:r>
    </w:p>
    <w:p>
      <w:pPr>
        <w:spacing w:after="0" w:line="131" w:lineRule="exact"/>
        <w:rPr>
          <w:sz w:val="20"/>
          <w:szCs w:val="20"/>
          <w:color w:val="auto"/>
        </w:rPr>
      </w:pPr>
    </w:p>
    <w:p>
      <w:pPr>
        <w:ind w:left="1268" w:right="660" w:hanging="523"/>
        <w:spacing w:after="0" w:line="276" w:lineRule="auto"/>
        <w:tabs>
          <w:tab w:leader="none" w:pos="1268"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be under no obligation under (before the Effective Date) Clause 12.4 of Facility Agreement or (on or after the Effective Date) Clause [12.4] of the Amended and Restated Facility Agreement to notify any Lender or the Company of the determination of a rate of interest under a Loan that is with reference to LIBOR (as defined in the Facility Agreement); and</w:t>
      </w:r>
    </w:p>
    <w:p>
      <w:pPr>
        <w:spacing w:after="0" w:line="70" w:lineRule="exact"/>
        <w:rPr>
          <w:rFonts w:ascii="Times New Roman" w:cs="Times New Roman" w:eastAsia="Times New Roman" w:hAnsi="Times New Roman"/>
          <w:sz w:val="17"/>
          <w:szCs w:val="17"/>
          <w:color w:val="auto"/>
        </w:rPr>
      </w:pPr>
    </w:p>
    <w:p>
      <w:pPr>
        <w:ind w:left="1268" w:right="40" w:hanging="523"/>
        <w:spacing w:after="0" w:line="276" w:lineRule="auto"/>
        <w:tabs>
          <w:tab w:leader="none" w:pos="1268"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promptly notify the Lenders and the Company of the determination of a rate of interest that would apply to a Loan that is with reference to Term SOFR (as defined in the Amended and Restated Facility Agreement) on the Effective Date pursuant to the terms of the Amended and Restated Facility Agreement.</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Representations</w:t>
      </w:r>
    </w:p>
    <w:p>
      <w:pPr>
        <w:spacing w:after="0" w:line="120" w:lineRule="exact"/>
        <w:rPr>
          <w:sz w:val="20"/>
          <w:szCs w:val="20"/>
          <w:color w:val="auto"/>
        </w:rPr>
      </w:pPr>
    </w:p>
    <w:p>
      <w:pPr>
        <w:ind w:left="748" w:right="120"/>
        <w:spacing w:after="0" w:line="276" w:lineRule="auto"/>
        <w:rPr>
          <w:sz w:val="20"/>
          <w:szCs w:val="20"/>
          <w:color w:val="auto"/>
        </w:rPr>
      </w:pPr>
      <w:r>
        <w:rPr>
          <w:rFonts w:ascii="Times New Roman" w:cs="Times New Roman" w:eastAsia="Times New Roman" w:hAnsi="Times New Roman"/>
          <w:sz w:val="17"/>
          <w:szCs w:val="17"/>
          <w:color w:val="auto"/>
        </w:rPr>
        <w:t>Each Transaction Obligor (including the Guarantors’ Agent (for and on behalf of each Subsidiary Guarantor)) makes the representations and warranties set out in this Clause 3.1 to each Finance Party (by reference to the facts and circumstances then existing) on the date of this Agreement and on the Effective Date.</w:t>
      </w:r>
    </w:p>
    <w:p>
      <w:pPr>
        <w:spacing w:after="0" w:line="70" w:lineRule="exact"/>
        <w:rPr>
          <w:sz w:val="20"/>
          <w:szCs w:val="20"/>
          <w:color w:val="auto"/>
        </w:rPr>
      </w:pPr>
    </w:p>
    <w:p>
      <w:pPr>
        <w:ind w:left="1268" w:hanging="523"/>
        <w:spacing w:after="0"/>
        <w:tabs>
          <w:tab w:leader="none" w:pos="126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Status</w:t>
      </w:r>
    </w:p>
    <w:p>
      <w:pPr>
        <w:spacing w:after="0" w:line="131" w:lineRule="exact"/>
        <w:rPr>
          <w:rFonts w:ascii="Times New Roman" w:cs="Times New Roman" w:eastAsia="Times New Roman" w:hAnsi="Times New Roman"/>
          <w:sz w:val="17"/>
          <w:szCs w:val="17"/>
          <w:color w:val="auto"/>
        </w:rPr>
      </w:pPr>
    </w:p>
    <w:p>
      <w:pPr>
        <w:ind w:left="1888" w:right="260" w:hanging="620"/>
        <w:spacing w:after="0" w:line="295" w:lineRule="auto"/>
        <w:tabs>
          <w:tab w:leader="none" w:pos="188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Obligor is a limited liability corporation or company duly incorporated or organised, as the case may be, and validly existing under the law of its jurisdiction of incorporation or organisation, as the case may be.</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Obligor has the power to own its assets and carry on its business as it is being conducted.</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3" w:right="619" w:bottom="1440" w:gutter="0" w:footer="0" w:header="0"/>
        </w:sectPr>
      </w:pPr>
    </w:p>
    <w:bookmarkStart w:id="296" w:name="page297"/>
    <w:bookmarkEnd w:id="296"/>
    <w:p>
      <w:pPr>
        <w:ind w:left="523" w:hanging="523"/>
        <w:spacing w:after="0"/>
        <w:tabs>
          <w:tab w:leader="none" w:pos="52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Binding obligations</w:t>
      </w:r>
    </w:p>
    <w:p>
      <w:pPr>
        <w:spacing w:after="0" w:line="118" w:lineRule="exact"/>
        <w:rPr>
          <w:rFonts w:ascii="Times New Roman" w:cs="Times New Roman" w:eastAsia="Times New Roman" w:hAnsi="Times New Roman"/>
          <w:sz w:val="17"/>
          <w:szCs w:val="17"/>
          <w:color w:val="auto"/>
        </w:rPr>
      </w:pPr>
    </w:p>
    <w:p>
      <w:pPr>
        <w:ind w:left="543" w:right="3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Legal Reservations, the obligations expressed to be assumed by each Transaction Obligor in this Agreement are its legal, valid, binding and enforceable obligations.</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Pari passu</w:t>
      </w:r>
    </w:p>
    <w:p>
      <w:pPr>
        <w:spacing w:after="0" w:line="116" w:lineRule="exact"/>
        <w:rPr>
          <w:rFonts w:ascii="Times New Roman" w:cs="Times New Roman" w:eastAsia="Times New Roman" w:hAnsi="Times New Roman"/>
          <w:sz w:val="17"/>
          <w:szCs w:val="17"/>
          <w:color w:val="auto"/>
        </w:rPr>
      </w:pPr>
    </w:p>
    <w:p>
      <w:pPr>
        <w:ind w:left="543" w:right="10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Transaction Obligor’s payment obligations under the Finance Documents rank at least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claims of all its other unsecured and unsubordinated creditors, except for obligations mandatorily preferred by law applying to companies generally.</w:t>
      </w:r>
    </w:p>
    <w:p>
      <w:pPr>
        <w:spacing w:after="0" w:line="52"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Non-conflict with other obligations</w:t>
      </w:r>
    </w:p>
    <w:p>
      <w:pPr>
        <w:spacing w:after="0" w:line="118" w:lineRule="exact"/>
        <w:rPr>
          <w:rFonts w:ascii="Times New Roman" w:cs="Times New Roman" w:eastAsia="Times New Roman" w:hAnsi="Times New Roman"/>
          <w:sz w:val="17"/>
          <w:szCs w:val="17"/>
          <w:color w:val="auto"/>
        </w:rPr>
      </w:pPr>
    </w:p>
    <w:p>
      <w:pPr>
        <w:ind w:left="543" w:right="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and performance by each Transaction Obligor of, and the transactions contemplated by, this Agreement do not and will not conflict with:</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law or regulation applicable to such Transaction Obligor;</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constitutional documents of any Transaction Obligor; or</w:t>
      </w:r>
    </w:p>
    <w:p>
      <w:pPr>
        <w:spacing w:after="0" w:line="131" w:lineRule="exact"/>
        <w:rPr>
          <w:rFonts w:ascii="Times New Roman" w:cs="Times New Roman" w:eastAsia="Times New Roman" w:hAnsi="Times New Roman"/>
          <w:sz w:val="17"/>
          <w:szCs w:val="17"/>
          <w:color w:val="auto"/>
        </w:rPr>
      </w:pPr>
    </w:p>
    <w:p>
      <w:pPr>
        <w:ind w:left="1143" w:right="20" w:hanging="620"/>
        <w:spacing w:after="0" w:line="276" w:lineRule="auto"/>
        <w:tabs>
          <w:tab w:leader="none" w:pos="114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or instrument binding upon it or any of its Subsidiaries or any of the Group’s assets or constitute a default or termination event (however described) under any such agreement or instrument, except where a Material Adverse Effect does not or would not be reasonably expected to occur.</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and authority</w:t>
      </w:r>
    </w:p>
    <w:p>
      <w:pPr>
        <w:spacing w:after="0" w:line="118" w:lineRule="exact"/>
        <w:rPr>
          <w:rFonts w:ascii="Times New Roman" w:cs="Times New Roman" w:eastAsia="Times New Roman" w:hAnsi="Times New Roman"/>
          <w:sz w:val="17"/>
          <w:szCs w:val="17"/>
          <w:color w:val="auto"/>
        </w:rPr>
      </w:pPr>
    </w:p>
    <w:p>
      <w:pPr>
        <w:ind w:left="543" w:right="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Obligor has the power to enter into, perform and deliver, and has taken all necessary corporate action to authorise its entry into, performance and delivery of, this Agreement and the transactions contemplated herein.</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Validity and admissibility in evidence</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Authorisations required:</w:t>
      </w:r>
    </w:p>
    <w:p>
      <w:pPr>
        <w:spacing w:after="0" w:line="131" w:lineRule="exact"/>
        <w:rPr>
          <w:rFonts w:ascii="Times New Roman" w:cs="Times New Roman" w:eastAsia="Times New Roman" w:hAnsi="Times New Roman"/>
          <w:sz w:val="17"/>
          <w:szCs w:val="17"/>
          <w:color w:val="auto"/>
        </w:rPr>
      </w:pPr>
    </w:p>
    <w:p>
      <w:pPr>
        <w:ind w:left="1683" w:hanging="520"/>
        <w:spacing w:after="0" w:line="295" w:lineRule="auto"/>
        <w:tabs>
          <w:tab w:leader="none" w:pos="1683" w:val="left"/>
        </w:tabs>
        <w:numPr>
          <w:ilvl w:val="2"/>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enable each Transaction Obligor to lawfully enter into, exercise its rights and comply with its obligations under this Agreement; and</w:t>
      </w:r>
    </w:p>
    <w:p>
      <w:pPr>
        <w:spacing w:after="0" w:line="55"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this Agreement admissible in evidence in its Relevant Jurisdictions,</w:t>
      </w:r>
    </w:p>
    <w:p>
      <w:pPr>
        <w:spacing w:after="0" w:line="118" w:lineRule="exact"/>
        <w:rPr>
          <w:sz w:val="20"/>
          <w:szCs w:val="20"/>
          <w:color w:val="auto"/>
        </w:rPr>
      </w:pPr>
    </w:p>
    <w:p>
      <w:pPr>
        <w:ind w:left="1183"/>
        <w:spacing w:after="0"/>
        <w:rPr>
          <w:sz w:val="20"/>
          <w:szCs w:val="20"/>
          <w:color w:val="auto"/>
        </w:rPr>
      </w:pPr>
      <w:r>
        <w:rPr>
          <w:rFonts w:ascii="Times New Roman" w:cs="Times New Roman" w:eastAsia="Times New Roman" w:hAnsi="Times New Roman"/>
          <w:sz w:val="17"/>
          <w:szCs w:val="17"/>
          <w:color w:val="auto"/>
        </w:rPr>
        <w:t>have been obtained or effected and are in full force and effect.</w:t>
      </w:r>
    </w:p>
    <w:p>
      <w:pPr>
        <w:spacing w:after="0" w:line="131" w:lineRule="exact"/>
        <w:rPr>
          <w:sz w:val="20"/>
          <w:szCs w:val="20"/>
          <w:color w:val="auto"/>
        </w:rPr>
      </w:pPr>
    </w:p>
    <w:p>
      <w:pPr>
        <w:ind w:left="1143" w:right="160" w:hanging="620"/>
        <w:spacing w:after="0" w:line="276" w:lineRule="auto"/>
        <w:tabs>
          <w:tab w:leader="none" w:pos="1143"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Authorisations necessary for the Group to carry out its business relating to the Projects, where the failure of obtaining such Authorisations has or would reasonably be expected to have a Material Adverse Effect, have been obtained or effected and are in full force and effect.</w:t>
      </w:r>
    </w:p>
    <w:p>
      <w:pPr>
        <w:spacing w:after="0" w:line="70" w:lineRule="exact"/>
        <w:rPr>
          <w:rFonts w:ascii="Times New Roman" w:cs="Times New Roman" w:eastAsia="Times New Roman" w:hAnsi="Times New Roman"/>
          <w:sz w:val="17"/>
          <w:szCs w:val="17"/>
          <w:color w:val="auto"/>
        </w:rPr>
      </w:pPr>
    </w:p>
    <w:p>
      <w:pPr>
        <w:ind w:left="543" w:right="7000" w:hanging="543"/>
        <w:spacing w:after="0" w:line="393" w:lineRule="auto"/>
        <w:tabs>
          <w:tab w:leader="none" w:pos="531"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and enforcement Subject to the Legal Reservations:</w:t>
      </w:r>
    </w:p>
    <w:p>
      <w:pPr>
        <w:ind w:left="1143" w:right="540" w:hanging="620"/>
        <w:spacing w:after="0" w:line="295" w:lineRule="auto"/>
        <w:tabs>
          <w:tab w:leader="none" w:pos="1143"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choice of English law as the governing law of this Agreement will be recognised and enforced in each Transaction Obligor’s Relevant Jurisdiction; and</w:t>
      </w:r>
    </w:p>
    <w:p>
      <w:pPr>
        <w:spacing w:after="0" w:line="55" w:lineRule="exact"/>
        <w:rPr>
          <w:sz w:val="20"/>
          <w:szCs w:val="20"/>
          <w:color w:val="auto"/>
        </w:rPr>
      </w:pPr>
    </w:p>
    <w:p>
      <w:pPr>
        <w:ind w:left="1143" w:hanging="620"/>
        <w:spacing w:after="0"/>
        <w:tabs>
          <w:tab w:leader="none" w:pos="1143"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judgment obtained in relation to this Agreement in England will be recognised and enforced in its Relevant Jurisdictions.</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9923"/>
          </w:cols>
          <w:pgMar w:left="1357" w:top="265" w:right="619" w:bottom="1440" w:gutter="0" w:footer="0" w:header="0"/>
        </w:sectPr>
      </w:pPr>
    </w:p>
    <w:bookmarkStart w:id="297" w:name="page298"/>
    <w:bookmarkEnd w:id="297"/>
    <w:p>
      <w:pPr>
        <w:ind w:left="1268" w:hanging="523"/>
        <w:spacing w:after="0"/>
        <w:tabs>
          <w:tab w:leader="none" w:pos="1268"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Deduction of Tax</w:t>
      </w:r>
    </w:p>
    <w:p>
      <w:pPr>
        <w:spacing w:after="0" w:line="118" w:lineRule="exact"/>
        <w:rPr>
          <w:rFonts w:ascii="Times New Roman" w:cs="Times New Roman" w:eastAsia="Times New Roman" w:hAnsi="Times New Roman"/>
          <w:sz w:val="17"/>
          <w:szCs w:val="17"/>
          <w:color w:val="auto"/>
        </w:rPr>
      </w:pPr>
    </w:p>
    <w:p>
      <w:pPr>
        <w:ind w:left="1288" w:right="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Transaction Obligor is required under the laws of its Relevant Jurisdiction or at its address specified in a Finance Document or this Agreement to make any deduction for or on account of Tax from any payment it may make under this Agreement.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Repetition</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representations and warranties:</w:t>
      </w:r>
    </w:p>
    <w:p>
      <w:pPr>
        <w:spacing w:after="0" w:line="131" w:lineRule="exact"/>
        <w:rPr>
          <w:sz w:val="20"/>
          <w:szCs w:val="20"/>
          <w:color w:val="auto"/>
        </w:rPr>
      </w:pPr>
    </w:p>
    <w:p>
      <w:pPr>
        <w:ind w:left="1268" w:hanging="523"/>
        <w:spacing w:after="0"/>
        <w:tabs>
          <w:tab w:leader="none" w:pos="126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Repeating Representations (under and as defined in the Amended and Restated Facility Agreement);</w:t>
      </w:r>
    </w:p>
    <w:p>
      <w:pPr>
        <w:spacing w:after="0" w:line="129"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out in clause 9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of the Subordination Deed;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out in clause 4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of the MCO Subsidiary Guarantee; and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out in clause 4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of the MRM Subsidiary Guarantee,</w:t>
      </w:r>
    </w:p>
    <w:p>
      <w:pPr>
        <w:spacing w:after="0" w:line="120" w:lineRule="exact"/>
        <w:rPr>
          <w:sz w:val="20"/>
          <w:szCs w:val="20"/>
          <w:color w:val="auto"/>
        </w:rPr>
      </w:pPr>
    </w:p>
    <w:p>
      <w:pPr>
        <w:ind w:left="748" w:right="140"/>
        <w:spacing w:after="0" w:line="264" w:lineRule="auto"/>
        <w:rPr>
          <w:sz w:val="20"/>
          <w:szCs w:val="20"/>
          <w:color w:val="auto"/>
        </w:rPr>
      </w:pPr>
      <w:r>
        <w:rPr>
          <w:rFonts w:ascii="Times New Roman" w:cs="Times New Roman" w:eastAsia="Times New Roman" w:hAnsi="Times New Roman"/>
          <w:sz w:val="17"/>
          <w:szCs w:val="17"/>
          <w:color w:val="auto"/>
        </w:rPr>
        <w:t>are, in each case, deemed to be made by each Transaction Obligor that is party thereto (and, in the case of the representations and warranties set out in clause 4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of the MRM Subsidiary Guarantee, by the Guarantors’ Agent on behalf of Melco Resorts Macau) by reference to the facts and circumstances then existing on the date of this Agreement and on the Effective Date and, in each case, as if any reference therein to any Finance Document in respect of which any amendment, acknowledgement, confirmation, consolidation, novation, restatement, replacement or supplement is expressed to be made by this Agreement included, to the extent relevant, this Agreement and the Finance Document as so amended, acknowledged, confirmed, consolidated, novated, restated, replaced or supplemented.</w:t>
      </w:r>
    </w:p>
    <w:p>
      <w:pPr>
        <w:spacing w:after="0" w:line="315" w:lineRule="exact"/>
        <w:rPr>
          <w:sz w:val="20"/>
          <w:szCs w:val="20"/>
          <w:color w:val="auto"/>
        </w:rPr>
      </w:pPr>
    </w:p>
    <w:p>
      <w:pPr>
        <w:ind w:left="748" w:hanging="748"/>
        <w:spacing w:after="0"/>
        <w:tabs>
          <w:tab w:leader="none" w:pos="748"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Continuity and further assurance</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4.1Continuing obligations</w:t>
      </w:r>
    </w:p>
    <w:p>
      <w:pPr>
        <w:spacing w:after="0" w:line="133" w:lineRule="exact"/>
        <w:rPr>
          <w:rFonts w:ascii="Times New Roman" w:cs="Times New Roman" w:eastAsia="Times New Roman" w:hAnsi="Times New Roman"/>
          <w:sz w:val="17"/>
          <w:szCs w:val="17"/>
          <w:b w:val="1"/>
          <w:bCs w:val="1"/>
          <w:color w:val="auto"/>
        </w:rPr>
      </w:pPr>
    </w:p>
    <w:p>
      <w:pPr>
        <w:ind w:left="1268" w:right="80" w:hanging="523"/>
        <w:spacing w:after="0" w:line="295" w:lineRule="auto"/>
        <w:tabs>
          <w:tab w:leader="none" w:pos="1268"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Obligors (including the Guarantors’ Agent (for and on behalf of each Subsidiary Guarantor)) agree and acknowledge that the provisions of the Facility Agreement and the other Finance Documents shall, save as amended by this Agreement:</w:t>
      </w:r>
    </w:p>
    <w:p>
      <w:pPr>
        <w:spacing w:after="0" w:line="55" w:lineRule="exact"/>
        <w:rPr>
          <w:rFonts w:ascii="Times New Roman" w:cs="Times New Roman" w:eastAsia="Times New Roman" w:hAnsi="Times New Roman"/>
          <w:sz w:val="17"/>
          <w:szCs w:val="17"/>
          <w:color w:val="auto"/>
        </w:rPr>
      </w:pPr>
    </w:p>
    <w:p>
      <w:pPr>
        <w:ind w:left="1888" w:right="60" w:hanging="620"/>
        <w:spacing w:after="0" w:line="269" w:lineRule="auto"/>
        <w:tabs>
          <w:tab w:leader="none" w:pos="1888" w:val="left"/>
        </w:tabs>
        <w:numPr>
          <w:ilvl w:val="2"/>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in full force and effect and extend to the liabilities and obligations of the Company and each of the Transaction Obligors under the Amended and Restated Facility Agreement and the other Finance Documents (as amended from time to time), including as varied, amended, supplemented or extended by this Agreement and apply equally to the obligations of the Company under Clause 5 (</w:t>
      </w: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as if set out in full in this Agreement; and</w:t>
      </w:r>
    </w:p>
    <w:p>
      <w:pPr>
        <w:spacing w:after="0" w:line="77" w:lineRule="exact"/>
        <w:rPr>
          <w:rFonts w:ascii="Times New Roman" w:cs="Times New Roman" w:eastAsia="Times New Roman" w:hAnsi="Times New Roman"/>
          <w:sz w:val="17"/>
          <w:szCs w:val="17"/>
          <w:color w:val="auto"/>
        </w:rPr>
      </w:pPr>
    </w:p>
    <w:p>
      <w:pPr>
        <w:ind w:left="1888" w:right="240" w:hanging="620"/>
        <w:spacing w:after="0" w:line="295" w:lineRule="auto"/>
        <w:tabs>
          <w:tab w:leader="none" w:pos="1888" w:val="left"/>
        </w:tabs>
        <w:numPr>
          <w:ilvl w:val="2"/>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constitute legal, valid and binding obligations of the Transaction Obligors enforceable in accordance with their terms.</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5" w:right="619" w:bottom="1440" w:gutter="0" w:footer="0" w:header="0"/>
        </w:sectPr>
      </w:pPr>
    </w:p>
    <w:bookmarkStart w:id="298" w:name="page299"/>
    <w:bookmarkEnd w:id="298"/>
    <w:p>
      <w:pPr>
        <w:ind w:left="1268" w:right="100" w:hanging="523"/>
        <w:spacing w:after="0" w:line="273" w:lineRule="auto"/>
        <w:tabs>
          <w:tab w:leader="none" w:pos="126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particular, nothing in this Agreement shall affect the rights of the Finance Parties in respect of the occurrence of any Default which is continuing or which arises on or after the date of this Agreement (other than any Default which has occurred or may occur as a result of the entry into of this Agreement or the entry into, and performance of, the transactions contemplated by any of the foregoing).</w:t>
      </w:r>
    </w:p>
    <w:p>
      <w:pPr>
        <w:spacing w:after="0" w:line="200" w:lineRule="exact"/>
        <w:rPr>
          <w:sz w:val="20"/>
          <w:szCs w:val="20"/>
          <w:color w:val="auto"/>
        </w:rPr>
      </w:pPr>
    </w:p>
    <w:p>
      <w:pPr>
        <w:spacing w:after="0" w:line="320"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assurance</w:t>
      </w:r>
    </w:p>
    <w:p>
      <w:pPr>
        <w:spacing w:after="0" w:line="120" w:lineRule="exact"/>
        <w:rPr>
          <w:sz w:val="20"/>
          <w:szCs w:val="20"/>
          <w:color w:val="auto"/>
        </w:rPr>
      </w:pPr>
    </w:p>
    <w:p>
      <w:pPr>
        <w:ind w:left="748" w:right="120"/>
        <w:spacing w:after="0" w:line="276" w:lineRule="auto"/>
        <w:rPr>
          <w:sz w:val="20"/>
          <w:szCs w:val="20"/>
          <w:color w:val="auto"/>
        </w:rPr>
      </w:pPr>
      <w:r>
        <w:rPr>
          <w:rFonts w:ascii="Times New Roman" w:cs="Times New Roman" w:eastAsia="Times New Roman" w:hAnsi="Times New Roman"/>
          <w:sz w:val="17"/>
          <w:szCs w:val="17"/>
          <w:color w:val="auto"/>
        </w:rPr>
        <w:t>Each Transaction Obligor (including the Guarantors’ Agent (for and on behalf of each Subsidiary Guarantor)) shall, upon the written request of the Agent and at its own expense, do all such acts and things reasonably necessary to give effect to the amendments effected or to be effected pursuant to this Agreement.</w:t>
      </w:r>
    </w:p>
    <w:p>
      <w:pPr>
        <w:spacing w:after="0" w:line="304" w:lineRule="exact"/>
        <w:rPr>
          <w:sz w:val="20"/>
          <w:szCs w:val="20"/>
          <w:color w:val="auto"/>
        </w:rPr>
      </w:pPr>
    </w:p>
    <w:p>
      <w:pPr>
        <w:ind w:left="748" w:hanging="748"/>
        <w:spacing w:after="0"/>
        <w:tabs>
          <w:tab w:leader="none" w:pos="748"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Costs and expenses</w:t>
      </w:r>
    </w:p>
    <w:p>
      <w:pPr>
        <w:spacing w:after="0" w:line="131" w:lineRule="exact"/>
        <w:rPr>
          <w:rFonts w:ascii="Times New Roman" w:cs="Times New Roman" w:eastAsia="Times New Roman" w:hAnsi="Times New Roman"/>
          <w:sz w:val="17"/>
          <w:szCs w:val="17"/>
          <w:b w:val="1"/>
          <w:bCs w:val="1"/>
          <w:color w:val="auto"/>
        </w:rPr>
      </w:pPr>
    </w:p>
    <w:p>
      <w:pPr>
        <w:ind w:left="1268" w:right="20" w:hanging="523"/>
        <w:spacing w:after="0" w:line="267" w:lineRule="auto"/>
        <w:tabs>
          <w:tab w:leader="none" w:pos="1268"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clause 20 (</w:t>
      </w: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of the Facility Agreement, the Company shall, within five (5) Business Days of demand, pay (or shall procure that another member of the Group will pay) to the Agent all costs and expenses (together with any Indirect Tax) including without limitation (but subject to any agreed caps) the fees and expenses of the Agent’s legal advisers reasonably incurred in connection with the negotiation, preparation, execution and performance of this Agreement (and the documents listed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and the transactions contemplated in this Agreement.</w:t>
      </w:r>
    </w:p>
    <w:p>
      <w:pPr>
        <w:spacing w:after="0" w:line="77" w:lineRule="exact"/>
        <w:rPr>
          <w:rFonts w:ascii="Times New Roman" w:cs="Times New Roman" w:eastAsia="Times New Roman" w:hAnsi="Times New Roman"/>
          <w:sz w:val="17"/>
          <w:szCs w:val="17"/>
          <w:color w:val="auto"/>
        </w:rPr>
      </w:pPr>
    </w:p>
    <w:p>
      <w:pPr>
        <w:ind w:left="1268" w:right="100" w:hanging="523"/>
        <w:spacing w:after="0" w:line="269" w:lineRule="auto"/>
        <w:tabs>
          <w:tab w:leader="none" w:pos="1268"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(or shall procure that another member of the Group will pay) all stamp, registration and other taxes and notarisation expenses to which this Agreement (and the documents listed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is or may at any time be subject and shall from time to time within, five (5) Business Days of demand of the Agent, indemnify the Finance Parties against any liabilities, costs, claims and expenses resulting from any failure to pay or delay in paying any such amounts.</w:t>
      </w:r>
    </w:p>
    <w:p>
      <w:pPr>
        <w:spacing w:after="0" w:line="310"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Enforcement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3" w:lineRule="exact"/>
        <w:rPr>
          <w:sz w:val="20"/>
          <w:szCs w:val="20"/>
          <w:color w:val="auto"/>
        </w:rPr>
      </w:pPr>
    </w:p>
    <w:p>
      <w:pPr>
        <w:ind w:left="1268" w:right="60" w:hanging="523"/>
        <w:spacing w:after="0" w:line="276" w:lineRule="auto"/>
        <w:tabs>
          <w:tab w:leader="none" w:pos="1268"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1268" w:right="20" w:hanging="523"/>
        <w:spacing w:after="0" w:line="295" w:lineRule="auto"/>
        <w:tabs>
          <w:tab w:leader="none" w:pos="1268"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the courts of England are the most appropriate and convenient courts to settle Disputes and accordingly no Party will argue to the contrary.</w:t>
      </w:r>
    </w:p>
    <w:p>
      <w:pPr>
        <w:spacing w:after="0" w:line="146" w:lineRule="exact"/>
        <w:rPr>
          <w:rFonts w:ascii="Times New Roman" w:cs="Times New Roman" w:eastAsia="Times New Roman" w:hAnsi="Times New Roman"/>
          <w:sz w:val="17"/>
          <w:szCs w:val="17"/>
          <w:color w:val="auto"/>
        </w:rPr>
      </w:pPr>
    </w:p>
    <w:p>
      <w:pPr>
        <w:jc w:val="both"/>
        <w:ind w:left="1268" w:right="180" w:hanging="523"/>
        <w:spacing w:after="0" w:line="276" w:lineRule="auto"/>
        <w:tabs>
          <w:tab w:leader="none" w:pos="1268"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5" w:right="619" w:bottom="1440" w:gutter="0" w:footer="0" w:header="0"/>
        </w:sectPr>
      </w:pPr>
    </w:p>
    <w:bookmarkStart w:id="299" w:name="page300"/>
    <w:bookmarkEnd w:id="299"/>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3" w:lineRule="exact"/>
        <w:rPr>
          <w:sz w:val="20"/>
          <w:szCs w:val="20"/>
          <w:color w:val="auto"/>
        </w:rPr>
      </w:pPr>
    </w:p>
    <w:p>
      <w:pPr>
        <w:ind w:left="1260" w:right="160" w:hanging="523"/>
        <w:spacing w:after="0" w:line="295" w:lineRule="auto"/>
        <w:tabs>
          <w:tab w:leader="none" w:pos="126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any other mode of service allowed under any relevant law, each Transaction Obligor (including the Guarantors’ Agent (for and on behalf of each Subsidiary Guarantor)):</w:t>
      </w:r>
    </w:p>
    <w:p>
      <w:pPr>
        <w:spacing w:after="0" w:line="55" w:lineRule="exact"/>
        <w:rPr>
          <w:rFonts w:ascii="Times New Roman" w:cs="Times New Roman" w:eastAsia="Times New Roman" w:hAnsi="Times New Roman"/>
          <w:sz w:val="17"/>
          <w:szCs w:val="17"/>
          <w:color w:val="auto"/>
        </w:rPr>
      </w:pPr>
    </w:p>
    <w:p>
      <w:pPr>
        <w:ind w:left="1880" w:right="680" w:hanging="620"/>
        <w:spacing w:after="0" w:line="295" w:lineRule="auto"/>
        <w:tabs>
          <w:tab w:leader="none" w:pos="1880"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appoints Law Debenture Corporate Services Limited as its agent for service of process in relation to any proceedings before the English Courts in connection with any Finance Document; and</w:t>
      </w:r>
    </w:p>
    <w:p>
      <w:pPr>
        <w:spacing w:after="0" w:line="55" w:lineRule="exact"/>
        <w:rPr>
          <w:rFonts w:ascii="Times New Roman" w:cs="Times New Roman" w:eastAsia="Times New Roman" w:hAnsi="Times New Roman"/>
          <w:sz w:val="17"/>
          <w:szCs w:val="17"/>
          <w:color w:val="auto"/>
        </w:rPr>
      </w:pPr>
    </w:p>
    <w:p>
      <w:pPr>
        <w:ind w:left="1880" w:right="360" w:hanging="620"/>
        <w:spacing w:after="0" w:line="295" w:lineRule="auto"/>
        <w:tabs>
          <w:tab w:leader="none" w:pos="1880"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failure by an agent for service of process to notify a Transaction Obligor of the process will not invalidate the proceedings concerned.</w:t>
      </w:r>
    </w:p>
    <w:p>
      <w:pPr>
        <w:spacing w:after="0" w:line="55" w:lineRule="exact"/>
        <w:rPr>
          <w:rFonts w:ascii="Times New Roman" w:cs="Times New Roman" w:eastAsia="Times New Roman" w:hAnsi="Times New Roman"/>
          <w:sz w:val="17"/>
          <w:szCs w:val="17"/>
          <w:color w:val="auto"/>
        </w:rPr>
      </w:pPr>
    </w:p>
    <w:p>
      <w:pPr>
        <w:ind w:left="1260" w:right="20" w:hanging="523"/>
        <w:spacing w:after="0" w:line="269" w:lineRule="auto"/>
        <w:tabs>
          <w:tab w:leader="none" w:pos="126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person appointed as an agent for service of process is unable for any reason to act as agent of service of process, the Transaction Obligors (including the Guarantors’ Agent (for and on behalf of each Subsidiary Guarantor)) must immediately (and in any event within three (3) Business Days of such event taking place) appoint another agent on terms acceptable to the Agent. Failing this, the Agent may appoint another agent for this purpose.</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Waiver of immunities</w:t>
      </w:r>
    </w:p>
    <w:p>
      <w:pPr>
        <w:spacing w:after="0" w:line="120" w:lineRule="exact"/>
        <w:rPr>
          <w:sz w:val="20"/>
          <w:szCs w:val="20"/>
          <w:color w:val="auto"/>
        </w:rPr>
      </w:pPr>
    </w:p>
    <w:p>
      <w:pPr>
        <w:ind w:left="740" w:right="220"/>
        <w:spacing w:after="0" w:line="276" w:lineRule="auto"/>
        <w:rPr>
          <w:sz w:val="20"/>
          <w:szCs w:val="20"/>
          <w:color w:val="auto"/>
        </w:rPr>
      </w:pPr>
      <w:r>
        <w:rPr>
          <w:rFonts w:ascii="Times New Roman" w:cs="Times New Roman" w:eastAsia="Times New Roman" w:hAnsi="Times New Roman"/>
          <w:sz w:val="17"/>
          <w:szCs w:val="17"/>
          <w:color w:val="auto"/>
        </w:rPr>
        <w:t>Each Transaction Obligor (including the Guarantors’ Agent (for and on behalf of each Subsidiary Guarantor)) irrevocably waives, to the extent permitted by applicable law, with respect to itself and its revenues and assets (irrespective of their use or intended use), all immunity on the grounds of sovereignty or other similar grounds from:</w:t>
      </w:r>
    </w:p>
    <w:p>
      <w:pPr>
        <w:spacing w:after="0" w:line="70" w:lineRule="exact"/>
        <w:rPr>
          <w:sz w:val="20"/>
          <w:szCs w:val="20"/>
          <w:color w:val="auto"/>
        </w:rPr>
      </w:pPr>
    </w:p>
    <w:p>
      <w:pPr>
        <w:ind w:left="1260" w:hanging="523"/>
        <w:spacing w:after="0"/>
        <w:tabs>
          <w:tab w:leader="none" w:pos="12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suit;</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jurisdiction of any court;</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by way of injunction or order for specific performance or recovery of property;</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attachment of its assets (whether before or after judgment); and</w:t>
      </w:r>
    </w:p>
    <w:p>
      <w:pPr>
        <w:spacing w:after="0" w:line="131" w:lineRule="exact"/>
        <w:rPr>
          <w:rFonts w:ascii="Times New Roman" w:cs="Times New Roman" w:eastAsia="Times New Roman" w:hAnsi="Times New Roman"/>
          <w:sz w:val="17"/>
          <w:szCs w:val="17"/>
          <w:color w:val="auto"/>
        </w:rPr>
      </w:pPr>
    </w:p>
    <w:p>
      <w:pPr>
        <w:ind w:left="1260" w:right="60" w:hanging="523"/>
        <w:spacing w:after="0" w:line="276" w:lineRule="auto"/>
        <w:tabs>
          <w:tab w:leader="none" w:pos="126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120" w:lineRule="exact"/>
        <w:rPr>
          <w:sz w:val="20"/>
          <w:szCs w:val="20"/>
          <w:color w:val="auto"/>
        </w:rPr>
      </w:pPr>
    </w:p>
    <w:p>
      <w:pPr>
        <w:ind w:left="740" w:right="120"/>
        <w:spacing w:after="0" w:line="263" w:lineRule="auto"/>
        <w:rPr>
          <w:sz w:val="20"/>
          <w:szCs w:val="20"/>
          <w:color w:val="auto"/>
        </w:rPr>
      </w:pPr>
      <w:r>
        <w:rPr>
          <w:rFonts w:ascii="Times New Roman" w:cs="Times New Roman" w:eastAsia="Times New Roman" w:hAnsi="Times New Roman"/>
          <w:sz w:val="17"/>
          <w:szCs w:val="17"/>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rights after consultation with its legal advisers. In the event of litigation, this Agreement may be filed as a written consent to a trial by the court.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0"/>
          </w:cols>
          <w:pgMar w:left="620" w:top="263" w:right="619" w:bottom="1440" w:gutter="0" w:footer="0" w:header="0"/>
        </w:sectPr>
      </w:pPr>
    </w:p>
    <w:bookmarkStart w:id="300" w:name="page301"/>
    <w:bookmarkEnd w:id="300"/>
    <w:p>
      <w:pPr>
        <w:ind w:left="748" w:hanging="748"/>
        <w:spacing w:after="0"/>
        <w:tabs>
          <w:tab w:leader="none" w:pos="748"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Miscellaneous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Incorporation of terms</w:t>
      </w:r>
    </w:p>
    <w:p>
      <w:pPr>
        <w:spacing w:after="0" w:line="118" w:lineRule="exact"/>
        <w:rPr>
          <w:sz w:val="20"/>
          <w:szCs w:val="20"/>
          <w:color w:val="auto"/>
        </w:rPr>
      </w:pPr>
    </w:p>
    <w:p>
      <w:pPr>
        <w:ind w:left="748" w:right="120"/>
        <w:spacing w:after="0" w:line="267" w:lineRule="auto"/>
        <w:rPr>
          <w:sz w:val="20"/>
          <w:szCs w:val="20"/>
          <w:color w:val="auto"/>
        </w:rPr>
      </w:pPr>
      <w:r>
        <w:rPr>
          <w:rFonts w:ascii="Times New Roman" w:cs="Times New Roman" w:eastAsia="Times New Roman" w:hAnsi="Times New Roman"/>
          <w:sz w:val="17"/>
          <w:szCs w:val="17"/>
          <w:color w:val="auto"/>
        </w:rPr>
        <w:t>The provisions of clauses 1.3 (</w:t>
      </w:r>
      <w:r>
        <w:rPr>
          <w:rFonts w:ascii="Times New Roman" w:cs="Times New Roman" w:eastAsia="Times New Roman" w:hAnsi="Times New Roman"/>
          <w:sz w:val="17"/>
          <w:szCs w:val="17"/>
          <w:i w:val="1"/>
          <w:iCs w:val="1"/>
          <w:color w:val="auto"/>
        </w:rPr>
        <w:t>Third Party Rights</w:t>
      </w:r>
      <w:r>
        <w:rPr>
          <w:rFonts w:ascii="Times New Roman" w:cs="Times New Roman" w:eastAsia="Times New Roman" w:hAnsi="Times New Roman"/>
          <w:sz w:val="17"/>
          <w:szCs w:val="17"/>
          <w:color w:val="auto"/>
        </w:rPr>
        <w:t>), 34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36 (</w:t>
      </w:r>
      <w:r>
        <w:rPr>
          <w:rFonts w:ascii="Times New Roman" w:cs="Times New Roman" w:eastAsia="Times New Roman" w:hAnsi="Times New Roman"/>
          <w:sz w:val="17"/>
          <w:szCs w:val="17"/>
          <w:i w:val="1"/>
          <w:iCs w:val="1"/>
          <w:color w:val="auto"/>
        </w:rPr>
        <w:t>Partial invalidity</w:t>
      </w:r>
      <w:r>
        <w:rPr>
          <w:rFonts w:ascii="Times New Roman" w:cs="Times New Roman" w:eastAsia="Times New Roman" w:hAnsi="Times New Roman"/>
          <w:sz w:val="17"/>
          <w:szCs w:val="17"/>
          <w:color w:val="auto"/>
        </w:rPr>
        <w:t>) and 37 (</w:t>
      </w:r>
      <w:r>
        <w:rPr>
          <w:rFonts w:ascii="Times New Roman" w:cs="Times New Roman" w:eastAsia="Times New Roman" w:hAnsi="Times New Roman"/>
          <w:sz w:val="17"/>
          <w:szCs w:val="17"/>
          <w:i w:val="1"/>
          <w:iCs w:val="1"/>
          <w:color w:val="auto"/>
        </w:rPr>
        <w:t>Remedies and waivers</w:t>
      </w:r>
      <w:r>
        <w:rPr>
          <w:rFonts w:ascii="Times New Roman" w:cs="Times New Roman" w:eastAsia="Times New Roman" w:hAnsi="Times New Roman"/>
          <w:sz w:val="17"/>
          <w:szCs w:val="17"/>
          <w:color w:val="auto"/>
        </w:rPr>
        <w:t>) of the Facility Agreement and, at and from the Effective Date, the corresponding clauses in the Amended and Restated Facility Agreement shall be deemed incorporated into this Agreement as if set out in full herein and as if references in those clauses to “this Agreement” and “a Finance Document” are references to this Agreement and cross references to specified clauses thereof are references to the equivalent clauses set out or incorporated herein.</w:t>
      </w:r>
    </w:p>
    <w:p>
      <w:pPr>
        <w:spacing w:after="0" w:line="311" w:lineRule="exact"/>
        <w:rPr>
          <w:sz w:val="20"/>
          <w:szCs w:val="20"/>
          <w:color w:val="auto"/>
        </w:rPr>
      </w:pPr>
    </w:p>
    <w:p>
      <w:pPr>
        <w:ind w:left="748" w:hanging="748"/>
        <w:spacing w:after="0"/>
        <w:tabs>
          <w:tab w:leader="none" w:pos="748" w:val="left"/>
        </w:tabs>
        <w:numPr>
          <w:ilvl w:val="0"/>
          <w:numId w:val="2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p>
    <w:p>
      <w:pPr>
        <w:spacing w:after="0" w:line="120" w:lineRule="exact"/>
        <w:rPr>
          <w:rFonts w:ascii="Times New Roman" w:cs="Times New Roman" w:eastAsia="Times New Roman" w:hAnsi="Times New Roman"/>
          <w:sz w:val="17"/>
          <w:szCs w:val="17"/>
          <w:b w:val="1"/>
          <w:bCs w:val="1"/>
          <w:color w:val="auto"/>
        </w:rPr>
      </w:pPr>
    </w:p>
    <w:p>
      <w:pPr>
        <w:ind w:left="748" w:right="1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may be executed in any number of counterparts, and this has the same effect as if the signatures on the counterparts were on a single copy of this Agreement.</w:t>
      </w:r>
    </w:p>
    <w:p>
      <w:pPr>
        <w:spacing w:after="0" w:line="288"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2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p>
    <w:p>
      <w:pPr>
        <w:spacing w:after="0" w:line="120" w:lineRule="exact"/>
        <w:rPr>
          <w:rFonts w:ascii="Times New Roman" w:cs="Times New Roman" w:eastAsia="Times New Roman" w:hAnsi="Times New Roman"/>
          <w:sz w:val="17"/>
          <w:szCs w:val="17"/>
          <w:b w:val="1"/>
          <w:bCs w:val="1"/>
          <w:color w:val="auto"/>
        </w:rPr>
      </w:pPr>
    </w:p>
    <w:p>
      <w:pPr>
        <w:ind w:left="748" w:right="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and any non-contractual obligations arising out of or in connection with it are governed by and construed in accordance with English law.</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has been entered into on the date stated at the beginning of this Agreement.</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8"/>
          </w:cols>
          <w:pgMar w:left="612" w:top="263" w:right="6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Facility Agreement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0"/>
          </w:cols>
          <w:pgMar w:left="620" w:top="263" w:right="61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169545</wp:posOffset>
            </wp:positionV>
            <wp:extent cx="1609725" cy="132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1609725"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Facility Agreement</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HKD14,850,000,000 Revolving Credit Facility</w:t>
      </w:r>
    </w:p>
    <w:p>
      <w:pPr>
        <w:spacing w:after="0" w:line="2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originally dated 29 April 2020 as amended and restated pursuant to an amendment and restatement agreement dated 29 June 2023</w:t>
      </w:r>
    </w:p>
    <w:p>
      <w:pPr>
        <w:spacing w:after="0" w:line="2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between</w:t>
      </w: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3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Company</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3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Bank of Communications Co., Ltd. Macau Branch and</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Joint Global Coordinators</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Banco Nacional Ultramarino, S.A.,</w:t>
      </w:r>
    </w:p>
    <w:p>
      <w:pPr>
        <w:spacing w:after="0" w:line="3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Bank of Communications Co., Ltd. Macau Branch</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Deutsche Bank AG, Singapore Branch</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Industrial and Commercial Bank of China (Macau) Limited and</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Senior Mandated Lead Arrangers and Bookrunners</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3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Agent</w:t>
      </w:r>
    </w:p>
    <w:p>
      <w:pPr>
        <w:spacing w:after="0" w:line="20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and</w:t>
      </w: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The Financial Institutions listed herein</w:t>
      </w:r>
    </w:p>
    <w:p>
      <w:pPr>
        <w:spacing w:after="0" w:line="3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Original Lenders</w:t>
      </w: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White &amp; Case</w:t>
      </w:r>
    </w:p>
    <w:p>
      <w:pPr>
        <w:spacing w:after="0" w:line="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16th Floor, York House, The Landmark</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15 Queen’s Road Central</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Hong Kong</w:t>
      </w:r>
    </w:p>
    <w:p>
      <w:pPr>
        <w:sectPr>
          <w:pgSz w:w="11900" w:h="16838" w:orient="portrait"/>
          <w:cols w:equalWidth="0" w:num="1">
            <w:col w:w="9860"/>
          </w:cols>
          <w:pgMar w:left="1420" w:top="265" w:right="61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360" w:type="dxa"/>
            <w:vAlign w:val="bottom"/>
          </w:tcPr>
          <w:p>
            <w:pPr>
              <w:jc w:val="right"/>
              <w:ind w:right="4553"/>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150"/>
        </w:trPr>
        <w:tc>
          <w:tcPr>
            <w:tcW w:w="3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63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Page</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Definitions and interpretation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Facilities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Purpose</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Conditions of utilisation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Utilisation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Optional Currencies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Incremental Facilities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Repayment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Illegality, voluntary prepayment and cancellation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Mandatory prepayment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Restrictions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Periods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to the calculation of interest</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16.</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 gross-up and indemnities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17.</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Increased Costs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18.</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indemnities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19.</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Mitigation by the Lenders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20.</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Costs and expenses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Representations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Information undertakings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23.</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Financial covenants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24.</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 undertakings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25.</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Events of Default</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26.</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to the Lenders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27.</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Debt Purchase Transactions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28.</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to the Company</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29.</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Role of the Agent, the Arrangers and others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30.</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Conduct of business by the Finance Parties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Sharing among the Finance Parties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 mechanics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Set-off</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34.</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35.</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Calculations and certificates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36.</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Partial invalidity</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7"/>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37.</w:t>
            </w:r>
          </w:p>
        </w:tc>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Remedies and waivers</w:t>
            </w:r>
          </w:p>
        </w:tc>
        <w:tc>
          <w:tcPr>
            <w:tcW w:w="6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bl>
    <w:p>
      <w:pPr>
        <w:jc w:val="right"/>
        <w:spacing w:after="0"/>
        <w:rPr>
          <w:sz w:val="20"/>
          <w:szCs w:val="20"/>
          <w:color w:val="auto"/>
        </w:rPr>
        <w:sectPr>
          <w:pgSz w:w="11900" w:h="16838" w:orient="portrait"/>
          <w:cols w:equalWidth="0" w:num="1">
            <w:col w:w="10600"/>
          </w:cols>
          <w:pgMar w:left="620" w:top="263"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304" w:name="page305"/>
    <w:bookmarkEnd w:id="304"/>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38.</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Amendments and waivers</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39.</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Disclosure of information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40.</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Confidentiality of Funding Rates and Reference Bank Quotations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Bail in</w:t>
            </w:r>
          </w:p>
        </w:tc>
        <w:tc>
          <w:tcPr>
            <w:tcW w:w="668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Counterparts</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USA Patriot Act</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Waiver of jury trial</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Governing law</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47.</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Enforcement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1</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Original Parties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2</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Conditions precedent</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3</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Utilisation Request</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4</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Transfer Certificate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5</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Assignment Agreement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6</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Compliance Certificate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7</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Incremental Lender Accession Deed</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8</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Incremental Facility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9</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Forms of Notifiable Debt Purchase Transaction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7"/>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10</w:t>
            </w:r>
          </w:p>
        </w:tc>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Selection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bl>
    <w:p>
      <w:pPr>
        <w:jc w:val="right"/>
        <w:spacing w:after="0"/>
        <w:rPr>
          <w:sz w:val="20"/>
          <w:szCs w:val="20"/>
          <w:color w:val="auto"/>
        </w:rPr>
        <w:sectPr>
          <w:pgSz w:w="11900" w:h="16838" w:orient="portrait"/>
          <w:cols w:equalWidth="0" w:num="1">
            <w:col w:w="10600"/>
          </w:cols>
          <w:pgMar w:left="620" w:top="247"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305" w:name="page306"/>
    <w:bookmarkEnd w:id="305"/>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This Agreement </w:t>
      </w:r>
      <w:r>
        <w:rPr>
          <w:rFonts w:ascii="Times New Roman" w:cs="Times New Roman" w:eastAsia="Times New Roman" w:hAnsi="Times New Roman"/>
          <w:sz w:val="17"/>
          <w:szCs w:val="17"/>
          <w:color w:val="auto"/>
        </w:rPr>
        <w:t>is originally dated 29 April 2020 as amended and restated on the 2023 Amendment and Restatement Effective Date and made</w:t>
      </w:r>
    </w:p>
    <w:p>
      <w:pPr>
        <w:spacing w:after="0" w:line="3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31" w:lineRule="exact"/>
        <w:rPr>
          <w:sz w:val="20"/>
          <w:szCs w:val="20"/>
          <w:color w:val="auto"/>
        </w:rPr>
      </w:pPr>
    </w:p>
    <w:p>
      <w:pPr>
        <w:jc w:val="both"/>
        <w:ind w:left="748" w:right="260" w:hanging="748"/>
        <w:spacing w:after="0" w:line="277" w:lineRule="auto"/>
        <w:tabs>
          <w:tab w:leader="none" w:pos="7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MCO Nominee One Limited</w:t>
      </w:r>
      <w:r>
        <w:rPr>
          <w:rFonts w:ascii="Times New Roman" w:cs="Times New Roman" w:eastAsia="Times New Roman" w:hAnsi="Times New Roman"/>
          <w:sz w:val="17"/>
          <w:szCs w:val="17"/>
          <w:color w:val="auto"/>
        </w:rPr>
        <w:t>, an exempted company incorporated with limited liability in the Cayman Islands with its registered office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 Intertrust Corporate Services (Cayman) Limited, One Nexus Way, Camana Bay, Grand Cayman, KY1-9005, Cayman Islands and with registration number 187717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ind w:left="748" w:right="20" w:hanging="748"/>
        <w:spacing w:after="0" w:line="298" w:lineRule="auto"/>
        <w:tabs>
          <w:tab w:leader="none" w:pos="7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Bank of China Limited, Macau Branch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Bank of Communications Co., Ltd. Macau Branch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Morgan Stanley Senior Funding, Inc.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joint global coordinators (the “</w:t>
      </w:r>
      <w:r>
        <w:rPr>
          <w:rFonts w:ascii="Times New Roman" w:cs="Times New Roman" w:eastAsia="Times New Roman" w:hAnsi="Times New Roman"/>
          <w:sz w:val="17"/>
          <w:szCs w:val="17"/>
          <w:b w:val="1"/>
          <w:bCs w:val="1"/>
          <w:color w:val="auto"/>
        </w:rPr>
        <w:t>Coordinators</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jc w:val="both"/>
        <w:ind w:left="748" w:right="460" w:hanging="748"/>
        <w:spacing w:after="0" w:line="277" w:lineRule="auto"/>
        <w:tabs>
          <w:tab w:leader="none" w:pos="7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Banco Nacional Ultramarino, S.A.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Bank of China Limited, Macau Branch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Bank of Communications Co., Ltd. Macau Branch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Deutsche Bank AG, Singapore Branch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Industrial and Commercial Bank of China (Macau) Limited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Morgan Stanley Senior Funding, Inc. </w:t>
      </w:r>
      <w:r>
        <w:rPr>
          <w:rFonts w:ascii="Times New Roman" w:cs="Times New Roman" w:eastAsia="Times New Roman" w:hAnsi="Times New Roman"/>
          <w:sz w:val="17"/>
          <w:szCs w:val="17"/>
          <w:color w:val="auto"/>
        </w:rPr>
        <w:t>as senior mandated lead arrangers and bookrunners (the “</w:t>
      </w:r>
      <w:r>
        <w:rPr>
          <w:rFonts w:ascii="Times New Roman" w:cs="Times New Roman" w:eastAsia="Times New Roman" w:hAnsi="Times New Roman"/>
          <w:sz w:val="17"/>
          <w:szCs w:val="17"/>
          <w:b w:val="1"/>
          <w:bCs w:val="1"/>
          <w:color w:val="auto"/>
        </w:rPr>
        <w:t>Arrangers</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jc w:val="both"/>
        <w:ind w:left="748" w:right="340" w:hanging="748"/>
        <w:spacing w:after="0" w:line="277" w:lineRule="auto"/>
        <w:tabs>
          <w:tab w:leader="none" w:pos="7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financial institutions </w:t>
      </w:r>
      <w:r>
        <w:rPr>
          <w:rFonts w:ascii="Times New Roman" w:cs="Times New Roman" w:eastAsia="Times New Roman" w:hAnsi="Times New Roman"/>
          <w:sz w:val="17"/>
          <w:szCs w:val="17"/>
          <w:color w:val="auto"/>
        </w:rPr>
        <w:t>listed in Part 2 of Schedule 1 (</w:t>
      </w:r>
      <w:r>
        <w:rPr>
          <w:rFonts w:ascii="Times New Roman" w:cs="Times New Roman" w:eastAsia="Times New Roman" w:hAnsi="Times New Roman"/>
          <w:sz w:val="17"/>
          <w:szCs w:val="17"/>
          <w:i w:val="1"/>
          <w:iCs w:val="1"/>
          <w:color w:val="auto"/>
        </w:rPr>
        <w:t>Original Parties</w:t>
      </w:r>
      <w:r>
        <w:rPr>
          <w:rFonts w:ascii="Times New Roman" w:cs="Times New Roman" w:eastAsia="Times New Roman" w:hAnsi="Times New Roman"/>
          <w:sz w:val="17"/>
          <w:szCs w:val="17"/>
          <w:color w:val="auto"/>
        </w:rPr>
        <w:t>) as Original Lenders (the “</w:t>
      </w:r>
      <w:r>
        <w:rPr>
          <w:rFonts w:ascii="Times New Roman" w:cs="Times New Roman" w:eastAsia="Times New Roman" w:hAnsi="Times New Roman"/>
          <w:sz w:val="17"/>
          <w:szCs w:val="17"/>
          <w:b w:val="1"/>
          <w:bCs w:val="1"/>
          <w:color w:val="auto"/>
        </w:rPr>
        <w:t>Original Lenders</w:t>
      </w:r>
      <w:r>
        <w:rPr>
          <w:rFonts w:ascii="Times New Roman" w:cs="Times New Roman" w:eastAsia="Times New Roman" w:hAnsi="Times New Roman"/>
          <w:sz w:val="17"/>
          <w:szCs w:val="17"/>
          <w:color w:val="auto"/>
        </w:rPr>
        <w:t>”) and each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institution, trust, fund and other entity which has become a Party as a Lender in accordance with the terms of this Agreement, in each case which has not ceased to be a Party as a Lender in accordance with the terms of this Agreement; and</w:t>
      </w:r>
    </w:p>
    <w:p>
      <w:pPr>
        <w:spacing w:after="0" w:line="6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Bank of China Limited, Macau Branch </w:t>
      </w:r>
      <w:r>
        <w:rPr>
          <w:rFonts w:ascii="Times New Roman" w:cs="Times New Roman" w:eastAsia="Times New Roman" w:hAnsi="Times New Roman"/>
          <w:sz w:val="17"/>
          <w:szCs w:val="17"/>
          <w:color w:val="auto"/>
        </w:rPr>
        <w:t>as facility agent of the other Finance Parties (the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 xml:space="preserve">It is agreed </w:t>
      </w:r>
      <w:r>
        <w:rPr>
          <w:rFonts w:ascii="Times New Roman" w:cs="Times New Roman" w:eastAsia="Times New Roman" w:hAnsi="Times New Roman"/>
          <w:sz w:val="17"/>
          <w:szCs w:val="17"/>
          <w:color w:val="auto"/>
        </w:rPr>
        <w:t>as follows:</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Section 1</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229" w:lineRule="exact"/>
        <w:rPr>
          <w:sz w:val="20"/>
          <w:szCs w:val="20"/>
          <w:color w:val="auto"/>
        </w:rPr>
      </w:pPr>
    </w:p>
    <w:p>
      <w:pPr>
        <w:ind w:left="748" w:hanging="748"/>
        <w:spacing w:after="0"/>
        <w:tabs>
          <w:tab w:leader="none" w:pos="748"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 and interpretation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In this Agreement:</w:t>
      </w:r>
    </w:p>
    <w:p>
      <w:pPr>
        <w:spacing w:after="0" w:line="116" w:lineRule="exact"/>
        <w:rPr>
          <w:sz w:val="20"/>
          <w:szCs w:val="20"/>
          <w:color w:val="auto"/>
        </w:rPr>
      </w:pPr>
    </w:p>
    <w:p>
      <w:pPr>
        <w:ind w:left="748" w:right="7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2023 Amendment and Restatement Agreement</w:t>
      </w:r>
      <w:r>
        <w:rPr>
          <w:rFonts w:ascii="Times New Roman" w:cs="Times New Roman" w:eastAsia="Times New Roman" w:hAnsi="Times New Roman"/>
          <w:sz w:val="17"/>
          <w:szCs w:val="17"/>
          <w:color w:val="auto"/>
        </w:rPr>
        <w:t>” means the amendment and restatement agreement dated _29 June 2023 between (amongst others) the Company and the Agent amending and restating this Agreement.</w:t>
      </w:r>
    </w:p>
    <w:p>
      <w:pPr>
        <w:spacing w:after="0" w:line="37" w:lineRule="exact"/>
        <w:rPr>
          <w:sz w:val="20"/>
          <w:szCs w:val="20"/>
          <w:color w:val="auto"/>
        </w:rPr>
      </w:pPr>
    </w:p>
    <w:p>
      <w:pPr>
        <w:ind w:left="748" w:right="4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2023 Amendment and Restatement Effective Date</w:t>
      </w:r>
      <w:r>
        <w:rPr>
          <w:rFonts w:ascii="Times New Roman" w:cs="Times New Roman" w:eastAsia="Times New Roman" w:hAnsi="Times New Roman"/>
          <w:sz w:val="17"/>
          <w:szCs w:val="17"/>
          <w:color w:val="auto"/>
        </w:rPr>
        <w:t>” means the “Effective Date” as defined in the 2023 Amendment and Restatement Agreement.</w:t>
      </w:r>
    </w:p>
    <w:p>
      <w:pPr>
        <w:spacing w:after="0" w:line="3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Acceptable Bank</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1268" w:right="420" w:hanging="523"/>
        <w:spacing w:after="0" w:line="276" w:lineRule="auto"/>
        <w:tabs>
          <w:tab w:leader="none" w:pos="126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 or financial institution which has a rating for its long-term unsecured and non credit-enhanced debt obligations of BBB or higher by Standard &amp; Poor’s Rating Services or Fitch Ratings Ltd or Baa2 or higher by Moody’s Investor Services Limited or a comparable rating from an internationally recognised credit rating agency;</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Banco Nacional Ultramarino, S.A.;</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of China Limited, Macau Branch;</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or an Affiliate of any Finance Party; or</w:t>
      </w:r>
    </w:p>
    <w:p>
      <w:pPr>
        <w:spacing w:after="0" w:line="157" w:lineRule="exact"/>
        <w:rPr>
          <w:sz w:val="20"/>
          <w:szCs w:val="20"/>
          <w:color w:val="auto"/>
        </w:rPr>
      </w:pPr>
    </w:p>
    <w:tbl>
      <w:tblPr>
        <w:tblLayout w:type="fixed"/>
        <w:tblInd w:w="5288"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3</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06" w:name="page307"/>
    <w:bookmarkEnd w:id="306"/>
    <w:p>
      <w:pPr>
        <w:ind w:left="523" w:hanging="523"/>
        <w:spacing w:after="0"/>
        <w:tabs>
          <w:tab w:leader="none" w:pos="52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any other bank or financial institution approved by the Agent.</w:t>
      </w:r>
    </w:p>
    <w:p>
      <w:pPr>
        <w:spacing w:after="0" w:line="116" w:lineRule="exact"/>
        <w:rPr>
          <w:sz w:val="20"/>
          <w:szCs w:val="20"/>
          <w:color w:val="auto"/>
        </w:rPr>
      </w:pPr>
    </w:p>
    <w:p>
      <w:pPr>
        <w:ind w:left="3" w:right="5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Lender</w:t>
      </w:r>
      <w:r>
        <w:rPr>
          <w:rFonts w:ascii="Times New Roman" w:cs="Times New Roman" w:eastAsia="Times New Roman" w:hAnsi="Times New Roman"/>
          <w:sz w:val="17"/>
          <w:szCs w:val="17"/>
          <w:color w:val="auto"/>
        </w:rPr>
        <w:t>” has the meaning given to that term in paragraph (f) of Clause 7.2 (</w:t>
      </w:r>
      <w:r>
        <w:rPr>
          <w:rFonts w:ascii="Times New Roman" w:cs="Times New Roman" w:eastAsia="Times New Roman" w:hAnsi="Times New Roman"/>
          <w:sz w:val="17"/>
          <w:szCs w:val="17"/>
          <w:i w:val="1"/>
          <w:iCs w:val="1"/>
          <w:color w:val="auto"/>
        </w:rPr>
        <w:t>Availability and establishment of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Facilities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1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in relation to any person, any other person which, directly or indirectly, is in control of, is controlled by, or is under common control with, such person. For purposes of this definition,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63" w:lineRule="exact"/>
        <w:rPr>
          <w:sz w:val="20"/>
          <w:szCs w:val="20"/>
          <w:color w:val="auto"/>
        </w:rPr>
      </w:pPr>
    </w:p>
    <w:p>
      <w:pPr>
        <w:ind w:left="3" w:right="1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 Agreement</w:t>
      </w:r>
      <w:r>
        <w:rPr>
          <w:rFonts w:ascii="Times New Roman" w:cs="Times New Roman" w:eastAsia="Times New Roman" w:hAnsi="Times New Roman"/>
          <w:sz w:val="17"/>
          <w:szCs w:val="17"/>
          <w:color w:val="auto"/>
        </w:rPr>
        <w:t>” means any agreement entered into by a Group Member with an Affiliate which is not a Group Member in connection with the supply of goods or services to such Group Member by such Affiliate (or by such Group Member to such Affiliate) involving the payment or expenditure by any party thereto or any other flow of funds in excess of USD1,000,000 (or its equivalent in other currencies).</w:t>
      </w:r>
    </w:p>
    <w:p>
      <w:pPr>
        <w:spacing w:after="0" w:line="55" w:lineRule="exact"/>
        <w:rPr>
          <w:sz w:val="20"/>
          <w:szCs w:val="20"/>
          <w:color w:val="auto"/>
        </w:rPr>
      </w:pPr>
    </w:p>
    <w:p>
      <w:pPr>
        <w:ind w:left="3" w:right="2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Agent’s Spot Rate of Exchange</w:t>
      </w:r>
      <w:r>
        <w:rPr>
          <w:rFonts w:ascii="Times New Roman" w:cs="Times New Roman" w:eastAsia="Times New Roman" w:hAnsi="Times New Roman"/>
          <w:sz w:val="17"/>
          <w:szCs w:val="17"/>
          <w:color w:val="auto"/>
        </w:rPr>
        <w:t>” means the Agent’s spot rate of exchange for the purchase of one currency with the Base Currency in the Hong Kong SAR foreign exchange market at or about 11:00 a.m. (Hong Kong SAR time) on a particular day.</w:t>
      </w:r>
    </w:p>
    <w:p>
      <w:pPr>
        <w:spacing w:after="0" w:line="37"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Altira Project</w:t>
      </w:r>
      <w:r>
        <w:rPr>
          <w:rFonts w:ascii="Times New Roman" w:cs="Times New Roman" w:eastAsia="Times New Roman" w:hAnsi="Times New Roman"/>
          <w:sz w:val="17"/>
          <w:szCs w:val="17"/>
          <w:color w:val="auto"/>
        </w:rPr>
        <w:t>” means the ownership, maintenance and operation of a hotel on the Altira Site by Altira Resorts Limited and the leasing from the Macau SAR, operation and management of any casino or gaming area comprised in the Altira Site by Melco Resorts Macau in accordance with the Concession.</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Altira Site</w:t>
      </w:r>
      <w:r>
        <w:rPr>
          <w:rFonts w:ascii="Times New Roman" w:cs="Times New Roman" w:eastAsia="Times New Roman" w:hAnsi="Times New Roman"/>
          <w:sz w:val="17"/>
          <w:szCs w:val="17"/>
          <w:color w:val="auto"/>
        </w:rPr>
        <w:t>” means the land described in the Land Concession in relation to the Altira Project.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Anti-Bribery and Corruption Laws</w:t>
      </w:r>
      <w:r>
        <w:rPr>
          <w:rFonts w:ascii="Times New Roman" w:cs="Times New Roman" w:eastAsia="Times New Roman" w:hAnsi="Times New Roman"/>
          <w:sz w:val="17"/>
          <w:szCs w:val="17"/>
          <w:color w:val="auto"/>
        </w:rPr>
        <w:t>” has the meaning given to that term in Clause 21.20 (</w:t>
      </w:r>
      <w:r>
        <w:rPr>
          <w:rFonts w:ascii="Times New Roman" w:cs="Times New Roman" w:eastAsia="Times New Roman" w:hAnsi="Times New Roman"/>
          <w:sz w:val="17"/>
          <w:szCs w:val="17"/>
          <w:i w:val="1"/>
          <w:iCs w:val="1"/>
          <w:color w:val="auto"/>
        </w:rPr>
        <w:t>Anti-corruption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APLMA</w:t>
      </w:r>
      <w:r>
        <w:rPr>
          <w:rFonts w:ascii="Times New Roman" w:cs="Times New Roman" w:eastAsia="Times New Roman" w:hAnsi="Times New Roman"/>
          <w:sz w:val="17"/>
          <w:szCs w:val="17"/>
          <w:color w:val="auto"/>
        </w:rPr>
        <w:t>” means the Asia Pacific Loan Market Association.</w:t>
      </w:r>
    </w:p>
    <w:p>
      <w:pPr>
        <w:spacing w:after="0" w:line="118" w:lineRule="exact"/>
        <w:rPr>
          <w:sz w:val="20"/>
          <w:szCs w:val="20"/>
          <w:color w:val="auto"/>
        </w:rPr>
      </w:pPr>
    </w:p>
    <w:p>
      <w:pPr>
        <w:ind w:left="3"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Assignment Agreement</w:t>
      </w:r>
      <w:r>
        <w:rPr>
          <w:rFonts w:ascii="Times New Roman" w:cs="Times New Roman" w:eastAsia="Times New Roman" w:hAnsi="Times New Roman"/>
          <w:sz w:val="17"/>
          <w:szCs w:val="17"/>
          <w:color w:val="auto"/>
        </w:rPr>
        <w:t>” means an agreement substantially in the form set out in Schedule 5 (</w:t>
      </w:r>
      <w:r>
        <w:rPr>
          <w:rFonts w:ascii="Times New Roman" w:cs="Times New Roman" w:eastAsia="Times New Roman" w:hAnsi="Times New Roman"/>
          <w:sz w:val="17"/>
          <w:szCs w:val="17"/>
          <w:i w:val="1"/>
          <w:iCs w:val="1"/>
          <w:color w:val="auto"/>
        </w:rPr>
        <w:t>Form of Assignment Agreement</w:t>
      </w:r>
      <w:r>
        <w:rPr>
          <w:rFonts w:ascii="Times New Roman" w:cs="Times New Roman" w:eastAsia="Times New Roman" w:hAnsi="Times New Roman"/>
          <w:sz w:val="17"/>
          <w:szCs w:val="17"/>
          <w:color w:val="auto"/>
        </w:rPr>
        <w:t>) or any other form agreed between the relevant assignor and assignee.</w:t>
      </w:r>
    </w:p>
    <w:p>
      <w:pPr>
        <w:spacing w:after="0" w:line="37" w:lineRule="exact"/>
        <w:rPr>
          <w:sz w:val="20"/>
          <w:szCs w:val="20"/>
          <w:color w:val="auto"/>
        </w:rPr>
      </w:pPr>
    </w:p>
    <w:p>
      <w:pPr>
        <w:ind w:left="3" w:right="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Auditors</w:t>
      </w:r>
      <w:r>
        <w:rPr>
          <w:rFonts w:ascii="Times New Roman" w:cs="Times New Roman" w:eastAsia="Times New Roman" w:hAnsi="Times New Roman"/>
          <w:sz w:val="17"/>
          <w:szCs w:val="17"/>
          <w:color w:val="auto"/>
        </w:rPr>
        <w:t>” means (a) any one of PricewaterhouseCoopers, Ernst &amp; Young, KPMG and Deloitte &amp; Touche; or (b) any Affiliate of any auditor referred to in (a) or any entity resulting from amalgamation of any auditor referred to in (a); or (c) any firm of independent public accountants with an established national reputation; in each case that has the necessary skills and experience to audit a group of companies such as the Group.</w:t>
      </w:r>
    </w:p>
    <w:p>
      <w:pPr>
        <w:spacing w:after="0" w:line="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Authorisation</w:t>
      </w:r>
      <w:r>
        <w:rPr>
          <w:rFonts w:ascii="Times New Roman" w:cs="Times New Roman" w:eastAsia="Times New Roman" w:hAnsi="Times New Roman"/>
          <w:sz w:val="17"/>
          <w:szCs w:val="17"/>
          <w:color w:val="auto"/>
        </w:rPr>
        <w:t>” means an authorisation, consent, approval, resolution, licence, exemption, filing, notarisation or registration.</w:t>
      </w:r>
    </w:p>
    <w:p>
      <w:pPr>
        <w:spacing w:after="0" w:line="118" w:lineRule="exact"/>
        <w:rPr>
          <w:sz w:val="20"/>
          <w:szCs w:val="20"/>
          <w:color w:val="auto"/>
        </w:rPr>
      </w:pPr>
    </w:p>
    <w:p>
      <w:pPr>
        <w:ind w:left="3" w:right="1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Authorised Representative</w:t>
      </w:r>
      <w:r>
        <w:rPr>
          <w:rFonts w:ascii="Times New Roman" w:cs="Times New Roman" w:eastAsia="Times New Roman" w:hAnsi="Times New Roman"/>
          <w:sz w:val="17"/>
          <w:szCs w:val="17"/>
          <w:color w:val="auto"/>
        </w:rPr>
        <w:t>” means (a) the chief executive officer, the chief financial officer and any director of the Company and (b) any director, the chief executive officer, chief financial officer and chief legal officer of Melco.</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Availability Period</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400" w:hanging="523"/>
        <w:spacing w:after="0" w:line="295" w:lineRule="auto"/>
        <w:tabs>
          <w:tab w:leader="none" w:pos="52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Initial Facility, the period from and including the date of this Agreement up to and including the date falling one Month prior to the Termination Date applicable to the Initial Facility; and</w:t>
      </w:r>
    </w:p>
    <w:p>
      <w:pPr>
        <w:spacing w:after="0" w:line="81"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4</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07" w:name="page308"/>
    <w:bookmarkEnd w:id="307"/>
    <w:p>
      <w:pPr>
        <w:ind w:left="523" w:right="240" w:hanging="523"/>
        <w:spacing w:after="0" w:line="295" w:lineRule="auto"/>
        <w:tabs>
          <w:tab w:leader="none" w:pos="523"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an Incremental Facility, the availability period specified in the Incremental Facility Notice relating to that Incremental Facility.</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Available Commitment</w:t>
      </w:r>
      <w:r>
        <w:rPr>
          <w:rFonts w:ascii="Times New Roman" w:cs="Times New Roman" w:eastAsia="Times New Roman" w:hAnsi="Times New Roman"/>
          <w:sz w:val="17"/>
          <w:szCs w:val="17"/>
          <w:color w:val="auto"/>
        </w:rPr>
        <w:t>” means, in relation to a Facility, a Lender’s Commitment under that Facility minus:</w:t>
      </w:r>
    </w:p>
    <w:p>
      <w:pPr>
        <w:spacing w:after="0" w:line="133" w:lineRule="exact"/>
        <w:rPr>
          <w:sz w:val="20"/>
          <w:szCs w:val="20"/>
          <w:color w:val="auto"/>
        </w:rPr>
      </w:pPr>
    </w:p>
    <w:p>
      <w:pPr>
        <w:ind w:left="523" w:hanging="523"/>
        <w:spacing w:after="0"/>
        <w:tabs>
          <w:tab w:leader="none" w:pos="52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Currency Amount of its participation in any outstanding Utilisations under that Facility; and</w:t>
      </w:r>
    </w:p>
    <w:p>
      <w:pPr>
        <w:spacing w:after="0" w:line="131" w:lineRule="exact"/>
        <w:rPr>
          <w:rFonts w:ascii="Times New Roman" w:cs="Times New Roman" w:eastAsia="Times New Roman" w:hAnsi="Times New Roman"/>
          <w:sz w:val="17"/>
          <w:szCs w:val="17"/>
          <w:color w:val="auto"/>
        </w:rPr>
      </w:pPr>
    </w:p>
    <w:p>
      <w:pPr>
        <w:ind w:left="523" w:right="60" w:hanging="523"/>
        <w:spacing w:after="0" w:line="295" w:lineRule="auto"/>
        <w:tabs>
          <w:tab w:leader="none" w:pos="52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proposed Utilisation, the Base Currency Amount of its participation in any other Utilisations that are due to be made under that Facility on or before the proposed Utilisation Date.</w:t>
      </w:r>
    </w:p>
    <w:p>
      <w:pPr>
        <w:spacing w:after="0" w:line="42" w:lineRule="exact"/>
        <w:rPr>
          <w:sz w:val="20"/>
          <w:szCs w:val="20"/>
          <w:color w:val="auto"/>
        </w:rPr>
      </w:pPr>
    </w:p>
    <w:p>
      <w:pPr>
        <w:ind w:left="3" w:right="40"/>
        <w:spacing w:after="0" w:line="276" w:lineRule="auto"/>
        <w:rPr>
          <w:sz w:val="20"/>
          <w:szCs w:val="20"/>
          <w:color w:val="auto"/>
        </w:rPr>
      </w:pPr>
      <w:r>
        <w:rPr>
          <w:rFonts w:ascii="Times New Roman" w:cs="Times New Roman" w:eastAsia="Times New Roman" w:hAnsi="Times New Roman"/>
          <w:sz w:val="17"/>
          <w:szCs w:val="17"/>
          <w:color w:val="auto"/>
        </w:rPr>
        <w:t>For the purposes of calculating a Lender’s Available Commitment in relation to any proposed Utilisation under the Initial Facility or any Incremental Revolving Credit Facility only, that Lender’s participation in any Loans under that Facility that are due to be repaid or prepaid on or before the proposed Utilisation Date shall not be deducted from a Lender’s Commitment under that Facility.</w:t>
      </w:r>
    </w:p>
    <w:p>
      <w:pPr>
        <w:spacing w:after="0" w:line="55" w:lineRule="exact"/>
        <w:rPr>
          <w:sz w:val="20"/>
          <w:szCs w:val="20"/>
          <w:color w:val="auto"/>
        </w:rPr>
      </w:pPr>
    </w:p>
    <w:p>
      <w:pPr>
        <w:ind w:left="3" w:right="2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Available Facility</w:t>
      </w:r>
      <w:r>
        <w:rPr>
          <w:rFonts w:ascii="Times New Roman" w:cs="Times New Roman" w:eastAsia="Times New Roman" w:hAnsi="Times New Roman"/>
          <w:sz w:val="17"/>
          <w:szCs w:val="17"/>
          <w:color w:val="auto"/>
        </w:rPr>
        <w:t>” means, in relation to a Facility, the aggregate for the time being of each Lender’s Available Commitment in respect of that Facility.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Base Currency</w:t>
      </w:r>
      <w:r>
        <w:rPr>
          <w:rFonts w:ascii="Times New Roman" w:cs="Times New Roman" w:eastAsia="Times New Roman" w:hAnsi="Times New Roman"/>
          <w:sz w:val="17"/>
          <w:szCs w:val="17"/>
          <w:color w:val="auto"/>
        </w:rPr>
        <w:t>” means Hong Kong dollars.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Base Currency Amount</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80" w:hanging="523"/>
        <w:spacing w:after="0" w:line="266" w:lineRule="auto"/>
        <w:tabs>
          <w:tab w:leader="none" w:pos="52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Utilisation, the amount specified in the Utilisation Request delivered by the Company for that Utilisation (or, if the amount requested is not denominated in the Base Currency, that amount converted into the Base Currency at the Agent’s Spot Rate of Exchange on the date which is three (3) Business Days before the Utilisation Date or, if later, on the date the Agent receives the Utilisation Request in accordance with the terms of this Agreement), as adjusted to reflect any repayment, prepayment, consolidation or division of a Utilisation; and</w:t>
      </w:r>
    </w:p>
    <w:p>
      <w:pPr>
        <w:spacing w:after="0" w:line="79" w:lineRule="exact"/>
        <w:rPr>
          <w:rFonts w:ascii="Times New Roman" w:cs="Times New Roman" w:eastAsia="Times New Roman" w:hAnsi="Times New Roman"/>
          <w:sz w:val="17"/>
          <w:szCs w:val="17"/>
          <w:color w:val="auto"/>
        </w:rPr>
      </w:pPr>
    </w:p>
    <w:p>
      <w:pPr>
        <w:ind w:left="523" w:right="320" w:hanging="523"/>
        <w:spacing w:after="0" w:line="295" w:lineRule="auto"/>
        <w:tabs>
          <w:tab w:leader="none" w:pos="52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other amount as at any date which is not denominated in the Base Currency, that amount converted into the Base Currency at the Agent’s Spot Rate of Exchange on that date.</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Rate</w:t>
      </w:r>
      <w:r>
        <w:rPr>
          <w:rFonts w:ascii="Times New Roman" w:cs="Times New Roman" w:eastAsia="Times New Roman" w:hAnsi="Times New Roman"/>
          <w:sz w:val="17"/>
          <w:szCs w:val="17"/>
          <w:color w:val="auto"/>
        </w:rPr>
        <w:t>” means, in relation to any Loan in an Optional Currency (other than any Term SOFR Loan):</w:t>
      </w:r>
    </w:p>
    <w:p>
      <w:pPr>
        <w:spacing w:after="0" w:line="133" w:lineRule="exact"/>
        <w:rPr>
          <w:sz w:val="20"/>
          <w:szCs w:val="20"/>
          <w:color w:val="auto"/>
        </w:rPr>
      </w:pPr>
    </w:p>
    <w:p>
      <w:pPr>
        <w:ind w:left="523" w:right="20" w:hanging="523"/>
        <w:spacing w:after="0" w:line="295" w:lineRule="auto"/>
        <w:tabs>
          <w:tab w:leader="none" w:pos="523"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 as of 11:00 a.m. (London time) on the Quotation Date and for a period equal in length to the Interest Period of that Loan; or</w:t>
      </w:r>
    </w:p>
    <w:p>
      <w:pPr>
        <w:spacing w:after="0" w:line="53"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otherwise determined pursuant to Clause 14.1 (</w:t>
      </w:r>
      <w:r>
        <w:rPr>
          <w:rFonts w:ascii="Times New Roman" w:cs="Times New Roman" w:eastAsia="Times New Roman" w:hAnsi="Times New Roman"/>
          <w:sz w:val="17"/>
          <w:szCs w:val="17"/>
          <w:i w:val="1"/>
          <w:iCs w:val="1"/>
          <w:color w:val="auto"/>
        </w:rPr>
        <w:t>Absence of quotations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and if, in either case, that rate is less than zero, the Benchmark Rate shall be deemed to be zero.</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Bond Guarantee</w:t>
      </w:r>
      <w:r>
        <w:rPr>
          <w:rFonts w:ascii="Times New Roman" w:cs="Times New Roman" w:eastAsia="Times New Roman" w:hAnsi="Times New Roman"/>
          <w:sz w:val="17"/>
          <w:szCs w:val="17"/>
          <w:color w:val="auto"/>
        </w:rPr>
        <w:t>” means each guarantee given by a Group Member in respect of any Bondco Indebtedness.</w:t>
      </w:r>
    </w:p>
    <w:p>
      <w:pPr>
        <w:spacing w:after="0" w:line="118" w:lineRule="exact"/>
        <w:rPr>
          <w:sz w:val="20"/>
          <w:szCs w:val="20"/>
          <w:color w:val="auto"/>
        </w:rPr>
      </w:pPr>
    </w:p>
    <w:p>
      <w:pPr>
        <w:ind w:left="3" w:right="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Bondco</w:t>
      </w:r>
      <w:r>
        <w:rPr>
          <w:rFonts w:ascii="Times New Roman" w:cs="Times New Roman" w:eastAsia="Times New Roman" w:hAnsi="Times New Roman"/>
          <w:sz w:val="17"/>
          <w:szCs w:val="17"/>
          <w:color w:val="auto"/>
        </w:rPr>
        <w:t>” means Melco Resorts Finance Limited (formerly known as MCE Finance Limited), a company incorporated in the Cayman Islands with limited liability.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Bondco Indebtedness</w:t>
      </w:r>
      <w:r>
        <w:rPr>
          <w:rFonts w:ascii="Times New Roman" w:cs="Times New Roman" w:eastAsia="Times New Roman" w:hAnsi="Times New Roman"/>
          <w:sz w:val="17"/>
          <w:szCs w:val="17"/>
          <w:color w:val="auto"/>
        </w:rPr>
        <w:t>” means any Financial Indebtedness owed by Bondco.</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Break Costs</w:t>
      </w:r>
      <w:r>
        <w:rPr>
          <w:rFonts w:ascii="Times New Roman" w:cs="Times New Roman" w:eastAsia="Times New Roman" w:hAnsi="Times New Roman"/>
          <w:sz w:val="17"/>
          <w:szCs w:val="17"/>
          <w:color w:val="auto"/>
        </w:rPr>
        <w:t>” means the amount (if any) by which:</w:t>
      </w:r>
    </w:p>
    <w:p>
      <w:pPr>
        <w:spacing w:after="0" w:line="133" w:lineRule="exact"/>
        <w:rPr>
          <w:sz w:val="20"/>
          <w:szCs w:val="20"/>
          <w:color w:val="auto"/>
        </w:rPr>
      </w:pPr>
    </w:p>
    <w:p>
      <w:pPr>
        <w:ind w:left="523" w:right="180" w:hanging="523"/>
        <w:spacing w:after="0" w:line="276" w:lineRule="auto"/>
        <w:tabs>
          <w:tab w:leader="none" w:pos="523"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97"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5</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08" w:name="page309"/>
    <w:bookmarkEnd w:id="308"/>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exceeds:</w:t>
      </w:r>
    </w:p>
    <w:p>
      <w:pPr>
        <w:spacing w:after="0" w:line="131" w:lineRule="exact"/>
        <w:rPr>
          <w:sz w:val="20"/>
          <w:szCs w:val="20"/>
          <w:color w:val="auto"/>
        </w:rPr>
      </w:pPr>
    </w:p>
    <w:p>
      <w:pPr>
        <w:ind w:left="523" w:right="40" w:hanging="523"/>
        <w:spacing w:after="0" w:line="276" w:lineRule="auto"/>
        <w:tabs>
          <w:tab w:leader="none" w:pos="52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55" w:lineRule="exact"/>
        <w:rPr>
          <w:sz w:val="20"/>
          <w:szCs w:val="20"/>
          <w:color w:val="auto"/>
        </w:rPr>
      </w:pPr>
    </w:p>
    <w:p>
      <w:pPr>
        <w:ind w:left="3" w:right="2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a Saturday or Sunday) on which banks are open for general business in the Macau SAR, the Hong Kong SAR and:</w:t>
      </w:r>
    </w:p>
    <w:p>
      <w:pPr>
        <w:spacing w:after="0" w:line="52" w:lineRule="exact"/>
        <w:rPr>
          <w:sz w:val="20"/>
          <w:szCs w:val="20"/>
          <w:color w:val="auto"/>
        </w:rPr>
      </w:pPr>
    </w:p>
    <w:p>
      <w:pPr>
        <w:ind w:left="523" w:right="220" w:hanging="523"/>
        <w:spacing w:after="0" w:line="295" w:lineRule="auto"/>
        <w:tabs>
          <w:tab w:leader="none" w:pos="52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date for payment or purchase of a currency other than the Base Currency or euro) the principal financial centre of the country of that currency;</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date for payment or purchase of euro) which is a TARGET Day;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fixing of an interest rate relating to a Term SOFR Loan) which is a US Government Securities Business Day.</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Stock</w:t>
      </w:r>
      <w:r>
        <w:rPr>
          <w:rFonts w:ascii="Times New Roman" w:cs="Times New Roman" w:eastAsia="Times New Roman" w:hAnsi="Times New Roman"/>
          <w:sz w:val="17"/>
          <w:szCs w:val="17"/>
          <w:color w:val="auto"/>
        </w:rPr>
        <w:t>” means:</w:t>
      </w:r>
    </w:p>
    <w:p>
      <w:pPr>
        <w:spacing w:after="0" w:line="131" w:lineRule="exact"/>
        <w:rPr>
          <w:sz w:val="20"/>
          <w:szCs w:val="20"/>
          <w:color w:val="auto"/>
        </w:rPr>
      </w:pPr>
    </w:p>
    <w:p>
      <w:pPr>
        <w:ind w:left="523" w:hanging="523"/>
        <w:spacing w:after="0"/>
        <w:tabs>
          <w:tab w:leader="none" w:pos="52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used in the definition of “Change of Control” set out in Clause 10.1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corporation, corporate stock;</w:t>
      </w:r>
    </w:p>
    <w:p>
      <w:pPr>
        <w:spacing w:after="0" w:line="131" w:lineRule="exact"/>
        <w:rPr>
          <w:rFonts w:ascii="Times New Roman" w:cs="Times New Roman" w:eastAsia="Times New Roman" w:hAnsi="Times New Roman"/>
          <w:sz w:val="17"/>
          <w:szCs w:val="17"/>
          <w:color w:val="auto"/>
        </w:rPr>
      </w:pPr>
    </w:p>
    <w:p>
      <w:pPr>
        <w:ind w:left="1143" w:right="620" w:hanging="620"/>
        <w:spacing w:after="0" w:line="295" w:lineRule="auto"/>
        <w:tabs>
          <w:tab w:leader="none" w:pos="11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association or business entity, any and all shares, interests, participations, rights or other equivalents (however designated) of corporate stock;</w:t>
      </w:r>
    </w:p>
    <w:p>
      <w:pPr>
        <w:spacing w:after="0" w:line="55" w:lineRule="exact"/>
        <w:rPr>
          <w:rFonts w:ascii="Times New Roman" w:cs="Times New Roman" w:eastAsia="Times New Roman" w:hAnsi="Times New Roman"/>
          <w:sz w:val="17"/>
          <w:szCs w:val="17"/>
          <w:color w:val="auto"/>
        </w:rPr>
      </w:pPr>
    </w:p>
    <w:p>
      <w:pPr>
        <w:ind w:left="1143" w:right="320" w:hanging="620"/>
        <w:spacing w:after="0" w:line="295" w:lineRule="auto"/>
        <w:tabs>
          <w:tab w:leader="none" w:pos="11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partnership or limited liability company, partnership interests (whether general or limited) or membership interests; and</w:t>
      </w:r>
    </w:p>
    <w:p>
      <w:pPr>
        <w:spacing w:after="0" w:line="55" w:lineRule="exact"/>
        <w:rPr>
          <w:rFonts w:ascii="Times New Roman" w:cs="Times New Roman" w:eastAsia="Times New Roman" w:hAnsi="Times New Roman"/>
          <w:sz w:val="17"/>
          <w:szCs w:val="17"/>
          <w:color w:val="auto"/>
        </w:rPr>
      </w:pPr>
    </w:p>
    <w:p>
      <w:pPr>
        <w:ind w:left="1143" w:right="520" w:hanging="620"/>
        <w:spacing w:after="0" w:line="276" w:lineRule="auto"/>
        <w:tabs>
          <w:tab w:leader="none" w:pos="11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interest or participation that confers on a person the right to receive a share of the profits and losses of, or distribution of assets of, the issuing person, but excluding from all of the foregoing any debt securities convertible into Capital Stock, whether or not such debt securities include any right of participation with Capital Stock; and</w:t>
      </w:r>
    </w:p>
    <w:p>
      <w:pPr>
        <w:spacing w:after="0" w:line="70" w:lineRule="exact"/>
        <w:rPr>
          <w:rFonts w:ascii="Times New Roman" w:cs="Times New Roman" w:eastAsia="Times New Roman" w:hAnsi="Times New Roman"/>
          <w:sz w:val="17"/>
          <w:szCs w:val="17"/>
          <w:color w:val="auto"/>
        </w:rPr>
      </w:pPr>
    </w:p>
    <w:p>
      <w:pPr>
        <w:ind w:left="523" w:right="120" w:hanging="523"/>
        <w:spacing w:after="0" w:line="269" w:lineRule="auto"/>
        <w:tabs>
          <w:tab w:leader="none" w:pos="523"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used elsewhere in this Agreement or any other Finance Document) any and all shares, interest, participations or other equivalents (howsoever designated) of capital stock of a corporation, any and all classes of membership interests in a limited liability company, any and all classes of partnership interests in a partnership, any and all equivalent ownership interests in a person and any and all agreements, warrants, rights or options to acquire any of the foregoing.</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Capitalised Lease Obligations</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3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City of Dreams Project</w:t>
      </w:r>
      <w:r>
        <w:rPr>
          <w:rFonts w:ascii="Times New Roman" w:cs="Times New Roman" w:eastAsia="Times New Roman" w:hAnsi="Times New Roman"/>
          <w:sz w:val="17"/>
          <w:szCs w:val="17"/>
          <w:color w:val="auto"/>
        </w:rPr>
        <w:t>” means the ownership, operation and maintenance of a resort-hotel on the City of Dreams Site by COD Resorts Limited (formerly known as Melco Crown (COD) Developments Limited), and the leasing from the Macau SAR and the operation and management of any casino or gaming area comprised therein by Melco Resorts Macau in accordance with the Concession.</w:t>
      </w:r>
    </w:p>
    <w:p>
      <w:pPr>
        <w:spacing w:after="0" w:line="96"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6</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09" w:name="page310"/>
    <w:bookmarkEnd w:id="309"/>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City of Dreams Site</w:t>
      </w:r>
      <w:r>
        <w:rPr>
          <w:rFonts w:ascii="Times New Roman" w:cs="Times New Roman" w:eastAsia="Times New Roman" w:hAnsi="Times New Roman"/>
          <w:sz w:val="17"/>
          <w:szCs w:val="17"/>
          <w:color w:val="auto"/>
        </w:rPr>
        <w:t>” means the land described in the Land Concession for the City of Dreams Project.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Commitment</w:t>
      </w:r>
      <w:r>
        <w:rPr>
          <w:rFonts w:ascii="Times New Roman" w:cs="Times New Roman" w:eastAsia="Times New Roman" w:hAnsi="Times New Roman"/>
          <w:sz w:val="17"/>
          <w:szCs w:val="17"/>
          <w:color w:val="auto"/>
        </w:rPr>
        <w:t>” means an Initial Facility Commitment or an Incremental Facility Commitment.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Compliance Certificate</w:t>
      </w:r>
      <w:r>
        <w:rPr>
          <w:rFonts w:ascii="Times New Roman" w:cs="Times New Roman" w:eastAsia="Times New Roman" w:hAnsi="Times New Roman"/>
          <w:sz w:val="17"/>
          <w:szCs w:val="17"/>
          <w:color w:val="auto"/>
        </w:rPr>
        <w:t>” means a certificate substantially in the form set out in Schedule 6 (</w:t>
      </w:r>
      <w:r>
        <w:rPr>
          <w:rFonts w:ascii="Times New Roman" w:cs="Times New Roman" w:eastAsia="Times New Roman" w:hAnsi="Times New Roman"/>
          <w:sz w:val="17"/>
          <w:szCs w:val="17"/>
          <w:i w:val="1"/>
          <w:iCs w:val="1"/>
          <w:color w:val="auto"/>
        </w:rPr>
        <w:t>Form of Compliance Certificate</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Concession</w:t>
      </w:r>
      <w:r>
        <w:rPr>
          <w:rFonts w:ascii="Times New Roman" w:cs="Times New Roman" w:eastAsia="Times New Roman" w:hAnsi="Times New Roman"/>
          <w:sz w:val="17"/>
          <w:szCs w:val="17"/>
          <w:color w:val="auto"/>
        </w:rPr>
        <w:t>” means the agreement dated 16 December 2022 entered into by and between Macau SAR and Melco Resorts Macau setting out the terms and conditions in which Melco Resorts Macau shall operate games of chance and other casino games in Macau SAR as of 1 January 2023, and or Melco Resorts Macau’s entitlement to carry out such activity, as the context may require.</w:t>
      </w:r>
    </w:p>
    <w:p>
      <w:pPr>
        <w:spacing w:after="0" w:line="55" w:lineRule="exact"/>
        <w:rPr>
          <w:sz w:val="20"/>
          <w:szCs w:val="20"/>
          <w:color w:val="auto"/>
        </w:rPr>
      </w:pPr>
    </w:p>
    <w:p>
      <w:pPr>
        <w:ind w:left="3" w:right="1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Concession Guarantee</w:t>
      </w:r>
      <w:r>
        <w:rPr>
          <w:rFonts w:ascii="Times New Roman" w:cs="Times New Roman" w:eastAsia="Times New Roman" w:hAnsi="Times New Roman"/>
          <w:sz w:val="17"/>
          <w:szCs w:val="17"/>
          <w:color w:val="auto"/>
        </w:rPr>
        <w:t>” means any guarantees for the arrangement of cash or deposit collateral for, the performance or legal or contractual obligations in connection with and/or the payment of any amounts due under or in connection with any Land Concession or Concession.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Concession Guarantee Facility</w:t>
      </w:r>
      <w:r>
        <w:rPr>
          <w:rFonts w:ascii="Times New Roman" w:cs="Times New Roman" w:eastAsia="Times New Roman" w:hAnsi="Times New Roman"/>
          <w:sz w:val="17"/>
          <w:szCs w:val="17"/>
          <w:color w:val="auto"/>
        </w:rPr>
        <w:t>” means any facility extended to a Group Member for the issuance of any Concession Guarantee.</w:t>
      </w:r>
    </w:p>
    <w:p>
      <w:pPr>
        <w:spacing w:after="0" w:line="118" w:lineRule="exact"/>
        <w:rPr>
          <w:sz w:val="20"/>
          <w:szCs w:val="20"/>
          <w:color w:val="auto"/>
        </w:rPr>
      </w:pPr>
    </w:p>
    <w:p>
      <w:pPr>
        <w:ind w:left="3" w:right="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all information relating to any of the Sponsors, the Melco Group, the Company, the Group, the Excluded Subsidiaries,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76" w:lineRule="exact"/>
        <w:rPr>
          <w:sz w:val="20"/>
          <w:szCs w:val="20"/>
          <w:color w:val="auto"/>
        </w:rPr>
      </w:pPr>
    </w:p>
    <w:p>
      <w:pPr>
        <w:ind w:left="523" w:hanging="523"/>
        <w:spacing w:after="0"/>
        <w:tabs>
          <w:tab w:leader="none" w:pos="523"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of the Group or any of its advisers; or</w:t>
      </w:r>
    </w:p>
    <w:p>
      <w:pPr>
        <w:spacing w:after="0" w:line="131" w:lineRule="exact"/>
        <w:rPr>
          <w:rFonts w:ascii="Times New Roman" w:cs="Times New Roman" w:eastAsia="Times New Roman" w:hAnsi="Times New Roman"/>
          <w:sz w:val="17"/>
          <w:szCs w:val="17"/>
          <w:color w:val="auto"/>
        </w:rPr>
      </w:pPr>
    </w:p>
    <w:p>
      <w:pPr>
        <w:ind w:left="523" w:right="200" w:hanging="523"/>
        <w:spacing w:after="0" w:line="295" w:lineRule="auto"/>
        <w:tabs>
          <w:tab w:leader="none" w:pos="523"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another Finance Party, if the information was obtained by that Finance Party directly or indirectly from any member of the Group or any of its advisers,</w:t>
      </w:r>
    </w:p>
    <w:p>
      <w:pPr>
        <w:spacing w:after="0" w:line="42" w:lineRule="exact"/>
        <w:rPr>
          <w:sz w:val="20"/>
          <w:szCs w:val="20"/>
          <w:color w:val="auto"/>
        </w:rPr>
      </w:pPr>
    </w:p>
    <w:p>
      <w:pPr>
        <w:ind w:left="3" w:right="440"/>
        <w:spacing w:after="0" w:line="295" w:lineRule="auto"/>
        <w:rPr>
          <w:sz w:val="20"/>
          <w:szCs w:val="20"/>
          <w:color w:val="auto"/>
        </w:rPr>
      </w:pPr>
      <w:r>
        <w:rPr>
          <w:rFonts w:ascii="Times New Roman" w:cs="Times New Roman" w:eastAsia="Times New Roman" w:hAnsi="Times New Roman"/>
          <w:sz w:val="17"/>
          <w:szCs w:val="17"/>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55" w:lineRule="exact"/>
        <w:rPr>
          <w:sz w:val="20"/>
          <w:szCs w:val="20"/>
          <w:color w:val="auto"/>
        </w:rPr>
      </w:pPr>
    </w:p>
    <w:p>
      <w:pPr>
        <w:ind w:left="1143" w:hanging="620"/>
        <w:spacing w:after="0"/>
        <w:tabs>
          <w:tab w:leader="none" w:pos="1143"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that:</w:t>
      </w:r>
    </w:p>
    <w:p>
      <w:pPr>
        <w:spacing w:after="0" w:line="131" w:lineRule="exact"/>
        <w:rPr>
          <w:rFonts w:ascii="Times New Roman" w:cs="Times New Roman" w:eastAsia="Times New Roman" w:hAnsi="Times New Roman"/>
          <w:sz w:val="17"/>
          <w:szCs w:val="17"/>
          <w:color w:val="auto"/>
        </w:rPr>
      </w:pPr>
    </w:p>
    <w:p>
      <w:pPr>
        <w:ind w:left="1683" w:right="20" w:hanging="520"/>
        <w:spacing w:after="0" w:line="295" w:lineRule="auto"/>
        <w:tabs>
          <w:tab w:leader="none" w:pos="168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becomes public information other than as a direct or indirect result of any breach by that Finance Party of Clause 39 (</w:t>
      </w:r>
      <w:r>
        <w:rPr>
          <w:rFonts w:ascii="Times New Roman" w:cs="Times New Roman" w:eastAsia="Times New Roman" w:hAnsi="Times New Roman"/>
          <w:sz w:val="17"/>
          <w:szCs w:val="17"/>
          <w:i w:val="1"/>
          <w:iCs w:val="1"/>
          <w:color w:val="auto"/>
        </w:rPr>
        <w:t>Disclosure of Information</w:t>
      </w:r>
      <w:r>
        <w:rPr>
          <w:rFonts w:ascii="Times New Roman" w:cs="Times New Roman" w:eastAsia="Times New Roman" w:hAnsi="Times New Roman"/>
          <w:sz w:val="17"/>
          <w:szCs w:val="17"/>
          <w:color w:val="auto"/>
        </w:rPr>
        <w:t>); or</w:t>
      </w:r>
    </w:p>
    <w:p>
      <w:pPr>
        <w:spacing w:after="0" w:line="55" w:lineRule="exact"/>
        <w:rPr>
          <w:rFonts w:ascii="Times New Roman" w:cs="Times New Roman" w:eastAsia="Times New Roman" w:hAnsi="Times New Roman"/>
          <w:sz w:val="17"/>
          <w:szCs w:val="17"/>
          <w:color w:val="auto"/>
        </w:rPr>
      </w:pPr>
    </w:p>
    <w:p>
      <w:pPr>
        <w:ind w:left="1683" w:right="120" w:hanging="520"/>
        <w:spacing w:after="0" w:line="267" w:lineRule="auto"/>
        <w:tabs>
          <w:tab w:leader="none" w:pos="168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identified in writing at the time of delivery as non-confidential by any member of the Group or any of its advisers; or</w:t>
      </w:r>
    </w:p>
    <w:p>
      <w:pPr>
        <w:spacing w:after="0" w:line="318"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known by that Finance Party before the date the information is disclosed to it in accordance with paragraphs (a) or</w:t>
      </w:r>
    </w:p>
    <w:p>
      <w:pPr>
        <w:spacing w:after="0" w:line="31" w:lineRule="exact"/>
        <w:rPr>
          <w:rFonts w:ascii="Times New Roman" w:cs="Times New Roman" w:eastAsia="Times New Roman" w:hAnsi="Times New Roman"/>
          <w:sz w:val="17"/>
          <w:szCs w:val="17"/>
          <w:color w:val="auto"/>
        </w:rPr>
      </w:pPr>
    </w:p>
    <w:p>
      <w:pPr>
        <w:jc w:val="both"/>
        <w:ind w:left="1683" w:right="2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79" w:lineRule="exact"/>
        <w:rPr>
          <w:sz w:val="20"/>
          <w:szCs w:val="20"/>
          <w:color w:val="auto"/>
        </w:rPr>
      </w:pPr>
    </w:p>
    <w:p>
      <w:pPr>
        <w:ind w:left="1143" w:hanging="620"/>
        <w:spacing w:after="0"/>
        <w:tabs>
          <w:tab w:leader="none" w:pos="1143"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Funding Rate or Reference Bank Quotation.</w:t>
      </w:r>
    </w:p>
    <w:p>
      <w:pPr>
        <w:spacing w:after="0" w:line="157"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7</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10" w:name="page311"/>
    <w:bookmarkEnd w:id="310"/>
    <w:p>
      <w:pPr>
        <w:ind w:left="3" w:right="30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Confidentiality Undertaking</w:t>
      </w:r>
      <w:r>
        <w:rPr>
          <w:rFonts w:ascii="Times New Roman" w:cs="Times New Roman" w:eastAsia="Times New Roman" w:hAnsi="Times New Roman"/>
          <w:sz w:val="17"/>
          <w:szCs w:val="17"/>
          <w:color w:val="auto"/>
        </w:rPr>
        <w:t>” means a confidentiality undertaking substantially in a recommended form of the APLMA or in any other form agreed between the Company and the Agent.</w:t>
      </w:r>
    </w:p>
    <w:p>
      <w:pPr>
        <w:spacing w:after="0" w:line="37" w:lineRule="exact"/>
        <w:rPr>
          <w:sz w:val="20"/>
          <w:szCs w:val="20"/>
          <w:color w:val="auto"/>
        </w:rPr>
      </w:pPr>
    </w:p>
    <w:p>
      <w:pPr>
        <w:ind w:left="3" w:right="2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Constitutional Documents</w:t>
      </w:r>
      <w:r>
        <w:rPr>
          <w:rFonts w:ascii="Times New Roman" w:cs="Times New Roman" w:eastAsia="Times New Roman" w:hAnsi="Times New Roman"/>
          <w:sz w:val="17"/>
          <w:szCs w:val="17"/>
          <w:color w:val="auto"/>
        </w:rPr>
        <w:t>” means, collectively, in relation to any person, any certificate of incorporation, memorandum and articles of association, bylaws, shareholders’ agreement, certificate of formation, limited liability company agreement, partnership agreement and any other formation or constituent documents applicable to such person.</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Core Asset</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Relevant Property and the buildings constructed thereon owned by a member of the Group; and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Documents,</w:t>
      </w:r>
    </w:p>
    <w:p>
      <w:pPr>
        <w:spacing w:after="0" w:line="118" w:lineRule="exact"/>
        <w:rPr>
          <w:sz w:val="20"/>
          <w:szCs w:val="20"/>
          <w:color w:val="auto"/>
        </w:rPr>
      </w:pPr>
    </w:p>
    <w:p>
      <w:pPr>
        <w:ind w:left="3" w:right="220"/>
        <w:spacing w:after="0" w:line="295" w:lineRule="auto"/>
        <w:rPr>
          <w:sz w:val="20"/>
          <w:szCs w:val="20"/>
          <w:color w:val="auto"/>
        </w:rPr>
      </w:pPr>
      <w:r>
        <w:rPr>
          <w:rFonts w:ascii="Times New Roman" w:cs="Times New Roman" w:eastAsia="Times New Roman" w:hAnsi="Times New Roman"/>
          <w:sz w:val="17"/>
          <w:szCs w:val="17"/>
          <w:color w:val="auto"/>
        </w:rPr>
        <w:t>in each case, to the extent required for any Project but excluding any asset or interest in land required solely for the Mocha Business and/or any Excluded Project.</w:t>
      </w:r>
    </w:p>
    <w:p>
      <w:pPr>
        <w:spacing w:after="0" w:line="40" w:lineRule="exact"/>
        <w:rPr>
          <w:sz w:val="20"/>
          <w:szCs w:val="20"/>
          <w:color w:val="auto"/>
        </w:rPr>
      </w:pPr>
    </w:p>
    <w:p>
      <w:pPr>
        <w:ind w:left="3" w:right="18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Structure Chart</w:t>
      </w:r>
      <w:r>
        <w:rPr>
          <w:rFonts w:ascii="Times New Roman" w:cs="Times New Roman" w:eastAsia="Times New Roman" w:hAnsi="Times New Roman"/>
          <w:sz w:val="17"/>
          <w:szCs w:val="17"/>
          <w:color w:val="auto"/>
        </w:rPr>
        <w:t>” means the corporate structure chart in the agreed form prepared by the Company and delivered to the Arrangers prior to the date of this Agreement, describing the ownership structure of the Group and the Sponsor Group Shareholders, certain of the Group’s assets (including the Concession) and addressed to and capable of being relied upon by the Finance Parties.</w:t>
      </w:r>
    </w:p>
    <w:p>
      <w:pPr>
        <w:spacing w:after="0" w:line="55" w:lineRule="exact"/>
        <w:rPr>
          <w:sz w:val="20"/>
          <w:szCs w:val="20"/>
          <w:color w:val="auto"/>
        </w:rPr>
      </w:pPr>
    </w:p>
    <w:p>
      <w:pPr>
        <w:jc w:val="both"/>
        <w:ind w:left="3" w:right="1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Adjustment Spread</w:t>
      </w:r>
      <w:r>
        <w:rPr>
          <w:rFonts w:ascii="Times New Roman" w:cs="Times New Roman" w:eastAsia="Times New Roman" w:hAnsi="Times New Roman"/>
          <w:sz w:val="17"/>
          <w:szCs w:val="17"/>
          <w:color w:val="auto"/>
        </w:rPr>
        <w:t>” means, in relation to any Term SOFR Loan, the percentage rate per annum, corresponding to the length of the relevant Interest Period, as set out in the table below (or, in relation to any Interest Period of any other length as the Company and the Agent (acting on the instructions of all the Lenders) may agree in accordance with Clause 13 (</w:t>
      </w:r>
      <w:r>
        <w:rPr>
          <w:rFonts w:ascii="Times New Roman" w:cs="Times New Roman" w:eastAsia="Times New Roman" w:hAnsi="Times New Roman"/>
          <w:sz w:val="17"/>
          <w:szCs w:val="17"/>
          <w:i w:val="1"/>
          <w:iCs w:val="1"/>
          <w:color w:val="auto"/>
        </w:rPr>
        <w:t>Interest Periods</w:t>
      </w:r>
      <w:r>
        <w:rPr>
          <w:rFonts w:ascii="Times New Roman" w:cs="Times New Roman" w:eastAsia="Times New Roman" w:hAnsi="Times New Roman"/>
          <w:sz w:val="17"/>
          <w:szCs w:val="17"/>
          <w:color w:val="auto"/>
        </w:rPr>
        <w:t>) of this Agreement, such percentage rate per annum as is agreed by such Parties in respect of such Interest Period length):</w:t>
      </w:r>
    </w:p>
    <w:p>
      <w:pPr>
        <w:sectPr>
          <w:pgSz w:w="11900" w:h="16838" w:orient="portrait"/>
          <w:cols w:equalWidth="0" w:num="1">
            <w:col w:w="9923"/>
          </w:cols>
          <w:pgMar w:left="1357" w:top="262" w:right="619" w:bottom="1440" w:gutter="0" w:footer="0" w:header="0"/>
        </w:sectPr>
      </w:pPr>
    </w:p>
    <w:p>
      <w:pPr>
        <w:spacing w:after="0" w:line="305" w:lineRule="exact"/>
        <w:rPr>
          <w:sz w:val="20"/>
          <w:szCs w:val="20"/>
          <w:color w:val="auto"/>
        </w:rPr>
      </w:pPr>
    </w:p>
    <w:p>
      <w:pPr>
        <w:ind w:left="1383"/>
        <w:spacing w:after="0"/>
        <w:rPr>
          <w:sz w:val="20"/>
          <w:szCs w:val="20"/>
          <w:color w:val="auto"/>
        </w:rPr>
      </w:pPr>
      <w:r>
        <w:rPr>
          <w:rFonts w:ascii="Times New Roman" w:cs="Times New Roman" w:eastAsia="Times New Roman" w:hAnsi="Times New Roman"/>
          <w:sz w:val="14"/>
          <w:szCs w:val="14"/>
          <w:b w:val="1"/>
          <w:bCs w:val="1"/>
          <w:color w:val="auto"/>
        </w:rPr>
        <w:t>Length of Interest Period</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Applicable Credit Adjustment Spread</w:t>
      </w:r>
    </w:p>
    <w:p>
      <w:pPr>
        <w:spacing w:after="0" w:line="32" w:lineRule="exact"/>
        <w:rPr>
          <w:sz w:val="20"/>
          <w:szCs w:val="20"/>
          <w:color w:val="auto"/>
        </w:rPr>
      </w:pPr>
    </w:p>
    <w:p>
      <w:pPr>
        <w:sectPr>
          <w:pgSz w:w="11900" w:h="16838" w:orient="portrait"/>
          <w:cols w:equalWidth="0" w:num="2">
            <w:col w:w="4003" w:space="720"/>
            <w:col w:w="5200"/>
          </w:cols>
          <w:pgMar w:left="1357" w:top="262" w:right="619" w:bottom="1440" w:gutter="0" w:footer="0" w:header="0"/>
          <w:type w:val="continuous"/>
        </w:sectPr>
      </w:pPr>
    </w:p>
    <w:p>
      <w:pPr>
        <w:ind w:left="1383"/>
        <w:spacing w:after="0"/>
        <w:rPr>
          <w:sz w:val="20"/>
          <w:szCs w:val="20"/>
          <w:color w:val="auto"/>
        </w:rPr>
      </w:pPr>
      <w:r>
        <w:rPr>
          <w:rFonts w:ascii="Times New Roman" w:cs="Times New Roman" w:eastAsia="Times New Roman" w:hAnsi="Times New Roman"/>
          <w:sz w:val="17"/>
          <w:szCs w:val="17"/>
          <w:color w:val="auto"/>
        </w:rPr>
        <w:t>One Month or less</w:t>
      </w:r>
    </w:p>
    <w:p>
      <w:pPr>
        <w:ind w:left="1383"/>
        <w:spacing w:after="0"/>
        <w:rPr>
          <w:sz w:val="20"/>
          <w:szCs w:val="20"/>
          <w:color w:val="auto"/>
        </w:rPr>
      </w:pPr>
      <w:r>
        <w:rPr>
          <w:rFonts w:ascii="Times New Roman" w:cs="Times New Roman" w:eastAsia="Times New Roman" w:hAnsi="Times New Roman"/>
          <w:sz w:val="17"/>
          <w:szCs w:val="17"/>
          <w:color w:val="auto"/>
        </w:rPr>
        <w:t>Three Months or less but more than 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0.06 per cent per annum</w:t>
      </w:r>
    </w:p>
    <w:p>
      <w:pPr>
        <w:spacing w:after="0"/>
        <w:rPr>
          <w:sz w:val="20"/>
          <w:szCs w:val="20"/>
          <w:color w:val="auto"/>
        </w:rPr>
      </w:pPr>
      <w:r>
        <w:rPr>
          <w:rFonts w:ascii="Times New Roman" w:cs="Times New Roman" w:eastAsia="Times New Roman" w:hAnsi="Times New Roman"/>
          <w:sz w:val="17"/>
          <w:szCs w:val="17"/>
          <w:color w:val="auto"/>
        </w:rPr>
        <w:t>0.10 per cent per annum.</w:t>
      </w:r>
    </w:p>
    <w:p>
      <w:pPr>
        <w:spacing w:after="0" w:line="14" w:lineRule="exact"/>
        <w:rPr>
          <w:sz w:val="20"/>
          <w:szCs w:val="20"/>
          <w:color w:val="auto"/>
        </w:rPr>
      </w:pPr>
    </w:p>
    <w:p>
      <w:pPr>
        <w:sectPr>
          <w:pgSz w:w="11900" w:h="16838" w:orient="portrait"/>
          <w:cols w:equalWidth="0" w:num="2">
            <w:col w:w="4183" w:space="540"/>
            <w:col w:w="5200"/>
          </w:cols>
          <w:pgMar w:left="1357" w:top="262" w:right="619" w:bottom="1440" w:gutter="0" w:footer="0" w:header="0"/>
          <w:type w:val="continuous"/>
        </w:sectPr>
      </w:pPr>
    </w:p>
    <w:p>
      <w:pPr>
        <w:ind w:left="1383"/>
        <w:spacing w:after="0"/>
        <w:rPr>
          <w:sz w:val="20"/>
          <w:szCs w:val="20"/>
          <w:color w:val="auto"/>
        </w:rPr>
      </w:pPr>
      <w:r>
        <w:rPr>
          <w:rFonts w:ascii="Times New Roman" w:cs="Times New Roman" w:eastAsia="Times New Roman" w:hAnsi="Times New Roman"/>
          <w:sz w:val="17"/>
          <w:szCs w:val="17"/>
          <w:color w:val="auto"/>
        </w:rPr>
        <w:t>Month</w:t>
      </w:r>
    </w:p>
    <w:p>
      <w:pPr>
        <w:sectPr>
          <w:pgSz w:w="11900" w:h="16838" w:orient="portrait"/>
          <w:cols w:equalWidth="0" w:num="1">
            <w:col w:w="9923"/>
          </w:cols>
          <w:pgMar w:left="1357" w:top="262" w:right="619" w:bottom="1440" w:gutter="0" w:footer="0" w:header="0"/>
          <w:type w:val="continuous"/>
        </w:sectPr>
      </w:pPr>
    </w:p>
    <w:p>
      <w:pPr>
        <w:spacing w:after="0" w:line="14" w:lineRule="exact"/>
        <w:rPr>
          <w:sz w:val="20"/>
          <w:szCs w:val="20"/>
          <w:color w:val="auto"/>
        </w:rPr>
      </w:pPr>
    </w:p>
    <w:p>
      <w:pPr>
        <w:ind w:left="1383"/>
        <w:spacing w:after="0"/>
        <w:rPr>
          <w:sz w:val="20"/>
          <w:szCs w:val="20"/>
          <w:color w:val="auto"/>
        </w:rPr>
      </w:pPr>
      <w:r>
        <w:rPr>
          <w:rFonts w:ascii="Times New Roman" w:cs="Times New Roman" w:eastAsia="Times New Roman" w:hAnsi="Times New Roman"/>
          <w:sz w:val="17"/>
          <w:szCs w:val="17"/>
          <w:color w:val="auto"/>
        </w:rPr>
        <w:t>Six Months or less but more than three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0.20 per cent per annum</w:t>
      </w:r>
    </w:p>
    <w:p>
      <w:pPr>
        <w:spacing w:after="0" w:line="14" w:lineRule="exact"/>
        <w:rPr>
          <w:sz w:val="20"/>
          <w:szCs w:val="20"/>
          <w:color w:val="auto"/>
        </w:rPr>
      </w:pPr>
    </w:p>
    <w:p>
      <w:pPr>
        <w:sectPr>
          <w:pgSz w:w="11900" w:h="16838" w:orient="portrait"/>
          <w:cols w:equalWidth="0" w:num="2">
            <w:col w:w="4103" w:space="620"/>
            <w:col w:w="5200"/>
          </w:cols>
          <w:pgMar w:left="1357" w:top="262" w:right="619" w:bottom="1440" w:gutter="0" w:footer="0" w:header="0"/>
          <w:type w:val="continuous"/>
        </w:sectPr>
      </w:pPr>
    </w:p>
    <w:p>
      <w:pPr>
        <w:ind w:left="1383"/>
        <w:spacing w:after="0"/>
        <w:rPr>
          <w:sz w:val="20"/>
          <w:szCs w:val="20"/>
          <w:color w:val="auto"/>
        </w:rPr>
      </w:pPr>
      <w:r>
        <w:rPr>
          <w:rFonts w:ascii="Times New Roman" w:cs="Times New Roman" w:eastAsia="Times New Roman" w:hAnsi="Times New Roman"/>
          <w:sz w:val="17"/>
          <w:szCs w:val="17"/>
          <w:color w:val="auto"/>
        </w:rPr>
        <w:t>Months</w:t>
      </w:r>
    </w:p>
    <w:p>
      <w:pPr>
        <w:sectPr>
          <w:pgSz w:w="11900" w:h="16838" w:orient="portrait"/>
          <w:cols w:equalWidth="0" w:num="1">
            <w:col w:w="9923"/>
          </w:cols>
          <w:pgMar w:left="1357" w:top="262" w:right="619" w:bottom="1440" w:gutter="0" w:footer="0" w:header="0"/>
          <w:type w:val="continuous"/>
        </w:sectPr>
      </w:pPr>
    </w:p>
    <w:p>
      <w:pPr>
        <w:spacing w:after="0" w:line="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Debt Purchase Transaction</w:t>
      </w:r>
      <w:r>
        <w:rPr>
          <w:rFonts w:ascii="Times New Roman" w:cs="Times New Roman" w:eastAsia="Times New Roman" w:hAnsi="Times New Roman"/>
          <w:sz w:val="17"/>
          <w:szCs w:val="17"/>
          <w:color w:val="auto"/>
        </w:rPr>
        <w:t>” means, in relation to a person, a transaction where such person:</w:t>
      </w:r>
    </w:p>
    <w:p>
      <w:pPr>
        <w:spacing w:after="0" w:line="133" w:lineRule="exact"/>
        <w:rPr>
          <w:sz w:val="20"/>
          <w:szCs w:val="20"/>
          <w:color w:val="auto"/>
        </w:rPr>
      </w:pPr>
    </w:p>
    <w:p>
      <w:pPr>
        <w:ind w:left="523" w:hanging="523"/>
        <w:spacing w:after="0"/>
        <w:tabs>
          <w:tab w:leader="none" w:pos="523"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way of assignment or transfer;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enters into any sub-participation in respect of; or</w:t>
      </w:r>
    </w:p>
    <w:p>
      <w:pPr>
        <w:spacing w:after="0" w:line="131" w:lineRule="exact"/>
        <w:rPr>
          <w:rFonts w:ascii="Times New Roman" w:cs="Times New Roman" w:eastAsia="Times New Roman" w:hAnsi="Times New Roman"/>
          <w:sz w:val="17"/>
          <w:szCs w:val="17"/>
          <w:color w:val="auto"/>
        </w:rPr>
      </w:pPr>
    </w:p>
    <w:p>
      <w:pPr>
        <w:ind w:left="3" w:right="300" w:hanging="3"/>
        <w:spacing w:after="0" w:line="383" w:lineRule="auto"/>
        <w:tabs>
          <w:tab w:leader="none" w:pos="524"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enters into any other agreement or arrangement having an economic effect substantially similar to a sub-participation in respect of, any Commitment (or any commitment represented thereby) or amount outstanding under this Agreement.</w:t>
      </w:r>
    </w:p>
    <w:p>
      <w:pPr>
        <w:spacing w:after="0" w:line="1"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means an Event of Default or any event or circumstance specified in Clause 25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which would (with the expiry of a grace period, the giving of notice, the making of any determination in accordance with the Finance Documents or any combination of any of the foregoing) be an Event of Default.</w:t>
      </w:r>
    </w:p>
    <w:p>
      <w:pPr>
        <w:spacing w:after="0" w:line="96"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8</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type w:val="continuous"/>
        </w:sectPr>
      </w:pPr>
    </w:p>
    <w:bookmarkStart w:id="311" w:name="page312"/>
    <w:bookmarkEnd w:id="311"/>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Defaulting Lender</w:t>
      </w:r>
      <w:r>
        <w:rPr>
          <w:rFonts w:ascii="Times New Roman" w:cs="Times New Roman" w:eastAsia="Times New Roman" w:hAnsi="Times New Roman"/>
          <w:sz w:val="17"/>
          <w:szCs w:val="17"/>
          <w:color w:val="auto"/>
        </w:rPr>
        <w:t>” means any Lender (other than a Lender which is a Sponsor Affiliate):</w:t>
      </w:r>
    </w:p>
    <w:p>
      <w:pPr>
        <w:spacing w:after="0" w:line="133" w:lineRule="exact"/>
        <w:rPr>
          <w:sz w:val="20"/>
          <w:szCs w:val="20"/>
          <w:color w:val="auto"/>
        </w:rPr>
      </w:pPr>
    </w:p>
    <w:p>
      <w:pPr>
        <w:ind w:left="523" w:right="240" w:hanging="523"/>
        <w:spacing w:after="0" w:line="276" w:lineRule="auto"/>
        <w:tabs>
          <w:tab w:leader="none" w:pos="523"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Times New Roman" w:cs="Times New Roman" w:eastAsia="Times New Roman" w:hAnsi="Times New Roman"/>
          <w:sz w:val="17"/>
          <w:szCs w:val="17"/>
          <w:i w:val="1"/>
          <w:iCs w:val="1"/>
          <w:color w:val="auto"/>
        </w:rPr>
        <w:t>Lenders’ participation</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has otherwise rescinded or repudiated a Finance Document;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whose Commitments are subject to any Bail-in Action;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which an Insolvency Event has occurred and is continuing,</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unless, in the case of paragraph (a) above:</w:t>
      </w:r>
    </w:p>
    <w:p>
      <w:pPr>
        <w:spacing w:after="0" w:line="131" w:lineRule="exact"/>
        <w:rPr>
          <w:sz w:val="20"/>
          <w:szCs w:val="20"/>
          <w:color w:val="auto"/>
        </w:rPr>
      </w:pPr>
    </w:p>
    <w:p>
      <w:pPr>
        <w:ind w:left="1143" w:hanging="620"/>
        <w:spacing w:after="0"/>
        <w:tabs>
          <w:tab w:leader="none" w:pos="114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failure to pay is caused by:</w:t>
      </w:r>
    </w:p>
    <w:p>
      <w:pPr>
        <w:spacing w:after="0" w:line="131"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technical error; or</w:t>
      </w:r>
    </w:p>
    <w:p>
      <w:pPr>
        <w:spacing w:after="0" w:line="131"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Event; and</w:t>
      </w:r>
    </w:p>
    <w:p>
      <w:pPr>
        <w:spacing w:after="0" w:line="118" w:lineRule="exact"/>
        <w:rPr>
          <w:sz w:val="20"/>
          <w:szCs w:val="20"/>
          <w:color w:val="auto"/>
        </w:rPr>
      </w:pPr>
    </w:p>
    <w:p>
      <w:pPr>
        <w:ind w:left="1183"/>
        <w:spacing w:after="0"/>
        <w:rPr>
          <w:sz w:val="20"/>
          <w:szCs w:val="20"/>
          <w:color w:val="auto"/>
        </w:rPr>
      </w:pPr>
      <w:r>
        <w:rPr>
          <w:rFonts w:ascii="Times New Roman" w:cs="Times New Roman" w:eastAsia="Times New Roman" w:hAnsi="Times New Roman"/>
          <w:sz w:val="17"/>
          <w:szCs w:val="17"/>
          <w:color w:val="auto"/>
        </w:rPr>
        <w:t>payment is made within two (2) Business Days of its due date; or</w:t>
      </w:r>
    </w:p>
    <w:p>
      <w:pPr>
        <w:spacing w:after="0" w:line="131" w:lineRule="exact"/>
        <w:rPr>
          <w:sz w:val="20"/>
          <w:szCs w:val="20"/>
          <w:color w:val="auto"/>
        </w:rPr>
      </w:pPr>
    </w:p>
    <w:p>
      <w:pPr>
        <w:ind w:left="1143" w:hanging="620"/>
        <w:spacing w:after="0"/>
        <w:tabs>
          <w:tab w:leader="none" w:pos="114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is disputing in good faith whether it is contractually obliged to make the payment in question.</w:t>
      </w:r>
    </w:p>
    <w:p>
      <w:pPr>
        <w:spacing w:after="0" w:line="116" w:lineRule="exact"/>
        <w:rPr>
          <w:sz w:val="20"/>
          <w:szCs w:val="20"/>
          <w:color w:val="auto"/>
        </w:rPr>
      </w:pPr>
    </w:p>
    <w:p>
      <w:pPr>
        <w:ind w:left="3" w:right="5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Disposal</w:t>
      </w:r>
      <w:r>
        <w:rPr>
          <w:rFonts w:ascii="Times New Roman" w:cs="Times New Roman" w:eastAsia="Times New Roman" w:hAnsi="Times New Roman"/>
          <w:sz w:val="17"/>
          <w:szCs w:val="17"/>
          <w:color w:val="auto"/>
        </w:rPr>
        <w:t>” means a sale, lease, licence, transfer, loan or other disposal by a person of any asset, undertaking or business (whether by a voluntary or involuntary single transaction or series of transactions).</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Disruption Event</w:t>
      </w:r>
      <w:r>
        <w:rPr>
          <w:rFonts w:ascii="Times New Roman" w:cs="Times New Roman" w:eastAsia="Times New Roman" w:hAnsi="Times New Roman"/>
          <w:sz w:val="17"/>
          <w:szCs w:val="17"/>
          <w:color w:val="auto"/>
        </w:rPr>
        <w:t>” means either or both of:</w:t>
      </w:r>
    </w:p>
    <w:p>
      <w:pPr>
        <w:spacing w:after="0" w:line="133" w:lineRule="exact"/>
        <w:rPr>
          <w:sz w:val="20"/>
          <w:szCs w:val="20"/>
          <w:color w:val="auto"/>
        </w:rPr>
      </w:pPr>
    </w:p>
    <w:p>
      <w:pPr>
        <w:jc w:val="both"/>
        <w:ind w:left="523" w:right="220" w:hanging="523"/>
        <w:spacing w:after="0" w:line="276" w:lineRule="auto"/>
        <w:tabs>
          <w:tab w:leader="none" w:pos="523"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and</w:t>
      </w:r>
    </w:p>
    <w:p>
      <w:pPr>
        <w:spacing w:after="0" w:line="70" w:lineRule="exact"/>
        <w:rPr>
          <w:rFonts w:ascii="Times New Roman" w:cs="Times New Roman" w:eastAsia="Times New Roman" w:hAnsi="Times New Roman"/>
          <w:sz w:val="17"/>
          <w:szCs w:val="17"/>
          <w:color w:val="auto"/>
        </w:rPr>
      </w:pPr>
    </w:p>
    <w:p>
      <w:pPr>
        <w:ind w:left="523" w:right="220" w:hanging="523"/>
        <w:spacing w:after="0" w:line="295" w:lineRule="auto"/>
        <w:tabs>
          <w:tab w:leader="none" w:pos="523"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other event which results in a disruption (of a technical or systems-related nature) to the treasury or payments operations of a Party preventing that, or any other Party:</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performing its payment obligations under the Finance Documents; or</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communicating with other Parties in accordance with the terms of the Finance Documents,</w:t>
      </w:r>
    </w:p>
    <w:p>
      <w:pPr>
        <w:spacing w:after="0" w:line="118"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7"/>
          <w:szCs w:val="17"/>
          <w:color w:val="auto"/>
        </w:rPr>
        <w:t>and which (in either such case) is not caused by, and is beyond the control of, the Party whose operations are disrupted.</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Claim</w:t>
      </w:r>
      <w:r>
        <w:rPr>
          <w:rFonts w:ascii="Times New Roman" w:cs="Times New Roman" w:eastAsia="Times New Roman" w:hAnsi="Times New Roman"/>
          <w:sz w:val="17"/>
          <w:szCs w:val="17"/>
          <w:color w:val="auto"/>
        </w:rPr>
        <w:t>” means any claim, proceeding, formal notice or investigation by any person in respect of any Environmental Law.</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w:t>
      </w:r>
      <w:r>
        <w:rPr>
          <w:rFonts w:ascii="Times New Roman" w:cs="Times New Roman" w:eastAsia="Times New Roman" w:hAnsi="Times New Roman"/>
          <w:sz w:val="17"/>
          <w:szCs w:val="17"/>
          <w:color w:val="auto"/>
        </w:rPr>
        <w:t>” means any applicable law or regulation which relates to:</w:t>
      </w:r>
    </w:p>
    <w:p>
      <w:pPr>
        <w:spacing w:after="0" w:line="133" w:lineRule="exact"/>
        <w:rPr>
          <w:sz w:val="20"/>
          <w:szCs w:val="20"/>
          <w:color w:val="auto"/>
        </w:rPr>
      </w:pPr>
    </w:p>
    <w:p>
      <w:pPr>
        <w:ind w:left="523" w:hanging="523"/>
        <w:spacing w:after="0"/>
        <w:tabs>
          <w:tab w:leader="none" w:pos="523"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pollution or protection of the environment;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or the protection of human health;</w:t>
      </w:r>
    </w:p>
    <w:p>
      <w:pPr>
        <w:spacing w:after="0" w:line="157" w:lineRule="exact"/>
        <w:rPr>
          <w:sz w:val="20"/>
          <w:szCs w:val="20"/>
          <w:color w:val="auto"/>
        </w:rPr>
      </w:pPr>
    </w:p>
    <w:tbl>
      <w:tblPr>
        <w:tblLayout w:type="fixed"/>
        <w:tblInd w:w="4543"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9</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12" w:name="page313"/>
    <w:bookmarkEnd w:id="312"/>
    <w:p>
      <w:pPr>
        <w:ind w:left="523" w:hanging="523"/>
        <w:spacing w:after="0"/>
        <w:tabs>
          <w:tab w:leader="none" w:pos="523"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conditions of the workplace;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emission or substance capable of causing harm to any living organism or the environment.</w:t>
      </w:r>
    </w:p>
    <w:p>
      <w:pPr>
        <w:spacing w:after="0" w:line="116" w:lineRule="exact"/>
        <w:rPr>
          <w:sz w:val="20"/>
          <w:szCs w:val="20"/>
          <w:color w:val="auto"/>
        </w:rPr>
      </w:pPr>
    </w:p>
    <w:p>
      <w:pPr>
        <w:jc w:val="both"/>
        <w:ind w:left="3" w:right="1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Permits</w:t>
      </w:r>
      <w:r>
        <w:rPr>
          <w:rFonts w:ascii="Times New Roman" w:cs="Times New Roman" w:eastAsia="Times New Roman" w:hAnsi="Times New Roman"/>
          <w:sz w:val="17"/>
          <w:szCs w:val="17"/>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means any event or circumstance specified as such in Clause 25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ind w:left="3" w:right="1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Project</w:t>
      </w:r>
      <w:r>
        <w:rPr>
          <w:rFonts w:ascii="Times New Roman" w:cs="Times New Roman" w:eastAsia="Times New Roman" w:hAnsi="Times New Roman"/>
          <w:sz w:val="17"/>
          <w:szCs w:val="17"/>
          <w:color w:val="auto"/>
        </w:rPr>
        <w:t>” means any gaming, entertainment, hotel or resort related business, development, project, undertaking or venture of any kind (other than any Projects and the Mocha Business) and including (except as otherwise designated as a “Project” under this Agreement), without limitation:</w:t>
      </w:r>
    </w:p>
    <w:p>
      <w:pPr>
        <w:spacing w:after="0" w:line="70" w:lineRule="exact"/>
        <w:rPr>
          <w:sz w:val="20"/>
          <w:szCs w:val="20"/>
          <w:color w:val="auto"/>
        </w:rPr>
      </w:pPr>
    </w:p>
    <w:p>
      <w:pPr>
        <w:ind w:left="523" w:hanging="523"/>
        <w:spacing w:after="0"/>
        <w:tabs>
          <w:tab w:leader="none" w:pos="523"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business, development or undertaking at the Hotel Grand Dragon in Macau SAR;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business, projects development, undertaking or venture at or comprised in the Studio City development in Macau SAR; and</w:t>
      </w:r>
    </w:p>
    <w:p>
      <w:pPr>
        <w:spacing w:after="0" w:line="118" w:lineRule="exact"/>
        <w:rPr>
          <w:sz w:val="20"/>
          <w:szCs w:val="20"/>
          <w:color w:val="auto"/>
        </w:rPr>
      </w:pPr>
    </w:p>
    <w:p>
      <w:pPr>
        <w:ind w:left="3" w:right="80"/>
        <w:spacing w:after="0" w:line="263" w:lineRule="auto"/>
        <w:rPr>
          <w:sz w:val="20"/>
          <w:szCs w:val="20"/>
          <w:color w:val="auto"/>
        </w:rPr>
      </w:pPr>
      <w:r>
        <w:rPr>
          <w:rFonts w:ascii="Times New Roman" w:cs="Times New Roman" w:eastAsia="Times New Roman" w:hAnsi="Times New Roman"/>
          <w:sz w:val="17"/>
          <w:szCs w:val="17"/>
          <w:color w:val="auto"/>
        </w:rPr>
        <w:t>and any other property development or management business or undertaking or any other business necessary for, incidental to, arising out of, supportive of or connected to any such business, development, project, undertaking or venture, in each case carried out by an Excluded Subsidiary or other person outside the Group or, in the case of any casino or gaming related business, development, project, undertaking or venture, Melco Resorts Macau, provided that the foregoing neither involves nor permits any claim, interest, liability or right of recourse of any kind in connection therewith against, or the creation of any security interest over, any Core Asset save as permitted (or contemplated by any agreement, document, transaction or other thing permitted) by the Finance Documents and (in respect of Melco Resorts Macau) contemplated by or arising under or in connection with any Excluded Project Agreement or Excluded Project Operation Agreement.</w:t>
      </w:r>
    </w:p>
    <w:p>
      <w:pPr>
        <w:spacing w:after="0" w:line="67"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Project Agreement</w:t>
      </w:r>
      <w:r>
        <w:rPr>
          <w:rFonts w:ascii="Times New Roman" w:cs="Times New Roman" w:eastAsia="Times New Roman" w:hAnsi="Times New Roman"/>
          <w:sz w:val="17"/>
          <w:szCs w:val="17"/>
          <w:color w:val="auto"/>
        </w:rPr>
        <w:t>” means any agreement (including the Studio City Casino Agreement and any Lease Agreement) entered into by Melco Resorts Macau in respect of or relating to any casino or gaming related business, development, project, undertaking or venture in an Excluded Project or any assets relating to or comprised therein.</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Project Material Adverse Effect</w:t>
      </w:r>
      <w:r>
        <w:rPr>
          <w:rFonts w:ascii="Times New Roman" w:cs="Times New Roman" w:eastAsia="Times New Roman" w:hAnsi="Times New Roman"/>
          <w:sz w:val="17"/>
          <w:szCs w:val="17"/>
          <w:color w:val="auto"/>
        </w:rPr>
        <w:t>” means a material adverse effect on:</w:t>
      </w:r>
    </w:p>
    <w:p>
      <w:pPr>
        <w:spacing w:after="0" w:line="133" w:lineRule="exact"/>
        <w:rPr>
          <w:sz w:val="20"/>
          <w:szCs w:val="20"/>
          <w:color w:val="auto"/>
        </w:rPr>
      </w:pPr>
    </w:p>
    <w:p>
      <w:pPr>
        <w:ind w:left="523" w:hanging="523"/>
        <w:spacing w:after="0"/>
        <w:tabs>
          <w:tab w:leader="none" w:pos="52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operations, property or financial condition of the Group taken as a whole; or</w:t>
      </w:r>
    </w:p>
    <w:p>
      <w:pPr>
        <w:spacing w:after="0" w:line="131" w:lineRule="exact"/>
        <w:rPr>
          <w:rFonts w:ascii="Times New Roman" w:cs="Times New Roman" w:eastAsia="Times New Roman" w:hAnsi="Times New Roman"/>
          <w:sz w:val="17"/>
          <w:szCs w:val="17"/>
          <w:color w:val="auto"/>
        </w:rPr>
      </w:pPr>
    </w:p>
    <w:p>
      <w:pPr>
        <w:ind w:left="523" w:right="160" w:hanging="523"/>
        <w:spacing w:after="0" w:line="295" w:lineRule="auto"/>
        <w:tabs>
          <w:tab w:leader="none" w:pos="52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Company and the Subsidiary Guarantors (taken as a whole) to perform their payment obligations under the Finance Documents; or</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Legal Reservations, the rights or remedies of any Finance Party under any of the Finance Documents.</w:t>
      </w:r>
    </w:p>
    <w:p>
      <w:pPr>
        <w:spacing w:after="0" w:line="116" w:lineRule="exact"/>
        <w:rPr>
          <w:sz w:val="20"/>
          <w:szCs w:val="20"/>
          <w:color w:val="auto"/>
        </w:rPr>
      </w:pPr>
    </w:p>
    <w:p>
      <w:pPr>
        <w:jc w:val="both"/>
        <w:ind w:left="3"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Project Operation Agreement</w:t>
      </w:r>
      <w:r>
        <w:rPr>
          <w:rFonts w:ascii="Times New Roman" w:cs="Times New Roman" w:eastAsia="Times New Roman" w:hAnsi="Times New Roman"/>
          <w:sz w:val="17"/>
          <w:szCs w:val="17"/>
          <w:color w:val="auto"/>
        </w:rPr>
        <w:t>” means any agreement entered into between, among others, Melco Resorts Macau, the Agent and any counterparty to an Excluded Project Agreement or other participant in or lender to an Excluded Project with regard to the enforcement of rights against and interests in Melco Resorts Macau and its assets.</w:t>
      </w:r>
    </w:p>
    <w:p>
      <w:pPr>
        <w:spacing w:after="0" w:line="55" w:lineRule="exact"/>
        <w:rPr>
          <w:sz w:val="20"/>
          <w:szCs w:val="20"/>
          <w:color w:val="auto"/>
        </w:rPr>
      </w:pPr>
    </w:p>
    <w:p>
      <w:pPr>
        <w:ind w:left="3" w:right="10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Project Revenues</w:t>
      </w:r>
      <w:r>
        <w:rPr>
          <w:rFonts w:ascii="Times New Roman" w:cs="Times New Roman" w:eastAsia="Times New Roman" w:hAnsi="Times New Roman"/>
          <w:sz w:val="17"/>
          <w:szCs w:val="17"/>
          <w:color w:val="auto"/>
        </w:rPr>
        <w:t>” means any Revenues paid, distributed or otherwise derived from or in connection with any Excluded Project, Excluded Project Agreement or Excluded Subsidiary or any right, title, benefit or interest in respect thereof or any realisation, Disposal or other dealing in respect of any of the foregoing (but not, for the avoidance of doubt, including any Revenues of any member of the Group under any agreement referred to in paragraph (d) of the definition of Permitted Transaction).</w:t>
      </w:r>
    </w:p>
    <w:p>
      <w:pPr>
        <w:spacing w:after="0" w:line="102"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13" w:name="page314"/>
    <w:bookmarkEnd w:id="313"/>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Excluded Subsidiary</w:t>
      </w:r>
      <w:r>
        <w:rPr>
          <w:rFonts w:ascii="Times New Roman" w:cs="Times New Roman" w:eastAsia="Times New Roman" w:hAnsi="Times New Roman"/>
          <w:sz w:val="17"/>
          <w:szCs w:val="17"/>
          <w:color w:val="auto"/>
        </w:rPr>
        <w:t>” means any Subsidiary of Melco Resorts Macau:</w:t>
      </w:r>
    </w:p>
    <w:p>
      <w:pPr>
        <w:spacing w:after="0" w:line="133" w:lineRule="exact"/>
        <w:rPr>
          <w:sz w:val="20"/>
          <w:szCs w:val="20"/>
          <w:color w:val="auto"/>
        </w:rPr>
      </w:pPr>
    </w:p>
    <w:p>
      <w:pPr>
        <w:ind w:left="523" w:right="280" w:hanging="523"/>
        <w:spacing w:after="0" w:line="276" w:lineRule="auto"/>
        <w:tabs>
          <w:tab w:leader="none" w:pos="52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which is MCO (Macau) Hotel Limited, MCO (Macau) Consulting Limited, Jumbo Watertours Limited or Melco International Investments (Henan) Limited or (ii) which becomes a Subsidiary of Melco Resorts Macau after the date of this Agreement and has been designated as such by the Company by way of written notice to the Agent; and</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whose assets and business form no part of nor are in any way necessary to ensure the full benefit of any Project to the Group.</w:t>
      </w:r>
    </w:p>
    <w:p>
      <w:pPr>
        <w:spacing w:after="0" w:line="116" w:lineRule="exact"/>
        <w:rPr>
          <w:sz w:val="20"/>
          <w:szCs w:val="20"/>
          <w:color w:val="auto"/>
        </w:rPr>
      </w:pPr>
    </w:p>
    <w:p>
      <w:pPr>
        <w:ind w:left="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Facilities Agreement</w:t>
      </w:r>
      <w:r>
        <w:rPr>
          <w:rFonts w:ascii="Times New Roman" w:cs="Times New Roman" w:eastAsia="Times New Roman" w:hAnsi="Times New Roman"/>
          <w:sz w:val="17"/>
          <w:szCs w:val="17"/>
          <w:color w:val="auto"/>
        </w:rPr>
        <w:t>” means the USD1,750,000,000 Senior Secured Term Loan and Revolving Credit Facilities Agreement dated 5 September 2007 entered into between, amongst others, Melco Resorts Macau as borrower and Deutsche Bank AG, Hong Kong Branch as agent, and most recently amended and restated by a Second Amendment And Restatement Agreement dated 19 June 2015 (as further amended or waived from time to time).</w:t>
      </w:r>
    </w:p>
    <w:p>
      <w:pPr>
        <w:spacing w:after="0" w:line="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w:t>
      </w:r>
      <w:r>
        <w:rPr>
          <w:rFonts w:ascii="Times New Roman" w:cs="Times New Roman" w:eastAsia="Times New Roman" w:hAnsi="Times New Roman"/>
          <w:sz w:val="17"/>
          <w:szCs w:val="17"/>
          <w:color w:val="auto"/>
        </w:rPr>
        <w:t>” means each facility made available under the Existing OpCo Facilities Agreement.</w:t>
      </w:r>
    </w:p>
    <w:p>
      <w:pPr>
        <w:spacing w:after="0" w:line="118" w:lineRule="exact"/>
        <w:rPr>
          <w:sz w:val="20"/>
          <w:szCs w:val="20"/>
          <w:color w:val="auto"/>
        </w:rPr>
      </w:pPr>
    </w:p>
    <w:p>
      <w:pPr>
        <w:ind w:left="3" w:right="1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 Agent</w:t>
      </w:r>
      <w:r>
        <w:rPr>
          <w:rFonts w:ascii="Times New Roman" w:cs="Times New Roman" w:eastAsia="Times New Roman" w:hAnsi="Times New Roman"/>
          <w:sz w:val="17"/>
          <w:szCs w:val="17"/>
          <w:color w:val="auto"/>
        </w:rPr>
        <w:t>” means the agent of the Existing OpCo Facility Finance Parties from time to time under the Existing OpCo Facilities Agreement.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 Continuing Lender</w:t>
      </w:r>
      <w:r>
        <w:rPr>
          <w:rFonts w:ascii="Times New Roman" w:cs="Times New Roman" w:eastAsia="Times New Roman" w:hAnsi="Times New Roman"/>
          <w:sz w:val="17"/>
          <w:szCs w:val="17"/>
          <w:color w:val="auto"/>
        </w:rPr>
        <w:t>” means Bank of China Limited, Macau Branch.</w:t>
      </w:r>
    </w:p>
    <w:p>
      <w:pPr>
        <w:spacing w:after="0" w:line="118" w:lineRule="exact"/>
        <w:rPr>
          <w:sz w:val="20"/>
          <w:szCs w:val="20"/>
          <w:color w:val="auto"/>
        </w:rPr>
      </w:pPr>
    </w:p>
    <w:p>
      <w:pPr>
        <w:ind w:left="3" w:right="18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 Continuing Lender Waiver</w:t>
      </w:r>
      <w:r>
        <w:rPr>
          <w:rFonts w:ascii="Times New Roman" w:cs="Times New Roman" w:eastAsia="Times New Roman" w:hAnsi="Times New Roman"/>
          <w:sz w:val="17"/>
          <w:szCs w:val="17"/>
          <w:color w:val="auto"/>
        </w:rPr>
        <w:t>” means the waiver letter dated on or about the date of this Agreement from the Existing OpCo Facility Continuing Lender to Melco Resorts Macau, the Existing OpCo Facility Agent and the Existing OpCo Facility Security Agent in respect of the Existing OpCo Facility Agreement and a copy of which has been or is to be delivered to the Agent under or in connection with paragraph (a) of Clause 4.1 (</w:t>
      </w:r>
      <w:r>
        <w:rPr>
          <w:rFonts w:ascii="Times New Roman" w:cs="Times New Roman" w:eastAsia="Times New Roman" w:hAnsi="Times New Roman"/>
          <w:sz w:val="17"/>
          <w:szCs w:val="17"/>
          <w:i w:val="1"/>
          <w:iCs w:val="1"/>
          <w:color w:val="auto"/>
        </w:rPr>
        <w:t>Initial conditions precedent</w:t>
      </w:r>
      <w:r>
        <w:rPr>
          <w:rFonts w:ascii="Times New Roman" w:cs="Times New Roman" w:eastAsia="Times New Roman" w:hAnsi="Times New Roman"/>
          <w:sz w:val="17"/>
          <w:szCs w:val="17"/>
          <w:color w:val="auto"/>
        </w:rPr>
        <w:t>).</w:t>
      </w:r>
    </w:p>
    <w:p>
      <w:pPr>
        <w:spacing w:after="0" w:line="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 Finance Parties</w:t>
      </w:r>
      <w:r>
        <w:rPr>
          <w:rFonts w:ascii="Times New Roman" w:cs="Times New Roman" w:eastAsia="Times New Roman" w:hAnsi="Times New Roman"/>
          <w:sz w:val="17"/>
          <w:szCs w:val="17"/>
          <w:color w:val="auto"/>
        </w:rPr>
        <w:t>” means the finance parties from time to time in respect of the Existing OpCo Facilities.</w:t>
      </w:r>
    </w:p>
    <w:p>
      <w:pPr>
        <w:spacing w:after="0" w:line="118" w:lineRule="exact"/>
        <w:rPr>
          <w:sz w:val="20"/>
          <w:szCs w:val="20"/>
          <w:color w:val="auto"/>
        </w:rPr>
      </w:pPr>
    </w:p>
    <w:p>
      <w:pPr>
        <w:ind w:left="3" w:right="2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Facility Security Agent</w:t>
      </w:r>
      <w:r>
        <w:rPr>
          <w:rFonts w:ascii="Times New Roman" w:cs="Times New Roman" w:eastAsia="Times New Roman" w:hAnsi="Times New Roman"/>
          <w:sz w:val="17"/>
          <w:szCs w:val="17"/>
          <w:color w:val="auto"/>
        </w:rPr>
        <w:t>” means the security agent of the Existing OpCo Facility Finance Parties from time to time under the Existing OpCo Facilities Agreement.</w:t>
      </w:r>
    </w:p>
    <w:p>
      <w:pPr>
        <w:spacing w:after="0" w:line="37" w:lineRule="exact"/>
        <w:rPr>
          <w:sz w:val="20"/>
          <w:szCs w:val="20"/>
          <w:color w:val="auto"/>
        </w:rPr>
      </w:pPr>
    </w:p>
    <w:p>
      <w:pPr>
        <w:ind w:left="3"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Loan</w:t>
      </w:r>
      <w:r>
        <w:rPr>
          <w:rFonts w:ascii="Times New Roman" w:cs="Times New Roman" w:eastAsia="Times New Roman" w:hAnsi="Times New Roman"/>
          <w:sz w:val="17"/>
          <w:szCs w:val="17"/>
          <w:color w:val="auto"/>
        </w:rPr>
        <w:t>” means a loan made or to be made under any Existing OpCo Facility or the principal amount outstanding for the time being of that loan.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Term Facility</w:t>
      </w:r>
      <w:r>
        <w:rPr>
          <w:rFonts w:ascii="Times New Roman" w:cs="Times New Roman" w:eastAsia="Times New Roman" w:hAnsi="Times New Roman"/>
          <w:sz w:val="17"/>
          <w:szCs w:val="17"/>
          <w:color w:val="auto"/>
        </w:rPr>
        <w:t>” means the term loan facility made available under the Existing OpCo Facilities Agreement.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Term Loan</w:t>
      </w:r>
      <w:r>
        <w:rPr>
          <w:rFonts w:ascii="Times New Roman" w:cs="Times New Roman" w:eastAsia="Times New Roman" w:hAnsi="Times New Roman"/>
          <w:sz w:val="17"/>
          <w:szCs w:val="17"/>
          <w:color w:val="auto"/>
        </w:rPr>
        <w:t>” means an Existing OpCo Loan made under the Existing OpCo Term Facility.</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RCF</w:t>
      </w:r>
      <w:r>
        <w:rPr>
          <w:rFonts w:ascii="Times New Roman" w:cs="Times New Roman" w:eastAsia="Times New Roman" w:hAnsi="Times New Roman"/>
          <w:sz w:val="17"/>
          <w:szCs w:val="17"/>
          <w:color w:val="auto"/>
        </w:rPr>
        <w:t>” means the revolving credit facility made available under the Existing OpCo Facilities Agreement.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OpCo RCF Loan</w:t>
      </w:r>
      <w:r>
        <w:rPr>
          <w:rFonts w:ascii="Times New Roman" w:cs="Times New Roman" w:eastAsia="Times New Roman" w:hAnsi="Times New Roman"/>
          <w:sz w:val="17"/>
          <w:szCs w:val="17"/>
          <w:color w:val="auto"/>
        </w:rPr>
        <w:t>” means an Existing OpCo Loan made under the Existing OpCo RCF.</w:t>
      </w:r>
    </w:p>
    <w:p>
      <w:pPr>
        <w:spacing w:after="0" w:line="118" w:lineRule="exact"/>
        <w:rPr>
          <w:sz w:val="20"/>
          <w:szCs w:val="20"/>
          <w:color w:val="auto"/>
        </w:rPr>
      </w:pPr>
    </w:p>
    <w:p>
      <w:pPr>
        <w:ind w:left="3" w:right="1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Extended Loan</w:t>
      </w:r>
      <w:r>
        <w:rPr>
          <w:rFonts w:ascii="Times New Roman" w:cs="Times New Roman" w:eastAsia="Times New Roman" w:hAnsi="Times New Roman"/>
          <w:sz w:val="17"/>
          <w:szCs w:val="17"/>
          <w:color w:val="auto"/>
        </w:rPr>
        <w:t>” means a Loan or part of a Loan in respect of which the Company and the relevant Lender(s) have agreed to amend certain terms pursuant to an Extension Agreement.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Extension Agreement</w:t>
      </w:r>
      <w:r>
        <w:rPr>
          <w:rFonts w:ascii="Times New Roman" w:cs="Times New Roman" w:eastAsia="Times New Roman" w:hAnsi="Times New Roman"/>
          <w:sz w:val="17"/>
          <w:szCs w:val="17"/>
          <w:color w:val="auto"/>
        </w:rPr>
        <w:t>” has the meaning given to that term in Clause 38.3 (</w:t>
      </w:r>
      <w:r>
        <w:rPr>
          <w:rFonts w:ascii="Times New Roman" w:cs="Times New Roman" w:eastAsia="Times New Roman" w:hAnsi="Times New Roman"/>
          <w:sz w:val="17"/>
          <w:szCs w:val="17"/>
          <w:i w:val="1"/>
          <w:iCs w:val="1"/>
          <w:color w:val="auto"/>
        </w:rPr>
        <w:t>Extension of Commitments</w:t>
      </w:r>
      <w:r>
        <w:rPr>
          <w:rFonts w:ascii="Times New Roman" w:cs="Times New Roman" w:eastAsia="Times New Roman" w:hAnsi="Times New Roman"/>
          <w:sz w:val="17"/>
          <w:szCs w:val="17"/>
          <w:color w:val="auto"/>
        </w:rPr>
        <w:t>).</w:t>
      </w:r>
    </w:p>
    <w:p>
      <w:pPr>
        <w:spacing w:after="0" w:line="159"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14" w:name="page315"/>
    <w:bookmarkEnd w:id="314"/>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means the Initial Facility and (as applicable and so designated in an Incremental Facility Notice) each Incremental Facility.</w:t>
      </w:r>
    </w:p>
    <w:p>
      <w:pPr>
        <w:spacing w:after="0" w:line="118" w:lineRule="exact"/>
        <w:rPr>
          <w:sz w:val="20"/>
          <w:szCs w:val="20"/>
          <w:color w:val="auto"/>
        </w:rPr>
      </w:pPr>
    </w:p>
    <w:p>
      <w:pPr>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Facility Liabilities</w:t>
      </w:r>
      <w:r>
        <w:rPr>
          <w:rFonts w:ascii="Times New Roman" w:cs="Times New Roman" w:eastAsia="Times New Roman" w:hAnsi="Times New Roman"/>
          <w:sz w:val="17"/>
          <w:szCs w:val="17"/>
          <w:color w:val="auto"/>
        </w:rPr>
        <w:t>” means all present and future liabilities and obligations at any time of any member of the Group to any Finance Party under or in connection with the Finance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70" w:lineRule="exact"/>
        <w:rPr>
          <w:sz w:val="20"/>
          <w:szCs w:val="20"/>
          <w:color w:val="auto"/>
        </w:rPr>
      </w:pPr>
    </w:p>
    <w:p>
      <w:pPr>
        <w:ind w:left="523" w:hanging="523"/>
        <w:spacing w:after="0"/>
        <w:tabs>
          <w:tab w:leader="none" w:pos="523"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refinancing, novation, deferral or extension;</w:t>
      </w:r>
    </w:p>
    <w:p>
      <w:pPr>
        <w:spacing w:after="0" w:line="131" w:lineRule="exact"/>
        <w:rPr>
          <w:rFonts w:ascii="Times New Roman" w:cs="Times New Roman" w:eastAsia="Times New Roman" w:hAnsi="Times New Roman"/>
          <w:sz w:val="17"/>
          <w:szCs w:val="17"/>
          <w:color w:val="auto"/>
        </w:rPr>
      </w:pPr>
    </w:p>
    <w:p>
      <w:pPr>
        <w:ind w:left="523" w:right="160" w:hanging="523"/>
        <w:spacing w:after="0" w:line="295" w:lineRule="auto"/>
        <w:tabs>
          <w:tab w:leader="none" w:pos="523"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for damages or restitution; and</w:t>
      </w:r>
    </w:p>
    <w:p>
      <w:pPr>
        <w:spacing w:after="0" w:line="131" w:lineRule="exact"/>
        <w:rPr>
          <w:rFonts w:ascii="Times New Roman" w:cs="Times New Roman" w:eastAsia="Times New Roman" w:hAnsi="Times New Roman"/>
          <w:sz w:val="17"/>
          <w:szCs w:val="17"/>
          <w:color w:val="auto"/>
        </w:rPr>
      </w:pPr>
    </w:p>
    <w:p>
      <w:pPr>
        <w:ind w:left="523" w:right="20" w:hanging="523"/>
        <w:spacing w:after="0" w:line="295" w:lineRule="auto"/>
        <w:tabs>
          <w:tab w:leader="none" w:pos="523"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as a result of any recovery by any person of a payment, prepayment, repayment, redemption, defeasance or discharge of any liability or obligation on the grounds of preference or otherwise,</w:t>
      </w:r>
    </w:p>
    <w:p>
      <w:pPr>
        <w:spacing w:after="0" w:line="42" w:lineRule="exact"/>
        <w:rPr>
          <w:sz w:val="20"/>
          <w:szCs w:val="20"/>
          <w:color w:val="auto"/>
        </w:rPr>
      </w:pPr>
    </w:p>
    <w:p>
      <w:pPr>
        <w:ind w:left="3" w:right="220"/>
        <w:spacing w:after="0" w:line="295" w:lineRule="auto"/>
        <w:rPr>
          <w:sz w:val="20"/>
          <w:szCs w:val="20"/>
          <w:color w:val="auto"/>
        </w:rPr>
      </w:pPr>
      <w:r>
        <w:rPr>
          <w:rFonts w:ascii="Times New Roman" w:cs="Times New Roman" w:eastAsia="Times New Roman" w:hAnsi="Times New Roman"/>
          <w:sz w:val="17"/>
          <w:szCs w:val="17"/>
          <w:color w:val="auto"/>
        </w:rPr>
        <w:t>and any amounts which would be included in any of the above but for any discharge, non-provability, unenforceability or non-allowance of those amounts in any insolvency or other proceedings.</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Facility Office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jc w:val="both"/>
        <w:ind w:left="523" w:right="160" w:hanging="523"/>
        <w:spacing w:after="0" w:line="276" w:lineRule="auto"/>
        <w:tabs>
          <w:tab w:leader="none" w:pos="52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Lender, the office or offices notified by that Lender to the Agent in writing on or before the date it becomes a Lender (or, following that date, by not less than five (5) Business Days’ written notice) as the office or offices through which it will perform its obligations under this Agreement; or</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any other Finance Party, the office in the jurisdiction in which it is resident for tax purposes.</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Fallback Interest Payment</w:t>
      </w:r>
      <w:r>
        <w:rPr>
          <w:rFonts w:ascii="Times New Roman" w:cs="Times New Roman" w:eastAsia="Times New Roman" w:hAnsi="Times New Roman"/>
          <w:sz w:val="17"/>
          <w:szCs w:val="17"/>
          <w:color w:val="auto"/>
        </w:rPr>
        <w:t>” means the aggregate amount of interest that:</w:t>
      </w:r>
    </w:p>
    <w:p>
      <w:pPr>
        <w:spacing w:after="0" w:line="131" w:lineRule="exact"/>
        <w:rPr>
          <w:sz w:val="20"/>
          <w:szCs w:val="20"/>
          <w:color w:val="auto"/>
        </w:rPr>
      </w:pPr>
    </w:p>
    <w:p>
      <w:pPr>
        <w:ind w:left="523" w:hanging="523"/>
        <w:spacing w:after="0"/>
        <w:tabs>
          <w:tab w:leader="none" w:pos="523"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is scheduled to become, payable under paragraph (b) or (c) of Clause 14.5 (</w:t>
      </w:r>
      <w:r>
        <w:rPr>
          <w:rFonts w:ascii="Times New Roman" w:cs="Times New Roman" w:eastAsia="Times New Roman" w:hAnsi="Times New Roman"/>
          <w:sz w:val="17"/>
          <w:szCs w:val="17"/>
          <w:i w:val="1"/>
          <w:iCs w:val="1"/>
          <w:color w:val="auto"/>
        </w:rPr>
        <w:t>Unavailability of Term SOFR</w:t>
      </w:r>
      <w:r>
        <w:rPr>
          <w:rFonts w:ascii="Times New Roman" w:cs="Times New Roman" w:eastAsia="Times New Roman" w:hAnsi="Times New Roman"/>
          <w:sz w:val="17"/>
          <w:szCs w:val="17"/>
          <w:color w:val="auto"/>
        </w:rPr>
        <w:t>); and</w:t>
      </w:r>
    </w:p>
    <w:p>
      <w:pPr>
        <w:spacing w:after="0" w:line="133"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a Term SOFR Loan.</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sections 1471 to 1474 of the Code or any associated regulations;</w:t>
      </w:r>
    </w:p>
    <w:p>
      <w:pPr>
        <w:spacing w:after="0" w:line="131" w:lineRule="exact"/>
        <w:rPr>
          <w:rFonts w:ascii="Times New Roman" w:cs="Times New Roman" w:eastAsia="Times New Roman" w:hAnsi="Times New Roman"/>
          <w:sz w:val="17"/>
          <w:szCs w:val="17"/>
          <w:color w:val="auto"/>
        </w:rPr>
      </w:pPr>
    </w:p>
    <w:p>
      <w:pPr>
        <w:ind w:left="523" w:right="300" w:hanging="523"/>
        <w:spacing w:after="0" w:line="295" w:lineRule="auto"/>
        <w:tabs>
          <w:tab w:leader="none" w:pos="52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55" w:lineRule="exact"/>
        <w:rPr>
          <w:rFonts w:ascii="Times New Roman" w:cs="Times New Roman" w:eastAsia="Times New Roman" w:hAnsi="Times New Roman"/>
          <w:sz w:val="17"/>
          <w:szCs w:val="17"/>
          <w:color w:val="auto"/>
        </w:rPr>
      </w:pPr>
    </w:p>
    <w:p>
      <w:pPr>
        <w:ind w:left="523" w:right="280" w:hanging="523"/>
        <w:spacing w:after="0" w:line="295" w:lineRule="auto"/>
        <w:tabs>
          <w:tab w:leader="none" w:pos="52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15" w:name="page316"/>
    <w:bookmarkEnd w:id="315"/>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FATCA Application Date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400" w:hanging="523"/>
        <w:spacing w:after="0" w:line="295" w:lineRule="auto"/>
        <w:tabs>
          <w:tab w:leader="none" w:pos="523"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“withholdable payment” described in section 1473(1)(A)(i) of the Code (which relates to payments of interest and certain other payments from sources within the US), 1 July 2014; or</w:t>
      </w:r>
    </w:p>
    <w:p>
      <w:pPr>
        <w:spacing w:after="0" w:line="55" w:lineRule="exact"/>
        <w:rPr>
          <w:rFonts w:ascii="Times New Roman" w:cs="Times New Roman" w:eastAsia="Times New Roman" w:hAnsi="Times New Roman"/>
          <w:sz w:val="17"/>
          <w:szCs w:val="17"/>
          <w:color w:val="auto"/>
        </w:rPr>
      </w:pPr>
    </w:p>
    <w:p>
      <w:pPr>
        <w:ind w:left="523" w:right="240" w:hanging="523"/>
        <w:spacing w:after="0" w:line="295" w:lineRule="auto"/>
        <w:tabs>
          <w:tab w:leader="none" w:pos="523"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“passthru payment” described in section 1471(d)(7) of the Code not falling within paragraph (a) above, the first date from which such payment may become subject to a deduction or withholding required by FATCA.</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 Deduction</w:t>
      </w:r>
      <w:r>
        <w:rPr>
          <w:rFonts w:ascii="Times New Roman" w:cs="Times New Roman" w:eastAsia="Times New Roman" w:hAnsi="Times New Roman"/>
          <w:sz w:val="17"/>
          <w:szCs w:val="17"/>
          <w:color w:val="auto"/>
        </w:rPr>
        <w:t>” means a deduction or withholding from a payment under a Finance Document required by FATCA.</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 Exempt Party</w:t>
      </w:r>
      <w:r>
        <w:rPr>
          <w:rFonts w:ascii="Times New Roman" w:cs="Times New Roman" w:eastAsia="Times New Roman" w:hAnsi="Times New Roman"/>
          <w:sz w:val="17"/>
          <w:szCs w:val="17"/>
          <w:color w:val="auto"/>
        </w:rPr>
        <w:t>” means a Party that is entitled to receive payments free from any FATCA Deduction.</w:t>
      </w:r>
    </w:p>
    <w:p>
      <w:pPr>
        <w:spacing w:after="0" w:line="118" w:lineRule="exact"/>
        <w:rPr>
          <w:sz w:val="20"/>
          <w:szCs w:val="20"/>
          <w:color w:val="auto"/>
        </w:rPr>
      </w:pPr>
    </w:p>
    <w:p>
      <w:pPr>
        <w:ind w:left="3" w:right="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Fee Letter</w:t>
      </w:r>
      <w:r>
        <w:rPr>
          <w:rFonts w:ascii="Times New Roman" w:cs="Times New Roman" w:eastAsia="Times New Roman" w:hAnsi="Times New Roman"/>
          <w:sz w:val="17"/>
          <w:szCs w:val="17"/>
          <w:color w:val="auto"/>
        </w:rPr>
        <w:t>” means each letter or letters referring to this Agreement or any Facility between (a) on the one hand, the Company and (b) on the other, one or more of the Arrangers or the Agent and setting out any of the fees referred to in Clause 15 (</w:t>
      </w:r>
      <w:r>
        <w:rPr>
          <w:rFonts w:ascii="Times New Roman" w:cs="Times New Roman" w:eastAsia="Times New Roman" w:hAnsi="Times New Roman"/>
          <w:sz w:val="17"/>
          <w:szCs w:val="17"/>
          <w:i w:val="1"/>
          <w:iCs w:val="1"/>
          <w:color w:val="auto"/>
        </w:rPr>
        <w:t>Fees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9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Final Termination Date</w:t>
      </w:r>
      <w:r>
        <w:rPr>
          <w:rFonts w:ascii="Times New Roman" w:cs="Times New Roman" w:eastAsia="Times New Roman" w:hAnsi="Times New Roman"/>
          <w:sz w:val="17"/>
          <w:szCs w:val="17"/>
          <w:color w:val="auto"/>
        </w:rPr>
        <w:t>” means, at any time, the furthest dated Termination Date in respect of any Facility where the aggregate Commitments in respect of such Facility exceed zero.</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Finance Document</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Guarantee;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Subordination Deed and each other Third Party Creditor Document;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 Letter;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Compliance Certificate;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Selection Notice;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Certificate or Assignment Agreement;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Utilisation Request;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Facility Notice;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Lender Accession Deed;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Facility Document;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Amendment and Restatement Agreement; and</w:t>
      </w:r>
    </w:p>
    <w:p>
      <w:pPr>
        <w:spacing w:after="0" w:line="131" w:lineRule="exact"/>
        <w:rPr>
          <w:rFonts w:ascii="Times New Roman" w:cs="Times New Roman" w:eastAsia="Times New Roman" w:hAnsi="Times New Roman"/>
          <w:sz w:val="17"/>
          <w:szCs w:val="17"/>
          <w:color w:val="auto"/>
        </w:rPr>
      </w:pPr>
    </w:p>
    <w:p>
      <w:pPr>
        <w:ind w:left="3" w:right="3160" w:hanging="3"/>
        <w:spacing w:after="0" w:line="383" w:lineRule="auto"/>
        <w:tabs>
          <w:tab w:leader="none" w:pos="52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document designated as a “Finance Document” by the Agent and the Company. “</w:t>
      </w:r>
      <w:r>
        <w:rPr>
          <w:rFonts w:ascii="Times New Roman" w:cs="Times New Roman" w:eastAsia="Times New Roman" w:hAnsi="Times New Roman"/>
          <w:sz w:val="17"/>
          <w:szCs w:val="17"/>
          <w:b w:val="1"/>
          <w:bCs w:val="1"/>
          <w:color w:val="auto"/>
        </w:rPr>
        <w:t>Finance Party</w:t>
      </w:r>
      <w:r>
        <w:rPr>
          <w:rFonts w:ascii="Times New Roman" w:cs="Times New Roman" w:eastAsia="Times New Roman" w:hAnsi="Times New Roman"/>
          <w:sz w:val="17"/>
          <w:szCs w:val="17"/>
          <w:color w:val="auto"/>
        </w:rPr>
        <w:t>” means each of the Agent, the Arrangers and the Lenders.</w:t>
      </w:r>
    </w:p>
    <w:p>
      <w:pPr>
        <w:spacing w:after="0" w:line="1" w:lineRule="exact"/>
        <w:rPr>
          <w:rFonts w:ascii="Times New Roman" w:cs="Times New Roman" w:eastAsia="Times New Roman" w:hAnsi="Times New Roman"/>
          <w:sz w:val="17"/>
          <w:szCs w:val="17"/>
          <w:color w:val="auto"/>
        </w:rPr>
      </w:pPr>
    </w:p>
    <w:p>
      <w:pPr>
        <w:ind w:left="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Indebtedness</w:t>
      </w:r>
      <w:r>
        <w:rPr>
          <w:rFonts w:ascii="Times New Roman" w:cs="Times New Roman" w:eastAsia="Times New Roman" w:hAnsi="Times New Roman"/>
          <w:sz w:val="17"/>
          <w:szCs w:val="17"/>
          <w:color w:val="auto"/>
        </w:rPr>
        <w:t>” means any indebtedness for or in respect of:</w:t>
      </w:r>
    </w:p>
    <w:p>
      <w:pPr>
        <w:spacing w:after="0" w:line="133" w:lineRule="exact"/>
        <w:rPr>
          <w:sz w:val="20"/>
          <w:szCs w:val="20"/>
          <w:color w:val="auto"/>
        </w:rPr>
      </w:pPr>
    </w:p>
    <w:p>
      <w:pPr>
        <w:ind w:left="523" w:hanging="523"/>
        <w:spacing w:after="0"/>
        <w:tabs>
          <w:tab w:leader="none" w:pos="523"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monies borrowed;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by acceptance under any acceptance credit facility or dematerialised equivalent;</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16" w:name="page317"/>
    <w:bookmarkEnd w:id="316"/>
    <w:p>
      <w:pPr>
        <w:ind w:left="523" w:hanging="523"/>
        <w:spacing w:after="0"/>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any amount raised pursuant to any note purchase facility or the issue of bonds, notes, debentures, loan stock or any similar instrument;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Capitalised Lease Obligations;</w:t>
      </w:r>
    </w:p>
    <w:p>
      <w:pPr>
        <w:spacing w:after="0" w:line="131"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receivables sold or discounted (other than any receivables to the extent they are sold or discounted on a non-recourse basis (or where recourse is limited to customary warranties and indemnities));</w:t>
      </w:r>
    </w:p>
    <w:p>
      <w:pPr>
        <w:spacing w:after="0" w:line="55" w:lineRule="exact"/>
        <w:rPr>
          <w:rFonts w:ascii="Times New Roman" w:cs="Times New Roman" w:eastAsia="Times New Roman" w:hAnsi="Times New Roman"/>
          <w:sz w:val="17"/>
          <w:szCs w:val="17"/>
          <w:color w:val="auto"/>
        </w:rPr>
      </w:pPr>
    </w:p>
    <w:p>
      <w:pPr>
        <w:ind w:left="523" w:right="160" w:hanging="523"/>
        <w:spacing w:after="0" w:line="276"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Treasury Transaction (and, when calculating the value of that Treasury Transaction, only the marked-to-market value as at the relevant date on which Financial Indebtedness is calculated (or, if any actual amount is due as a result of the termination or close-out of that Treasury Transaction, that amount) shall be taken into account);</w:t>
      </w:r>
    </w:p>
    <w:p>
      <w:pPr>
        <w:spacing w:after="0" w:line="70" w:lineRule="exact"/>
        <w:rPr>
          <w:rFonts w:ascii="Times New Roman" w:cs="Times New Roman" w:eastAsia="Times New Roman" w:hAnsi="Times New Roman"/>
          <w:sz w:val="17"/>
          <w:szCs w:val="17"/>
          <w:color w:val="auto"/>
        </w:rPr>
      </w:pPr>
    </w:p>
    <w:p>
      <w:pPr>
        <w:ind w:left="523" w:right="420" w:hanging="523"/>
        <w:spacing w:after="0" w:line="295"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counter-indemnity obligation in respect of a guarantee, bond, standby or documentary letter of credit or any other instrument issued by a bank or financial institution;</w:t>
      </w:r>
    </w:p>
    <w:p>
      <w:pPr>
        <w:spacing w:after="0" w:line="55" w:lineRule="exact"/>
        <w:rPr>
          <w:rFonts w:ascii="Times New Roman" w:cs="Times New Roman" w:eastAsia="Times New Roman" w:hAnsi="Times New Roman"/>
          <w:sz w:val="17"/>
          <w:szCs w:val="17"/>
          <w:color w:val="auto"/>
        </w:rPr>
      </w:pPr>
    </w:p>
    <w:p>
      <w:pPr>
        <w:ind w:left="523" w:right="40" w:hanging="523"/>
        <w:spacing w:after="0" w:line="276"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of any liability under an advance or deferred purchase agreement if (i) one of the primary reasons behind entering into the agreement is to raise finance or (ii) the agreement is in respect of the supply of assets or services and payment is due more than 180 days after the date of supply;</w:t>
      </w:r>
    </w:p>
    <w:p>
      <w:pPr>
        <w:spacing w:after="0" w:line="70"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by the issue of redeemable shares which are redeemable (other than solely at the option of the issuer) on or before the Final Termination Date ;</w:t>
      </w:r>
    </w:p>
    <w:p>
      <w:pPr>
        <w:spacing w:after="0" w:line="55" w:lineRule="exact"/>
        <w:rPr>
          <w:rFonts w:ascii="Times New Roman" w:cs="Times New Roman" w:eastAsia="Times New Roman" w:hAnsi="Times New Roman"/>
          <w:sz w:val="17"/>
          <w:szCs w:val="17"/>
          <w:color w:val="auto"/>
        </w:rPr>
      </w:pPr>
    </w:p>
    <w:p>
      <w:pPr>
        <w:ind w:left="523" w:right="500" w:hanging="523"/>
        <w:spacing w:after="0" w:line="295" w:lineRule="auto"/>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under any other transaction (including any forward sale or purchase, sale and sale back or sale and leaseback agreement) having the commercial effect of a borrowing; and</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liability in respect of any guarantee for any of the items referred to in paragraphs (a) to (j) above.</w:t>
      </w:r>
    </w:p>
    <w:p>
      <w:pPr>
        <w:spacing w:after="0" w:line="116" w:lineRule="exact"/>
        <w:rPr>
          <w:sz w:val="20"/>
          <w:szCs w:val="20"/>
          <w:color w:val="auto"/>
        </w:rPr>
      </w:pPr>
    </w:p>
    <w:p>
      <w:pPr>
        <w:ind w:left="3" w:right="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Model</w:t>
      </w:r>
      <w:r>
        <w:rPr>
          <w:rFonts w:ascii="Times New Roman" w:cs="Times New Roman" w:eastAsia="Times New Roman" w:hAnsi="Times New Roman"/>
          <w:sz w:val="17"/>
          <w:szCs w:val="17"/>
          <w:color w:val="auto"/>
        </w:rPr>
        <w:t>” means the final version of the financial model agreed between the Company and the Arrangers prior to the signing of this Agreement.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Quarter</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Year</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Test Date</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Funding Rate</w:t>
      </w:r>
      <w:r>
        <w:rPr>
          <w:rFonts w:ascii="Times New Roman" w:cs="Times New Roman" w:eastAsia="Times New Roman" w:hAnsi="Times New Roman"/>
          <w:sz w:val="17"/>
          <w:szCs w:val="17"/>
          <w:color w:val="auto"/>
        </w:rPr>
        <w:t>” means any individual rate notified by a Lender to the Agent pursuant to paragraph (a)(ii) of Clause 14.6 (</w:t>
      </w:r>
      <w:r>
        <w:rPr>
          <w:rFonts w:ascii="Times New Roman" w:cs="Times New Roman" w:eastAsia="Times New Roman" w:hAnsi="Times New Roman"/>
          <w:sz w:val="17"/>
          <w:szCs w:val="17"/>
          <w:i w:val="1"/>
          <w:iCs w:val="1"/>
          <w:color w:val="auto"/>
        </w:rPr>
        <w:t>Cost of Funds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1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in respect of Melco, the Company and other members of the Group, generally accepted accounting principles in the United States of America as in effect from time to time.</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GBP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sterling</w:t>
      </w:r>
      <w:r>
        <w:rPr>
          <w:rFonts w:ascii="Times New Roman" w:cs="Times New Roman" w:eastAsia="Times New Roman" w:hAnsi="Times New Roman"/>
          <w:sz w:val="17"/>
          <w:szCs w:val="17"/>
          <w:color w:val="auto"/>
        </w:rPr>
        <w:t>” denotes the lawful currency of the United Kingdom.</w:t>
      </w:r>
    </w:p>
    <w:p>
      <w:pPr>
        <w:spacing w:after="0" w:line="118" w:lineRule="exact"/>
        <w:rPr>
          <w:sz w:val="20"/>
          <w:szCs w:val="20"/>
          <w:color w:val="auto"/>
        </w:rPr>
      </w:pPr>
    </w:p>
    <w:p>
      <w:pPr>
        <w:ind w:left="3" w:right="12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63" w:lineRule="exact"/>
        <w:rPr>
          <w:sz w:val="20"/>
          <w:szCs w:val="20"/>
          <w:color w:val="auto"/>
        </w:rPr>
      </w:pPr>
    </w:p>
    <w:p>
      <w:pPr>
        <w:ind w:left="3" w:right="2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the Company and each of its Subsidiaries for the time being (other than any Excluded Subsidiary) and “</w:t>
      </w:r>
      <w:r>
        <w:rPr>
          <w:rFonts w:ascii="Times New Roman" w:cs="Times New Roman" w:eastAsia="Times New Roman" w:hAnsi="Times New Roman"/>
          <w:sz w:val="17"/>
          <w:szCs w:val="17"/>
          <w:b w:val="1"/>
          <w:bCs w:val="1"/>
          <w:color w:val="auto"/>
        </w:rPr>
        <w:t>Group Member</w:t>
      </w:r>
      <w:r>
        <w:rPr>
          <w:rFonts w:ascii="Times New Roman" w:cs="Times New Roman" w:eastAsia="Times New Roman" w:hAnsi="Times New Roman"/>
          <w:sz w:val="17"/>
          <w:szCs w:val="17"/>
          <w:color w:val="auto"/>
        </w:rPr>
        <w:t>” shall mean any member of the Group.</w:t>
      </w:r>
    </w:p>
    <w:p>
      <w:pPr>
        <w:spacing w:after="0" w:line="78"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17" w:name="page318"/>
    <w:bookmarkEnd w:id="317"/>
    <w:p>
      <w:pPr>
        <w:ind w:left="3" w:right="6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Guarantee Restrictions</w:t>
      </w:r>
      <w:r>
        <w:rPr>
          <w:rFonts w:ascii="Times New Roman" w:cs="Times New Roman" w:eastAsia="Times New Roman" w:hAnsi="Times New Roman"/>
          <w:sz w:val="17"/>
          <w:szCs w:val="17"/>
          <w:color w:val="auto"/>
        </w:rPr>
        <w:t>” means any restrictions of a type referred to in paragraph (b) of clause 2.1 (</w:t>
      </w:r>
      <w:r>
        <w:rPr>
          <w:rFonts w:ascii="Times New Roman" w:cs="Times New Roman" w:eastAsia="Times New Roman" w:hAnsi="Times New Roman"/>
          <w:sz w:val="17"/>
          <w:szCs w:val="17"/>
          <w:i w:val="1"/>
          <w:iCs w:val="1"/>
          <w:color w:val="auto"/>
        </w:rPr>
        <w:t>Guarantee and indemnity</w:t>
      </w:r>
      <w:r>
        <w:rPr>
          <w:rFonts w:ascii="Times New Roman" w:cs="Times New Roman" w:eastAsia="Times New Roman" w:hAnsi="Times New Roman"/>
          <w:sz w:val="17"/>
          <w:szCs w:val="17"/>
          <w:color w:val="auto"/>
        </w:rPr>
        <w:t>) of the MRM Subsidiary Guarantee (or any other restrictions that are similar in nature and/or effect).</w:t>
      </w:r>
    </w:p>
    <w:p>
      <w:pPr>
        <w:spacing w:after="0" w:line="37" w:lineRule="exact"/>
        <w:rPr>
          <w:sz w:val="20"/>
          <w:szCs w:val="20"/>
          <w:color w:val="auto"/>
        </w:rPr>
      </w:pPr>
    </w:p>
    <w:p>
      <w:pPr>
        <w:ind w:left="3" w:right="1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Guarantors’ Agent</w:t>
      </w:r>
      <w:r>
        <w:rPr>
          <w:rFonts w:ascii="Times New Roman" w:cs="Times New Roman" w:eastAsia="Times New Roman" w:hAnsi="Times New Roman"/>
          <w:sz w:val="17"/>
          <w:szCs w:val="17"/>
          <w:color w:val="auto"/>
        </w:rPr>
        <w:t>” means the Company, appointed to act on behalf of each Subsidiary Guarantor in relation to the Subsidiary Guarantee to which that Subsidiary Guarantor is a party.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HIBOR</w:t>
      </w:r>
      <w:r>
        <w:rPr>
          <w:rFonts w:ascii="Times New Roman" w:cs="Times New Roman" w:eastAsia="Times New Roman" w:hAnsi="Times New Roman"/>
          <w:sz w:val="17"/>
          <w:szCs w:val="17"/>
          <w:color w:val="auto"/>
        </w:rPr>
        <w:t>” means, in relation to any Loan denominated in HK dollars and any Interest Period relating thereto:</w:t>
      </w:r>
    </w:p>
    <w:p>
      <w:pPr>
        <w:spacing w:after="0" w:line="133" w:lineRule="exact"/>
        <w:rPr>
          <w:sz w:val="20"/>
          <w:szCs w:val="20"/>
          <w:color w:val="auto"/>
        </w:rPr>
      </w:pPr>
    </w:p>
    <w:p>
      <w:pPr>
        <w:ind w:left="523" w:hanging="523"/>
        <w:spacing w:after="0"/>
        <w:tabs>
          <w:tab w:leader="none" w:pos="523"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w:t>
      </w:r>
    </w:p>
    <w:p>
      <w:pPr>
        <w:spacing w:after="0" w:line="131" w:lineRule="exact"/>
        <w:rPr>
          <w:rFonts w:ascii="Times New Roman" w:cs="Times New Roman" w:eastAsia="Times New Roman" w:hAnsi="Times New Roman"/>
          <w:sz w:val="17"/>
          <w:szCs w:val="17"/>
          <w:color w:val="auto"/>
        </w:rPr>
      </w:pPr>
    </w:p>
    <w:p>
      <w:pPr>
        <w:ind w:left="523" w:right="200" w:hanging="523"/>
        <w:spacing w:after="0" w:line="295" w:lineRule="auto"/>
        <w:tabs>
          <w:tab w:leader="none" w:pos="523"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Screen Rate is available for HK dollars for a period equal in length to the Interest Period of that Loan) the Interpolated Screen Rate; or</w:t>
      </w:r>
    </w:p>
    <w:p>
      <w:pPr>
        <w:spacing w:after="0" w:line="55" w:lineRule="exact"/>
        <w:rPr>
          <w:rFonts w:ascii="Times New Roman" w:cs="Times New Roman" w:eastAsia="Times New Roman" w:hAnsi="Times New Roman"/>
          <w:sz w:val="17"/>
          <w:szCs w:val="17"/>
          <w:color w:val="auto"/>
        </w:rPr>
      </w:pPr>
    </w:p>
    <w:p>
      <w:pPr>
        <w:ind w:left="523" w:right="20" w:hanging="523"/>
        <w:spacing w:after="0" w:line="266" w:lineRule="auto"/>
        <w:tabs>
          <w:tab w:leader="none" w:pos="523"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Screen Rate is available for a period equal in length to the Interest Period of that Loan and it is not possible to calculate an Interpolated Screen Rate for that Loan) the arithmetic mean of the rates (rounded upwards to four decimal places) as supplied to the Agent at its request quoted by the Reference Banks as the rate at which the relevant Reference Bank could borrow funds in HK dollars in the Relevant Interbank Market for the relevant period, were the relevant Reference Bank to do so by asking for and then accepting interbank offers for deposits in reasonably market size in HK dollars and for that period,</w:t>
      </w:r>
    </w:p>
    <w:p>
      <w:pPr>
        <w:spacing w:after="0" w:line="67" w:lineRule="exact"/>
        <w:rPr>
          <w:sz w:val="20"/>
          <w:szCs w:val="20"/>
          <w:color w:val="auto"/>
        </w:rPr>
      </w:pPr>
    </w:p>
    <w:p>
      <w:pPr>
        <w:ind w:left="3" w:right="300"/>
        <w:spacing w:after="0" w:line="295" w:lineRule="auto"/>
        <w:rPr>
          <w:sz w:val="20"/>
          <w:szCs w:val="20"/>
          <w:color w:val="auto"/>
        </w:rPr>
      </w:pPr>
      <w:r>
        <w:rPr>
          <w:rFonts w:ascii="Times New Roman" w:cs="Times New Roman" w:eastAsia="Times New Roman" w:hAnsi="Times New Roman"/>
          <w:sz w:val="17"/>
          <w:szCs w:val="17"/>
          <w:color w:val="auto"/>
        </w:rPr>
        <w:t xml:space="preserve">at or about 11:00 a.m. (Hong Kong SAR time) on the Quotation Date for the Base Currency and for a period equal in length to the Interest Period of that Loan,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if any such rate is less than zero, such rate shall be deemed to be zero.</w:t>
      </w:r>
    </w:p>
    <w:p>
      <w:pPr>
        <w:spacing w:after="0" w:line="40" w:lineRule="exact"/>
        <w:rPr>
          <w:sz w:val="20"/>
          <w:szCs w:val="20"/>
          <w:color w:val="auto"/>
        </w:rPr>
      </w:pPr>
    </w:p>
    <w:p>
      <w:pPr>
        <w:jc w:val="both"/>
        <w:ind w:left="3" w:right="2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Historic Term SOFR</w:t>
      </w:r>
      <w:r>
        <w:rPr>
          <w:rFonts w:ascii="Times New Roman" w:cs="Times New Roman" w:eastAsia="Times New Roman" w:hAnsi="Times New Roman"/>
          <w:sz w:val="17"/>
          <w:szCs w:val="17"/>
          <w:color w:val="auto"/>
        </w:rPr>
        <w:t>” means, in relation to any Term SOFR Loan, the most recent Term SOFR for a period equal in length to the Interest Period of that Term SOFR Loan and which is as of a US Government Securities Business Day which is no more than three US Government Securities Business Days before the Quotation Date.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HKD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Hong Kong 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HK dollars</w:t>
      </w:r>
      <w:r>
        <w:rPr>
          <w:rFonts w:ascii="Times New Roman" w:cs="Times New Roman" w:eastAsia="Times New Roman" w:hAnsi="Times New Roman"/>
          <w:sz w:val="17"/>
          <w:szCs w:val="17"/>
          <w:color w:val="auto"/>
        </w:rPr>
        <w:t>” denotes the lawful currency of the Hong Kong SAR.</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Holding Company</w:t>
      </w:r>
      <w:r>
        <w:rPr>
          <w:rFonts w:ascii="Times New Roman" w:cs="Times New Roman" w:eastAsia="Times New Roman" w:hAnsi="Times New Roman"/>
          <w:sz w:val="17"/>
          <w:szCs w:val="17"/>
          <w:color w:val="auto"/>
        </w:rPr>
        <w:t>” means, in relation to a company or corporation, any other company or corporation in respect of which it is a Subsidiary.</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Hong Kong SAR</w:t>
      </w:r>
      <w:r>
        <w:rPr>
          <w:rFonts w:ascii="Times New Roman" w:cs="Times New Roman" w:eastAsia="Times New Roman" w:hAnsi="Times New Roman"/>
          <w:sz w:val="17"/>
          <w:szCs w:val="17"/>
          <w:color w:val="auto"/>
        </w:rPr>
        <w:t>” means the Hong Kong Special Administrative Region of the People’s Republic of China.</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Impaired Agent</w:t>
      </w:r>
      <w:r>
        <w:rPr>
          <w:rFonts w:ascii="Times New Roman" w:cs="Times New Roman" w:eastAsia="Times New Roman" w:hAnsi="Times New Roman"/>
          <w:sz w:val="17"/>
          <w:szCs w:val="17"/>
          <w:color w:val="auto"/>
        </w:rPr>
        <w:t>” means the Agent at any time when:</w:t>
      </w:r>
    </w:p>
    <w:p>
      <w:pPr>
        <w:spacing w:after="0" w:line="133" w:lineRule="exact"/>
        <w:rPr>
          <w:sz w:val="20"/>
          <w:szCs w:val="20"/>
          <w:color w:val="auto"/>
        </w:rPr>
      </w:pPr>
    </w:p>
    <w:p>
      <w:pPr>
        <w:ind w:left="523" w:right="160" w:hanging="523"/>
        <w:spacing w:after="0" w:line="295" w:lineRule="auto"/>
        <w:tabs>
          <w:tab w:leader="none" w:pos="52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failed to make (or has notified a Party that it will not make) a payment required to be made by it under the Finance Documents by the due date for payment;</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otherwise rescinds or repudiates a Finance Document;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is also a Lender) it is a Defaulting Lender under paragraph (a) or (b) of the definition of “Defaulting Lender”;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Insolvency Event has occurred and is continuing with respect to the Agent;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unless, in the case of paragraph (a) above:</w:t>
      </w:r>
    </w:p>
    <w:p>
      <w:pPr>
        <w:spacing w:after="0" w:line="131" w:lineRule="exact"/>
        <w:rPr>
          <w:sz w:val="20"/>
          <w:szCs w:val="20"/>
          <w:color w:val="auto"/>
        </w:rPr>
      </w:pPr>
    </w:p>
    <w:p>
      <w:pPr>
        <w:ind w:left="1143" w:hanging="620"/>
        <w:spacing w:after="0"/>
        <w:tabs>
          <w:tab w:leader="none" w:pos="1143"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failure to pay is caused by:</w:t>
      </w:r>
    </w:p>
    <w:p>
      <w:pPr>
        <w:spacing w:after="0" w:line="131"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technical error; or</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18" w:name="page319"/>
    <w:bookmarkEnd w:id="318"/>
    <w:p>
      <w:pPr>
        <w:ind w:left="1683" w:hanging="520"/>
        <w:spacing w:after="0"/>
        <w:tabs>
          <w:tab w:leader="none" w:pos="1683"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Disruption Event; and</w:t>
      </w:r>
    </w:p>
    <w:p>
      <w:pPr>
        <w:spacing w:after="0" w:line="118" w:lineRule="exact"/>
        <w:rPr>
          <w:sz w:val="20"/>
          <w:szCs w:val="20"/>
          <w:color w:val="auto"/>
        </w:rPr>
      </w:pPr>
    </w:p>
    <w:p>
      <w:pPr>
        <w:ind w:left="1183"/>
        <w:spacing w:after="0"/>
        <w:rPr>
          <w:sz w:val="20"/>
          <w:szCs w:val="20"/>
          <w:color w:val="auto"/>
        </w:rPr>
      </w:pPr>
      <w:r>
        <w:rPr>
          <w:rFonts w:ascii="Times New Roman" w:cs="Times New Roman" w:eastAsia="Times New Roman" w:hAnsi="Times New Roman"/>
          <w:sz w:val="17"/>
          <w:szCs w:val="17"/>
          <w:color w:val="auto"/>
        </w:rPr>
        <w:t>payment is made within two (2) Business Days of its due date; or</w:t>
      </w:r>
    </w:p>
    <w:p>
      <w:pPr>
        <w:spacing w:after="0" w:line="131" w:lineRule="exact"/>
        <w:rPr>
          <w:sz w:val="20"/>
          <w:szCs w:val="20"/>
          <w:color w:val="auto"/>
        </w:rPr>
      </w:pPr>
    </w:p>
    <w:p>
      <w:pPr>
        <w:ind w:left="1143" w:hanging="620"/>
        <w:spacing w:after="0"/>
        <w:tabs>
          <w:tab w:leader="none" w:pos="1143"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is disputing in good faith whether it is contractually obliged to make the payment in question.</w:t>
      </w:r>
    </w:p>
    <w:p>
      <w:pPr>
        <w:spacing w:after="0" w:line="116" w:lineRule="exact"/>
        <w:rPr>
          <w:sz w:val="20"/>
          <w:szCs w:val="20"/>
          <w:color w:val="auto"/>
        </w:rPr>
      </w:pPr>
    </w:p>
    <w:p>
      <w:pPr>
        <w:ind w:left="3" w:right="3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w:t>
      </w:r>
      <w:r>
        <w:rPr>
          <w:rFonts w:ascii="Times New Roman" w:cs="Times New Roman" w:eastAsia="Times New Roman" w:hAnsi="Times New Roman"/>
          <w:sz w:val="17"/>
          <w:szCs w:val="17"/>
          <w:color w:val="auto"/>
        </w:rPr>
        <w:t>” means an Incremental Revolving Credit Facility and/or an Incremental Term Loan Facility or (as the context may require for the mechanics of Clause 7) an Incremental Facility Increase.</w:t>
      </w:r>
    </w:p>
    <w:p>
      <w:pPr>
        <w:spacing w:after="0" w:line="37" w:lineRule="exact"/>
        <w:rPr>
          <w:sz w:val="20"/>
          <w:szCs w:val="20"/>
          <w:color w:val="auto"/>
        </w:rPr>
      </w:pPr>
    </w:p>
    <w:p>
      <w:pPr>
        <w:ind w:left="3" w:right="4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Commitments</w:t>
      </w:r>
      <w:r>
        <w:rPr>
          <w:rFonts w:ascii="Times New Roman" w:cs="Times New Roman" w:eastAsia="Times New Roman" w:hAnsi="Times New Roman"/>
          <w:sz w:val="17"/>
          <w:szCs w:val="17"/>
          <w:color w:val="auto"/>
        </w:rPr>
        <w:t>” means any Incremental Revolving Credit Facility Commitments and/or Incremental Term Loan Facility Commitments or (as the context may require for the mechanics of Clause 7) Incremental Facility Increase Commitments.</w:t>
      </w:r>
    </w:p>
    <w:p>
      <w:pPr>
        <w:spacing w:after="0" w:line="37" w:lineRule="exact"/>
        <w:rPr>
          <w:sz w:val="20"/>
          <w:szCs w:val="20"/>
          <w:color w:val="auto"/>
        </w:rPr>
      </w:pPr>
    </w:p>
    <w:p>
      <w:pPr>
        <w:ind w:left="3" w:right="2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Document</w:t>
      </w:r>
      <w:r>
        <w:rPr>
          <w:rFonts w:ascii="Times New Roman" w:cs="Times New Roman" w:eastAsia="Times New Roman" w:hAnsi="Times New Roman"/>
          <w:sz w:val="17"/>
          <w:szCs w:val="17"/>
          <w:color w:val="auto"/>
        </w:rPr>
        <w:t>” means, in relation to an Incremental Facility, each document relating to or evidencing the terms of that Incremental Facility.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Increase</w:t>
      </w:r>
      <w:r>
        <w:rPr>
          <w:rFonts w:ascii="Times New Roman" w:cs="Times New Roman" w:eastAsia="Times New Roman" w:hAnsi="Times New Roman"/>
          <w:sz w:val="17"/>
          <w:szCs w:val="17"/>
          <w:color w:val="auto"/>
        </w:rPr>
        <w:t xml:space="preserve">” has the meaning given to that term in paragraph (c) of Clause 7.1 </w:t>
      </w:r>
      <w:r>
        <w:rPr>
          <w:rFonts w:ascii="Times New Roman" w:cs="Times New Roman" w:eastAsia="Times New Roman" w:hAnsi="Times New Roman"/>
          <w:sz w:val="17"/>
          <w:szCs w:val="17"/>
          <w:i w:val="1"/>
          <w:iCs w:val="1"/>
          <w:color w:val="auto"/>
        </w:rPr>
        <w:t>(Type of Facility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5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Increase Commitments</w:t>
      </w:r>
      <w:r>
        <w:rPr>
          <w:rFonts w:ascii="Times New Roman" w:cs="Times New Roman" w:eastAsia="Times New Roman" w:hAnsi="Times New Roman"/>
          <w:sz w:val="17"/>
          <w:szCs w:val="17"/>
          <w:color w:val="auto"/>
        </w:rPr>
        <w:t>” has the meaning given to that term in paragraph (g)(i) of Clause 7.2 (</w:t>
      </w:r>
      <w:r>
        <w:rPr>
          <w:rFonts w:ascii="Times New Roman" w:cs="Times New Roman" w:eastAsia="Times New Roman" w:hAnsi="Times New Roman"/>
          <w:sz w:val="17"/>
          <w:szCs w:val="17"/>
          <w:i w:val="1"/>
          <w:iCs w:val="1"/>
          <w:color w:val="auto"/>
        </w:rPr>
        <w:t>Availability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establishment of Incremental Facilities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3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Loan</w:t>
      </w:r>
      <w:r>
        <w:rPr>
          <w:rFonts w:ascii="Times New Roman" w:cs="Times New Roman" w:eastAsia="Times New Roman" w:hAnsi="Times New Roman"/>
          <w:sz w:val="17"/>
          <w:szCs w:val="17"/>
          <w:color w:val="auto"/>
        </w:rPr>
        <w:t>” means a loan made or to be made under an Incremental Facility or the principal amount outstanding for the time being of that loan.</w:t>
      </w:r>
    </w:p>
    <w:p>
      <w:pPr>
        <w:spacing w:after="0" w:line="37" w:lineRule="exact"/>
        <w:rPr>
          <w:sz w:val="20"/>
          <w:szCs w:val="20"/>
          <w:color w:val="auto"/>
        </w:rPr>
      </w:pPr>
    </w:p>
    <w:p>
      <w:pPr>
        <w:ind w:left="3" w:right="7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Notice</w:t>
      </w:r>
      <w:r>
        <w:rPr>
          <w:rFonts w:ascii="Times New Roman" w:cs="Times New Roman" w:eastAsia="Times New Roman" w:hAnsi="Times New Roman"/>
          <w:sz w:val="17"/>
          <w:szCs w:val="17"/>
          <w:color w:val="auto"/>
        </w:rPr>
        <w:t>” has the meaning given to that term in paragraph (b) of Clause 7.2 (</w:t>
      </w:r>
      <w:r>
        <w:rPr>
          <w:rFonts w:ascii="Times New Roman" w:cs="Times New Roman" w:eastAsia="Times New Roman" w:hAnsi="Times New Roman"/>
          <w:sz w:val="17"/>
          <w:szCs w:val="17"/>
          <w:i w:val="1"/>
          <w:iCs w:val="1"/>
          <w:color w:val="auto"/>
        </w:rPr>
        <w:t>Availability and establishment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Facility Termination Date</w:t>
      </w:r>
      <w:r>
        <w:rPr>
          <w:rFonts w:ascii="Times New Roman" w:cs="Times New Roman" w:eastAsia="Times New Roman" w:hAnsi="Times New Roman"/>
          <w:sz w:val="17"/>
          <w:szCs w:val="17"/>
          <w:color w:val="auto"/>
        </w:rPr>
        <w:t>” means, in relation to an Incremental Facility, the date on which that Incremental Facility terminates, as agreed between the Company and the Lenders under that Incremental Facility in the Incremental Facility Notice or Incremental Facility Document applicable to that Incremental Facility.</w:t>
      </w:r>
    </w:p>
    <w:p>
      <w:pPr>
        <w:spacing w:after="0" w:line="55" w:lineRule="exact"/>
        <w:rPr>
          <w:sz w:val="20"/>
          <w:szCs w:val="20"/>
          <w:color w:val="auto"/>
        </w:rPr>
      </w:pPr>
    </w:p>
    <w:p>
      <w:pPr>
        <w:ind w:left="3" w:right="4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Lender Accession Deed</w:t>
      </w:r>
      <w:r>
        <w:rPr>
          <w:rFonts w:ascii="Times New Roman" w:cs="Times New Roman" w:eastAsia="Times New Roman" w:hAnsi="Times New Roman"/>
          <w:sz w:val="17"/>
          <w:szCs w:val="17"/>
          <w:color w:val="auto"/>
        </w:rPr>
        <w:t>” means a deed of accession substantially in the form set out in Schedule 7 (</w:t>
      </w:r>
      <w:r>
        <w:rPr>
          <w:rFonts w:ascii="Times New Roman" w:cs="Times New Roman" w:eastAsia="Times New Roman" w:hAnsi="Times New Roman"/>
          <w:sz w:val="17"/>
          <w:szCs w:val="17"/>
          <w:i w:val="1"/>
          <w:iCs w:val="1"/>
          <w:color w:val="auto"/>
        </w:rPr>
        <w:t>Form of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Lender Accession Deed</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b w:val="1"/>
          <w:bCs w:val="1"/>
          <w:color w:val="auto"/>
        </w:rPr>
        <w:t>“Incremental Revolving Credit Facility</w:t>
      </w:r>
      <w:r>
        <w:rPr>
          <w:rFonts w:ascii="Times New Roman" w:cs="Times New Roman" w:eastAsia="Times New Roman" w:hAnsi="Times New Roman"/>
          <w:sz w:val="17"/>
          <w:szCs w:val="17"/>
          <w:color w:val="auto"/>
        </w:rPr>
        <w:t>” has the meaning given to that term in paragraph (b) of Clause 7.1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(Type of Facility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3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Revolving Credit Facility Loan</w:t>
      </w:r>
      <w:r>
        <w:rPr>
          <w:rFonts w:ascii="Times New Roman" w:cs="Times New Roman" w:eastAsia="Times New Roman" w:hAnsi="Times New Roman"/>
          <w:sz w:val="17"/>
          <w:szCs w:val="17"/>
          <w:color w:val="auto"/>
        </w:rPr>
        <w:t>” means a loan made or to be made under an Incremental Revolving Credit Facility or the principal amount outstanding for the time being of that loan.</w:t>
      </w:r>
    </w:p>
    <w:p>
      <w:pPr>
        <w:spacing w:after="0" w:line="37" w:lineRule="exact"/>
        <w:rPr>
          <w:sz w:val="20"/>
          <w:szCs w:val="20"/>
          <w:color w:val="auto"/>
        </w:rPr>
      </w:pPr>
    </w:p>
    <w:p>
      <w:pPr>
        <w:jc w:val="both"/>
        <w:ind w:left="3" w:right="2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Revolving Credit Facility Commitments</w:t>
      </w:r>
      <w:r>
        <w:rPr>
          <w:rFonts w:ascii="Times New Roman" w:cs="Times New Roman" w:eastAsia="Times New Roman" w:hAnsi="Times New Roman"/>
          <w:sz w:val="17"/>
          <w:szCs w:val="17"/>
          <w:color w:val="auto"/>
        </w:rPr>
        <w:t>” has the meaning given to that term in paragraph (g)(i) of Clause 7.2 (</w:t>
      </w:r>
      <w:r>
        <w:rPr>
          <w:rFonts w:ascii="Times New Roman" w:cs="Times New Roman" w:eastAsia="Times New Roman" w:hAnsi="Times New Roman"/>
          <w:sz w:val="17"/>
          <w:szCs w:val="17"/>
          <w:i w:val="1"/>
          <w:iCs w:val="1"/>
          <w:color w:val="auto"/>
        </w:rPr>
        <w:t>Availability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establishment of Incremental Facilities</w:t>
      </w:r>
      <w:r>
        <w:rPr>
          <w:rFonts w:ascii="Times New Roman" w:cs="Times New Roman" w:eastAsia="Times New Roman" w:hAnsi="Times New Roman"/>
          <w:sz w:val="17"/>
          <w:szCs w:val="17"/>
          <w:color w:val="auto"/>
        </w:rPr>
        <w:t>) and, in relation to any Incremental Revolving Credit Facility, “</w:t>
      </w:r>
      <w:r>
        <w:rPr>
          <w:rFonts w:ascii="Times New Roman" w:cs="Times New Roman" w:eastAsia="Times New Roman" w:hAnsi="Times New Roman"/>
          <w:sz w:val="17"/>
          <w:szCs w:val="17"/>
          <w:b w:val="1"/>
          <w:bCs w:val="1"/>
          <w:color w:val="auto"/>
        </w:rPr>
        <w:t>Incremental Revolving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Facility Commitment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Commitment</w:t>
      </w:r>
      <w:r>
        <w:rPr>
          <w:rFonts w:ascii="Times New Roman" w:cs="Times New Roman" w:eastAsia="Times New Roman" w:hAnsi="Times New Roman"/>
          <w:sz w:val="17"/>
          <w:szCs w:val="17"/>
          <w:color w:val="auto"/>
        </w:rPr>
        <w:t>” means:</w:t>
      </w:r>
    </w:p>
    <w:p>
      <w:pPr>
        <w:spacing w:after="0" w:line="70" w:lineRule="exact"/>
        <w:rPr>
          <w:sz w:val="20"/>
          <w:szCs w:val="20"/>
          <w:color w:val="auto"/>
        </w:rPr>
      </w:pPr>
    </w:p>
    <w:p>
      <w:pPr>
        <w:ind w:left="523" w:right="60" w:hanging="523"/>
        <w:spacing w:after="0" w:line="269" w:lineRule="auto"/>
        <w:tabs>
          <w:tab w:leader="none" w:pos="523"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 Original Incremental Facility Lender, the amount in the Base Currency of its Commitments in respect of that Incremental Revolving Credit Facility established pursuant to paragraph (k) of Clause 7.2 (</w:t>
      </w:r>
      <w:r>
        <w:rPr>
          <w:rFonts w:ascii="Times New Roman" w:cs="Times New Roman" w:eastAsia="Times New Roman" w:hAnsi="Times New Roman"/>
          <w:sz w:val="17"/>
          <w:szCs w:val="17"/>
          <w:i w:val="1"/>
          <w:iCs w:val="1"/>
          <w:color w:val="auto"/>
        </w:rPr>
        <w:t>Availability and establishment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 and the amount of any other Incremental Revolving Credit Facility Commitment in respect of that Incremental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Revolving Credit Facility transferred to it under this Agreement; and</w:t>
      </w:r>
    </w:p>
    <w:p>
      <w:pPr>
        <w:spacing w:after="0" w:line="104"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19" w:name="page320"/>
    <w:bookmarkEnd w:id="319"/>
    <w:p>
      <w:pPr>
        <w:ind w:left="523" w:right="40" w:hanging="523"/>
        <w:spacing w:after="0" w:line="295" w:lineRule="auto"/>
        <w:tabs>
          <w:tab w:leader="none" w:pos="523"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any other Lender, the amount in the Base Currency of any Incremental Revolving Credit Facility Commitment in respect of that Incremental Revolving Credit Facility transferred to it under this Agreement,</w:t>
      </w:r>
    </w:p>
    <w:p>
      <w:pPr>
        <w:spacing w:after="0" w:line="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to the extent not cancelled, reduced or transferred by it under this Agreement.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Term Loan Facility</w:t>
      </w:r>
      <w:r>
        <w:rPr>
          <w:rFonts w:ascii="Times New Roman" w:cs="Times New Roman" w:eastAsia="Times New Roman" w:hAnsi="Times New Roman"/>
          <w:sz w:val="17"/>
          <w:szCs w:val="17"/>
          <w:color w:val="auto"/>
        </w:rPr>
        <w:t xml:space="preserve">” has the meaning given to that term in paragraph (a) of Clause 7.1 </w:t>
      </w:r>
      <w:r>
        <w:rPr>
          <w:rFonts w:ascii="Times New Roman" w:cs="Times New Roman" w:eastAsia="Times New Roman" w:hAnsi="Times New Roman"/>
          <w:sz w:val="17"/>
          <w:szCs w:val="17"/>
          <w:i w:val="1"/>
          <w:iCs w:val="1"/>
          <w:color w:val="auto"/>
        </w:rPr>
        <w:t>(Type of Facility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3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Term Loan Facility Commitments</w:t>
      </w:r>
      <w:r>
        <w:rPr>
          <w:rFonts w:ascii="Times New Roman" w:cs="Times New Roman" w:eastAsia="Times New Roman" w:hAnsi="Times New Roman"/>
          <w:sz w:val="17"/>
          <w:szCs w:val="17"/>
          <w:color w:val="auto"/>
        </w:rPr>
        <w:t>” has the meaning given to that term in paragraph (g)(i) of Clause 7.2 (</w:t>
      </w:r>
      <w:r>
        <w:rPr>
          <w:rFonts w:ascii="Times New Roman" w:cs="Times New Roman" w:eastAsia="Times New Roman" w:hAnsi="Times New Roman"/>
          <w:sz w:val="17"/>
          <w:szCs w:val="17"/>
          <w:i w:val="1"/>
          <w:iCs w:val="1"/>
          <w:color w:val="auto"/>
        </w:rPr>
        <w:t>Availability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establishment of Incremental Facilities</w:t>
      </w:r>
      <w:r>
        <w:rPr>
          <w:rFonts w:ascii="Times New Roman" w:cs="Times New Roman" w:eastAsia="Times New Roman" w:hAnsi="Times New Roman"/>
          <w:sz w:val="17"/>
          <w:szCs w:val="17"/>
          <w:color w:val="auto"/>
        </w:rPr>
        <w:t>) and, in relation to any Incremental Term Loan Facility, “</w:t>
      </w:r>
      <w:r>
        <w:rPr>
          <w:rFonts w:ascii="Times New Roman" w:cs="Times New Roman" w:eastAsia="Times New Roman" w:hAnsi="Times New Roman"/>
          <w:sz w:val="17"/>
          <w:szCs w:val="17"/>
          <w:b w:val="1"/>
          <w:bCs w:val="1"/>
          <w:color w:val="auto"/>
        </w:rPr>
        <w:t>Incremental Term Loan Facility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Commitment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Commitment</w:t>
      </w:r>
      <w:r>
        <w:rPr>
          <w:rFonts w:ascii="Times New Roman" w:cs="Times New Roman" w:eastAsia="Times New Roman" w:hAnsi="Times New Roman"/>
          <w:sz w:val="17"/>
          <w:szCs w:val="17"/>
          <w:color w:val="auto"/>
        </w:rPr>
        <w:t>” means:</w:t>
      </w:r>
    </w:p>
    <w:p>
      <w:pPr>
        <w:spacing w:after="0" w:line="70" w:lineRule="exact"/>
        <w:rPr>
          <w:sz w:val="20"/>
          <w:szCs w:val="20"/>
          <w:color w:val="auto"/>
        </w:rPr>
      </w:pPr>
    </w:p>
    <w:p>
      <w:pPr>
        <w:ind w:left="523" w:right="320" w:hanging="523"/>
        <w:spacing w:after="0" w:line="269" w:lineRule="auto"/>
        <w:tabs>
          <w:tab w:leader="none" w:pos="523"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 Original Incremental Facility Lender, the amount in the Base Currency of its Commitments in respect of that Incremental Term Loan Facility established pursuant to paragraph (k) of Clause 7.2 (</w:t>
      </w:r>
      <w:r>
        <w:rPr>
          <w:rFonts w:ascii="Times New Roman" w:cs="Times New Roman" w:eastAsia="Times New Roman" w:hAnsi="Times New Roman"/>
          <w:sz w:val="17"/>
          <w:szCs w:val="17"/>
          <w:i w:val="1"/>
          <w:iCs w:val="1"/>
          <w:color w:val="auto"/>
        </w:rPr>
        <w:t>Availability and establishment of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Facilities</w:t>
      </w:r>
      <w:r>
        <w:rPr>
          <w:rFonts w:ascii="Times New Roman" w:cs="Times New Roman" w:eastAsia="Times New Roman" w:hAnsi="Times New Roman"/>
          <w:sz w:val="17"/>
          <w:szCs w:val="17"/>
          <w:color w:val="auto"/>
        </w:rPr>
        <w:t>) and the amount of any other Incremental Term Loan Facility Commitment in respect of that Incremental Term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transferred to it under this Agreement; and</w:t>
      </w:r>
    </w:p>
    <w:p>
      <w:pPr>
        <w:spacing w:after="0" w:line="77" w:lineRule="exact"/>
        <w:rPr>
          <w:rFonts w:ascii="Times New Roman" w:cs="Times New Roman" w:eastAsia="Times New Roman" w:hAnsi="Times New Roman"/>
          <w:sz w:val="17"/>
          <w:szCs w:val="17"/>
          <w:color w:val="auto"/>
        </w:rPr>
      </w:pPr>
    </w:p>
    <w:p>
      <w:pPr>
        <w:ind w:left="523" w:right="300" w:hanging="523"/>
        <w:spacing w:after="0" w:line="295" w:lineRule="auto"/>
        <w:tabs>
          <w:tab w:leader="none" w:pos="523"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other Lender, the amount in the Base Currency of any Incremental Term Loan Facility Commitment in respect of that Incremental Term Loan Facility transferred to it under this Agreement,</w:t>
      </w:r>
    </w:p>
    <w:p>
      <w:pPr>
        <w:spacing w:after="0" w:line="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to the extent not cancelled, reduced or transferred by it under this Agreement.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Tax</w:t>
      </w:r>
      <w:r>
        <w:rPr>
          <w:rFonts w:ascii="Times New Roman" w:cs="Times New Roman" w:eastAsia="Times New Roman" w:hAnsi="Times New Roman"/>
          <w:sz w:val="17"/>
          <w:szCs w:val="17"/>
          <w:color w:val="auto"/>
        </w:rPr>
        <w:t>” means any goods and services tax, consumption tax, value added tax or any tax of a similar nature.</w:t>
      </w:r>
    </w:p>
    <w:p>
      <w:pPr>
        <w:spacing w:after="0" w:line="118" w:lineRule="exact"/>
        <w:rPr>
          <w:sz w:val="20"/>
          <w:szCs w:val="20"/>
          <w:color w:val="auto"/>
        </w:rPr>
      </w:pPr>
    </w:p>
    <w:p>
      <w:pPr>
        <w:ind w:left="3" w:right="5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Facility</w:t>
      </w:r>
      <w:r>
        <w:rPr>
          <w:rFonts w:ascii="Times New Roman" w:cs="Times New Roman" w:eastAsia="Times New Roman" w:hAnsi="Times New Roman"/>
          <w:sz w:val="17"/>
          <w:szCs w:val="17"/>
          <w:color w:val="auto"/>
        </w:rPr>
        <w:t>” means the revolving credit facility made available pursuant to this Agreement as described in Clause 2.1 (</w:t>
      </w:r>
      <w:r>
        <w:rPr>
          <w:rFonts w:ascii="Times New Roman" w:cs="Times New Roman" w:eastAsia="Times New Roman" w:hAnsi="Times New Roman"/>
          <w:sz w:val="17"/>
          <w:szCs w:val="17"/>
          <w:i w:val="1"/>
          <w:iCs w:val="1"/>
          <w:color w:val="auto"/>
        </w:rPr>
        <w:t>The 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Facility</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Facility Commitment</w:t>
      </w:r>
      <w:r>
        <w:rPr>
          <w:rFonts w:ascii="Times New Roman" w:cs="Times New Roman" w:eastAsia="Times New Roman" w:hAnsi="Times New Roman"/>
          <w:sz w:val="17"/>
          <w:szCs w:val="17"/>
          <w:color w:val="auto"/>
        </w:rPr>
        <w:t>” means:</w:t>
      </w:r>
    </w:p>
    <w:p>
      <w:pPr>
        <w:spacing w:after="0" w:line="131" w:lineRule="exact"/>
        <w:rPr>
          <w:sz w:val="20"/>
          <w:szCs w:val="20"/>
          <w:color w:val="auto"/>
        </w:rPr>
      </w:pPr>
    </w:p>
    <w:p>
      <w:pPr>
        <w:ind w:left="523" w:right="40" w:hanging="523"/>
        <w:spacing w:after="0" w:line="270" w:lineRule="auto"/>
        <w:tabs>
          <w:tab w:leader="none" w:pos="52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 Original Lender, the amount in the Base Currency set opposite its name in Part 2 of Schedule 1 (</w:t>
      </w:r>
      <w:r>
        <w:rPr>
          <w:rFonts w:ascii="Times New Roman" w:cs="Times New Roman" w:eastAsia="Times New Roman" w:hAnsi="Times New Roman"/>
          <w:sz w:val="17"/>
          <w:szCs w:val="17"/>
          <w:i w:val="1"/>
          <w:iCs w:val="1"/>
          <w:color w:val="auto"/>
        </w:rPr>
        <w:t>Original Parties</w:t>
      </w:r>
      <w:r>
        <w:rPr>
          <w:rFonts w:ascii="Times New Roman" w:cs="Times New Roman" w:eastAsia="Times New Roman" w:hAnsi="Times New Roman"/>
          <w:sz w:val="17"/>
          <w:szCs w:val="17"/>
          <w:color w:val="auto"/>
        </w:rPr>
        <w:t>) and the amount of any other Initial Facility Commitment transferred to it under this Agreement or established as its Commitments in respect of the Initial Facility by way of an Incremental Facility Increase pursuant to paragraph (k) of Clause 7.2 (</w:t>
      </w:r>
      <w:r>
        <w:rPr>
          <w:rFonts w:ascii="Times New Roman" w:cs="Times New Roman" w:eastAsia="Times New Roman" w:hAnsi="Times New Roman"/>
          <w:sz w:val="17"/>
          <w:szCs w:val="17"/>
          <w:i w:val="1"/>
          <w:iCs w:val="1"/>
          <w:color w:val="auto"/>
        </w:rPr>
        <w:t>Availability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establishment of Incremental Facilities</w:t>
      </w:r>
      <w:r>
        <w:rPr>
          <w:rFonts w:ascii="Times New Roman" w:cs="Times New Roman" w:eastAsia="Times New Roman" w:hAnsi="Times New Roman"/>
          <w:sz w:val="17"/>
          <w:szCs w:val="17"/>
          <w:color w:val="auto"/>
        </w:rPr>
        <w:t>); and</w:t>
      </w:r>
    </w:p>
    <w:p>
      <w:pPr>
        <w:spacing w:after="0" w:line="76" w:lineRule="exact"/>
        <w:rPr>
          <w:rFonts w:ascii="Times New Roman" w:cs="Times New Roman" w:eastAsia="Times New Roman" w:hAnsi="Times New Roman"/>
          <w:sz w:val="17"/>
          <w:szCs w:val="17"/>
          <w:color w:val="auto"/>
        </w:rPr>
      </w:pPr>
    </w:p>
    <w:p>
      <w:pPr>
        <w:ind w:left="523" w:right="580" w:hanging="523"/>
        <w:spacing w:after="0" w:line="295" w:lineRule="auto"/>
        <w:tabs>
          <w:tab w:leader="none" w:pos="52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other Lender, the amount in the Base Currency of any Initial Facility Commitment transferred to it under this Agreement,</w:t>
      </w:r>
    </w:p>
    <w:p>
      <w:pPr>
        <w:spacing w:after="0" w:line="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to the extent not cancelled, reduced or transferred by it under this Agreement.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Facility Lender</w:t>
      </w:r>
      <w:r>
        <w:rPr>
          <w:rFonts w:ascii="Times New Roman" w:cs="Times New Roman" w:eastAsia="Times New Roman" w:hAnsi="Times New Roman"/>
          <w:sz w:val="17"/>
          <w:szCs w:val="17"/>
          <w:color w:val="auto"/>
        </w:rPr>
        <w:t>” means a Lender that makes available an Initial Facility Commitment or participates in an Initial Facility Loan.</w:t>
      </w:r>
    </w:p>
    <w:p>
      <w:pPr>
        <w:spacing w:after="0" w:line="118" w:lineRule="exact"/>
        <w:rPr>
          <w:sz w:val="20"/>
          <w:szCs w:val="20"/>
          <w:color w:val="auto"/>
        </w:rPr>
      </w:pPr>
    </w:p>
    <w:p>
      <w:pPr>
        <w:ind w:left="3" w:right="1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Facility Loan</w:t>
      </w:r>
      <w:r>
        <w:rPr>
          <w:rFonts w:ascii="Times New Roman" w:cs="Times New Roman" w:eastAsia="Times New Roman" w:hAnsi="Times New Roman"/>
          <w:sz w:val="17"/>
          <w:szCs w:val="17"/>
          <w:color w:val="auto"/>
        </w:rPr>
        <w:t>” means a loan made or to be made under the Initial Facility or the principal amount outstanding for the time being of that loan.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Utilisation Date</w:t>
      </w:r>
      <w:r>
        <w:rPr>
          <w:rFonts w:ascii="Times New Roman" w:cs="Times New Roman" w:eastAsia="Times New Roman" w:hAnsi="Times New Roman"/>
          <w:sz w:val="17"/>
          <w:szCs w:val="17"/>
          <w:color w:val="auto"/>
        </w:rPr>
        <w:t>” means the date of the first Utilisation under this Agreement.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Event</w:t>
      </w:r>
      <w:r>
        <w:rPr>
          <w:rFonts w:ascii="Times New Roman" w:cs="Times New Roman" w:eastAsia="Times New Roman" w:hAnsi="Times New Roman"/>
          <w:sz w:val="17"/>
          <w:szCs w:val="17"/>
          <w:color w:val="auto"/>
        </w:rPr>
        <w:t>” in relation to an entity means that the entity:</w:t>
      </w:r>
    </w:p>
    <w:p>
      <w:pPr>
        <w:spacing w:after="0" w:line="133" w:lineRule="exact"/>
        <w:rPr>
          <w:sz w:val="20"/>
          <w:szCs w:val="20"/>
          <w:color w:val="auto"/>
        </w:rPr>
      </w:pPr>
    </w:p>
    <w:p>
      <w:pPr>
        <w:ind w:left="523" w:hanging="523"/>
        <w:spacing w:after="0"/>
        <w:tabs>
          <w:tab w:leader="none" w:pos="523"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dissolved (other than pursuant to a consolidation, amalgamation or merger);</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20" w:name="page321"/>
    <w:bookmarkEnd w:id="320"/>
    <w:p>
      <w:pPr>
        <w:ind w:left="523" w:hanging="523"/>
        <w:spacing w:after="0"/>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becomes insolvent or is unable to pay its debts or fails or admits in writing its inability generally to pay its debts as they become due;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arrangement or composition with or for the benefit of its creditors;</w:t>
      </w:r>
    </w:p>
    <w:p>
      <w:pPr>
        <w:spacing w:after="0" w:line="131" w:lineRule="exact"/>
        <w:rPr>
          <w:rFonts w:ascii="Times New Roman" w:cs="Times New Roman" w:eastAsia="Times New Roman" w:hAnsi="Times New Roman"/>
          <w:sz w:val="17"/>
          <w:szCs w:val="17"/>
          <w:color w:val="auto"/>
        </w:rPr>
      </w:pPr>
    </w:p>
    <w:p>
      <w:pPr>
        <w:ind w:left="523" w:right="140" w:hanging="523"/>
        <w:spacing w:after="0" w:line="266"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79" w:lineRule="exact"/>
        <w:rPr>
          <w:rFonts w:ascii="Times New Roman" w:cs="Times New Roman" w:eastAsia="Times New Roman" w:hAnsi="Times New Roman"/>
          <w:sz w:val="17"/>
          <w:szCs w:val="17"/>
          <w:color w:val="auto"/>
        </w:rPr>
      </w:pPr>
    </w:p>
    <w:p>
      <w:pPr>
        <w:ind w:left="523" w:right="220" w:hanging="523"/>
        <w:spacing w:after="0" w:line="269"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77" w:lineRule="exact"/>
        <w:rPr>
          <w:rFonts w:ascii="Times New Roman" w:cs="Times New Roman" w:eastAsia="Times New Roman" w:hAnsi="Times New Roman"/>
          <w:sz w:val="17"/>
          <w:szCs w:val="17"/>
          <w:color w:val="auto"/>
        </w:rPr>
      </w:pPr>
    </w:p>
    <w:p>
      <w:pPr>
        <w:ind w:left="1143" w:right="720" w:hanging="620"/>
        <w:spacing w:after="0" w:line="295" w:lineRule="auto"/>
        <w:tabs>
          <w:tab w:leader="none" w:pos="1143"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in a judgment of insolvency or bankruptcy or the entry of an order for relief or the making of an order for its winding-up or liquidation; or</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dismissed, discharged, stayed or restrained in each case within thirty (30) days of the institution or presentation thereof;</w:t>
      </w:r>
    </w:p>
    <w:p>
      <w:pPr>
        <w:spacing w:after="0" w:line="131" w:lineRule="exact"/>
        <w:rPr>
          <w:rFonts w:ascii="Times New Roman" w:cs="Times New Roman" w:eastAsia="Times New Roman" w:hAnsi="Times New Roman"/>
          <w:sz w:val="17"/>
          <w:szCs w:val="17"/>
          <w:color w:val="auto"/>
        </w:rPr>
      </w:pPr>
    </w:p>
    <w:p>
      <w:pPr>
        <w:ind w:left="523" w:right="180" w:hanging="523"/>
        <w:spacing w:after="0" w:line="295"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 resolution passed for its winding-up, official management or liquidation (other than pursuant to a consolidation, amalgamation or merger);</w:t>
      </w:r>
    </w:p>
    <w:p>
      <w:pPr>
        <w:spacing w:after="0" w:line="55" w:lineRule="exact"/>
        <w:rPr>
          <w:rFonts w:ascii="Times New Roman" w:cs="Times New Roman" w:eastAsia="Times New Roman" w:hAnsi="Times New Roman"/>
          <w:sz w:val="17"/>
          <w:szCs w:val="17"/>
          <w:color w:val="auto"/>
        </w:rPr>
      </w:pPr>
    </w:p>
    <w:p>
      <w:pPr>
        <w:ind w:left="523" w:right="80" w:hanging="523"/>
        <w:spacing w:after="0" w:line="276"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70" w:lineRule="exact"/>
        <w:rPr>
          <w:rFonts w:ascii="Times New Roman" w:cs="Times New Roman" w:eastAsia="Times New Roman" w:hAnsi="Times New Roman"/>
          <w:sz w:val="17"/>
          <w:szCs w:val="17"/>
          <w:color w:val="auto"/>
        </w:rPr>
      </w:pPr>
    </w:p>
    <w:p>
      <w:pPr>
        <w:ind w:left="523" w:right="200" w:hanging="523"/>
        <w:spacing w:after="0" w:line="276"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w:t>
      </w:r>
    </w:p>
    <w:p>
      <w:pPr>
        <w:spacing w:after="0" w:line="70" w:lineRule="exact"/>
        <w:rPr>
          <w:rFonts w:ascii="Times New Roman" w:cs="Times New Roman" w:eastAsia="Times New Roman" w:hAnsi="Times New Roman"/>
          <w:sz w:val="17"/>
          <w:szCs w:val="17"/>
          <w:color w:val="auto"/>
        </w:rPr>
      </w:pPr>
    </w:p>
    <w:p>
      <w:pPr>
        <w:ind w:left="523" w:right="120" w:hanging="523"/>
        <w:spacing w:after="0" w:line="295" w:lineRule="auto"/>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causes or is subject to any event with respect to it which, under the applicable laws of any jurisdiction, has an analogous effect to any of the events specified in paragraphs (a) to (h) above; or</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takes any action in furtherance of, or indicating its consent to, approval of, or acquiescence in, any of the foregoing acts.</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Cover</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1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Period</w:t>
      </w:r>
      <w:r>
        <w:rPr>
          <w:rFonts w:ascii="Times New Roman" w:cs="Times New Roman" w:eastAsia="Times New Roman" w:hAnsi="Times New Roman"/>
          <w:sz w:val="17"/>
          <w:szCs w:val="17"/>
          <w:color w:val="auto"/>
        </w:rPr>
        <w:t>” means, in relation to a Loan, each period determined in accordance with Clause 13 (</w:t>
      </w:r>
      <w:r>
        <w:rPr>
          <w:rFonts w:ascii="Times New Roman" w:cs="Times New Roman" w:eastAsia="Times New Roman" w:hAnsi="Times New Roman"/>
          <w:sz w:val="17"/>
          <w:szCs w:val="17"/>
          <w:i w:val="1"/>
          <w:iCs w:val="1"/>
          <w:color w:val="auto"/>
        </w:rPr>
        <w:t>Interest Periods</w:t>
      </w:r>
      <w:r>
        <w:rPr>
          <w:rFonts w:ascii="Times New Roman" w:cs="Times New Roman" w:eastAsia="Times New Roman" w:hAnsi="Times New Roman"/>
          <w:sz w:val="17"/>
          <w:szCs w:val="17"/>
          <w:color w:val="auto"/>
        </w:rPr>
        <w:t>) and, in relation to an Unpaid Sum, each period determined in accordance with Clause 12.3 (</w:t>
      </w:r>
      <w:r>
        <w:rPr>
          <w:rFonts w:ascii="Times New Roman" w:cs="Times New Roman" w:eastAsia="Times New Roman" w:hAnsi="Times New Roman"/>
          <w:sz w:val="17"/>
          <w:szCs w:val="17"/>
          <w:i w:val="1"/>
          <w:iCs w:val="1"/>
          <w:color w:val="auto"/>
        </w:rPr>
        <w:t>Default interest</w:t>
      </w:r>
      <w:r>
        <w:rPr>
          <w:rFonts w:ascii="Times New Roman" w:cs="Times New Roman" w:eastAsia="Times New Roman" w:hAnsi="Times New Roman"/>
          <w:sz w:val="17"/>
          <w:szCs w:val="17"/>
          <w:color w:val="auto"/>
        </w:rPr>
        <w:t>).</w:t>
      </w:r>
    </w:p>
    <w:p>
      <w:pPr>
        <w:spacing w:after="0" w:line="78"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21" w:name="page322"/>
    <w:bookmarkEnd w:id="321"/>
    <w:p>
      <w:pPr>
        <w:ind w:left="3" w:right="6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Interpolated Historic Term SOFR</w:t>
      </w:r>
      <w:r>
        <w:rPr>
          <w:rFonts w:ascii="Times New Roman" w:cs="Times New Roman" w:eastAsia="Times New Roman" w:hAnsi="Times New Roman"/>
          <w:sz w:val="17"/>
          <w:szCs w:val="17"/>
          <w:color w:val="auto"/>
        </w:rPr>
        <w:t>” means, in relation to any Term SOFR Loan, the rate (rounded to the same number of decimal places as the Term SOFR) which results from interpolating on a linear basis between:</w:t>
      </w:r>
    </w:p>
    <w:p>
      <w:pPr>
        <w:spacing w:after="0" w:line="52" w:lineRule="exact"/>
        <w:rPr>
          <w:sz w:val="20"/>
          <w:szCs w:val="20"/>
          <w:color w:val="auto"/>
        </w:rPr>
      </w:pPr>
    </w:p>
    <w:p>
      <w:pPr>
        <w:ind w:left="523" w:hanging="523"/>
        <w:spacing w:after="0"/>
        <w:tabs>
          <w:tab w:leader="none" w:pos="523"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31" w:lineRule="exact"/>
        <w:rPr>
          <w:rFonts w:ascii="Times New Roman" w:cs="Times New Roman" w:eastAsia="Times New Roman" w:hAnsi="Times New Roman"/>
          <w:sz w:val="17"/>
          <w:szCs w:val="17"/>
          <w:color w:val="auto"/>
        </w:rPr>
      </w:pPr>
    </w:p>
    <w:p>
      <w:pPr>
        <w:ind w:left="1143" w:right="60" w:hanging="620"/>
        <w:spacing w:after="0" w:line="276" w:lineRule="auto"/>
        <w:tabs>
          <w:tab w:leader="none" w:pos="1143"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Term SOFR (as of a day which is not more than three US Government Securities Business Days before the Quotation Date) for the longest period (for which Term SOFR is available) which is less than the Interest Period of that Term SOFR Loan; or</w:t>
      </w:r>
    </w:p>
    <w:p>
      <w:pPr>
        <w:spacing w:after="0" w:line="70" w:lineRule="exact"/>
        <w:rPr>
          <w:rFonts w:ascii="Times New Roman" w:cs="Times New Roman" w:eastAsia="Times New Roman" w:hAnsi="Times New Roman"/>
          <w:sz w:val="17"/>
          <w:szCs w:val="17"/>
          <w:color w:val="auto"/>
        </w:rPr>
      </w:pPr>
    </w:p>
    <w:p>
      <w:pPr>
        <w:ind w:left="1143" w:right="320" w:hanging="620"/>
        <w:spacing w:after="0" w:line="276" w:lineRule="auto"/>
        <w:tabs>
          <w:tab w:leader="none" w:pos="1143"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Term SOFR is available for a period which is less than the Interest Period of that Term SOFR Loan, the most recent Overnight SOFR for a day which is not more than five, and not less than two, US Government Securities Business Days before the Quotation Date; and</w:t>
      </w:r>
    </w:p>
    <w:p>
      <w:pPr>
        <w:spacing w:after="0" w:line="70" w:lineRule="exact"/>
        <w:rPr>
          <w:rFonts w:ascii="Times New Roman" w:cs="Times New Roman" w:eastAsia="Times New Roman" w:hAnsi="Times New Roman"/>
          <w:sz w:val="17"/>
          <w:szCs w:val="17"/>
          <w:color w:val="auto"/>
        </w:rPr>
      </w:pPr>
    </w:p>
    <w:p>
      <w:pPr>
        <w:ind w:left="523" w:right="100" w:hanging="523"/>
        <w:spacing w:after="0" w:line="295" w:lineRule="auto"/>
        <w:tabs>
          <w:tab w:leader="none" w:pos="523"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Term SOFR (as of a day which is not more than three US Government Securities Business Days before the Quotation Date) for the shortest period (for which Term SOFR is available) which exceeds the Interest Period of that Term SOFR Loan.</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Interpolated Screen Rate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80" w:hanging="523"/>
        <w:spacing w:after="0" w:line="295" w:lineRule="auto"/>
        <w:tabs>
          <w:tab w:leader="none" w:pos="523"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HIBOR, the rate which results from interpolating on a linear basis (rounded to the same number of decimal places as the two relevant Screen Rates) between:</w:t>
      </w:r>
    </w:p>
    <w:p>
      <w:pPr>
        <w:spacing w:after="0" w:line="55" w:lineRule="exact"/>
        <w:rPr>
          <w:rFonts w:ascii="Times New Roman" w:cs="Times New Roman" w:eastAsia="Times New Roman" w:hAnsi="Times New Roman"/>
          <w:sz w:val="17"/>
          <w:szCs w:val="17"/>
          <w:color w:val="auto"/>
        </w:rPr>
      </w:pPr>
    </w:p>
    <w:p>
      <w:pPr>
        <w:ind w:left="1143" w:right="440" w:hanging="620"/>
        <w:spacing w:after="0" w:line="295" w:lineRule="auto"/>
        <w:tabs>
          <w:tab w:leader="none" w:pos="1143"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 for the longest period (for which that Screen Rate is available) which is less than the Interest Period of a Loan; and</w:t>
      </w:r>
    </w:p>
    <w:p>
      <w:pPr>
        <w:spacing w:after="0" w:line="55" w:lineRule="exact"/>
        <w:rPr>
          <w:rFonts w:ascii="Times New Roman" w:cs="Times New Roman" w:eastAsia="Times New Roman" w:hAnsi="Times New Roman"/>
          <w:sz w:val="17"/>
          <w:szCs w:val="17"/>
          <w:color w:val="auto"/>
        </w:rPr>
      </w:pPr>
    </w:p>
    <w:p>
      <w:pPr>
        <w:ind w:left="1143" w:right="120" w:hanging="620"/>
        <w:spacing w:after="0" w:line="295" w:lineRule="auto"/>
        <w:tabs>
          <w:tab w:leader="none" w:pos="1143"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 for the shortest period (for which that Screen Rate is available) which exceeds the Interest Period of that Loan,</w:t>
      </w:r>
    </w:p>
    <w:p>
      <w:pPr>
        <w:spacing w:after="0" w:line="42"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7"/>
          <w:szCs w:val="17"/>
          <w:color w:val="auto"/>
        </w:rPr>
        <w:t>each as of 11:00 a.m. (Hong Kong SAR time) on the Quotation Date for the Base Currency; and</w:t>
      </w:r>
    </w:p>
    <w:p>
      <w:pPr>
        <w:spacing w:after="0" w:line="131" w:lineRule="exact"/>
        <w:rPr>
          <w:sz w:val="20"/>
          <w:szCs w:val="20"/>
          <w:color w:val="auto"/>
        </w:rPr>
      </w:pPr>
    </w:p>
    <w:p>
      <w:pPr>
        <w:ind w:left="523" w:right="460" w:hanging="523"/>
        <w:spacing w:after="0" w:line="295" w:lineRule="auto"/>
        <w:tabs>
          <w:tab w:leader="none" w:pos="523"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Benchmark Rate for a Loan in an Optional Currency (other than a Term SOFR Loan), the rate which results from interpolating on a linear basis (rounded to the same number of decimal places as the two relevant Screen Rates) between:</w:t>
      </w:r>
    </w:p>
    <w:p>
      <w:pPr>
        <w:spacing w:after="0" w:line="55" w:lineRule="exact"/>
        <w:rPr>
          <w:rFonts w:ascii="Times New Roman" w:cs="Times New Roman" w:eastAsia="Times New Roman" w:hAnsi="Times New Roman"/>
          <w:sz w:val="17"/>
          <w:szCs w:val="17"/>
          <w:color w:val="auto"/>
        </w:rPr>
      </w:pPr>
    </w:p>
    <w:p>
      <w:pPr>
        <w:ind w:left="1143" w:right="440" w:hanging="620"/>
        <w:spacing w:after="0" w:line="295" w:lineRule="auto"/>
        <w:tabs>
          <w:tab w:leader="none" w:pos="1143"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 for the longest period (for which that Screen Rate is available) which is less than the Interest Period of a Loan; and</w:t>
      </w:r>
    </w:p>
    <w:p>
      <w:pPr>
        <w:spacing w:after="0" w:line="55" w:lineRule="exact"/>
        <w:rPr>
          <w:rFonts w:ascii="Times New Roman" w:cs="Times New Roman" w:eastAsia="Times New Roman" w:hAnsi="Times New Roman"/>
          <w:sz w:val="17"/>
          <w:szCs w:val="17"/>
          <w:color w:val="auto"/>
        </w:rPr>
      </w:pPr>
    </w:p>
    <w:p>
      <w:pPr>
        <w:ind w:left="1143" w:right="120" w:hanging="620"/>
        <w:spacing w:after="0" w:line="295" w:lineRule="auto"/>
        <w:tabs>
          <w:tab w:leader="none" w:pos="1143"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Screen Rate for the shortest period (for which that Screen Rate is available) which exceeds the Interest Period of that Loan,</w:t>
      </w:r>
    </w:p>
    <w:p>
      <w:pPr>
        <w:spacing w:after="0" w:line="42"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7"/>
          <w:szCs w:val="17"/>
          <w:color w:val="auto"/>
        </w:rPr>
        <w:t>each as of 11:00 a.m. (London time) on the Quotation Date for the relevant Optional Currency.</w:t>
      </w:r>
    </w:p>
    <w:p>
      <w:pPr>
        <w:spacing w:after="0" w:line="116" w:lineRule="exact"/>
        <w:rPr>
          <w:sz w:val="20"/>
          <w:szCs w:val="20"/>
          <w:color w:val="auto"/>
        </w:rPr>
      </w:pPr>
    </w:p>
    <w:p>
      <w:pPr>
        <w:ind w:left="3" w:right="2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Interpolated Term SOFR</w:t>
      </w:r>
      <w:r>
        <w:rPr>
          <w:rFonts w:ascii="Times New Roman" w:cs="Times New Roman" w:eastAsia="Times New Roman" w:hAnsi="Times New Roman"/>
          <w:sz w:val="17"/>
          <w:szCs w:val="17"/>
          <w:color w:val="auto"/>
        </w:rPr>
        <w:t>” means, in relation to any Term SOFR Loan, the rate (rounded to the same number of decimal places as Term SOFR) which results from interpolating on a linear basis between:</w:t>
      </w:r>
    </w:p>
    <w:p>
      <w:pPr>
        <w:spacing w:after="0" w:line="52" w:lineRule="exact"/>
        <w:rPr>
          <w:sz w:val="20"/>
          <w:szCs w:val="20"/>
          <w:color w:val="auto"/>
        </w:rPr>
      </w:pPr>
    </w:p>
    <w:p>
      <w:pPr>
        <w:ind w:left="523" w:hanging="523"/>
        <w:spacing w:after="0"/>
        <w:tabs>
          <w:tab w:leader="none" w:pos="523"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31" w:lineRule="exact"/>
        <w:rPr>
          <w:rFonts w:ascii="Times New Roman" w:cs="Times New Roman" w:eastAsia="Times New Roman" w:hAnsi="Times New Roman"/>
          <w:sz w:val="17"/>
          <w:szCs w:val="17"/>
          <w:color w:val="auto"/>
        </w:rPr>
      </w:pPr>
    </w:p>
    <w:p>
      <w:pPr>
        <w:ind w:left="1143" w:right="220" w:hanging="620"/>
        <w:spacing w:after="0" w:line="295" w:lineRule="auto"/>
        <w:tabs>
          <w:tab w:leader="none" w:pos="1143"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SOFR (as of 11:00 a.m. (Hong Kong SAR time)) for the longest period (for which Term SOFR is available) which is less than the Interest Period of that Term SOFR Loan; or</w:t>
      </w:r>
    </w:p>
    <w:p>
      <w:pPr>
        <w:spacing w:after="0" w:line="55" w:lineRule="exact"/>
        <w:rPr>
          <w:rFonts w:ascii="Times New Roman" w:cs="Times New Roman" w:eastAsia="Times New Roman" w:hAnsi="Times New Roman"/>
          <w:sz w:val="17"/>
          <w:szCs w:val="17"/>
          <w:color w:val="auto"/>
        </w:rPr>
      </w:pPr>
    </w:p>
    <w:p>
      <w:pPr>
        <w:ind w:left="1143" w:right="340" w:hanging="620"/>
        <w:spacing w:after="0" w:line="295" w:lineRule="auto"/>
        <w:tabs>
          <w:tab w:leader="none" w:pos="1143"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Term SOFR is available for a period which is less than the Interest Period of that Term SOFR Loan, Overnight SOFR for the day that is two US Government Securities Business Days before the Quotation Date; and</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19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22" w:name="page323"/>
    <w:bookmarkEnd w:id="322"/>
    <w:p>
      <w:pPr>
        <w:ind w:left="523" w:right="120" w:hanging="523"/>
        <w:spacing w:after="0" w:line="295" w:lineRule="auto"/>
        <w:tabs>
          <w:tab w:leader="none" w:pos="523"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Term SOFR (as of 11:00 a.m. (Hong Kong SAR time)) for the shortest period (for which Term SOFR is available) which exceeds the Interest Period of that Term SOFR Loan.</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Key Asset</w:t>
      </w:r>
      <w:r>
        <w:rPr>
          <w:rFonts w:ascii="Times New Roman" w:cs="Times New Roman" w:eastAsia="Times New Roman" w:hAnsi="Times New Roman"/>
          <w:sz w:val="17"/>
          <w:szCs w:val="17"/>
          <w:color w:val="auto"/>
        </w:rPr>
        <w:t>” means each of:</w:t>
      </w:r>
    </w:p>
    <w:p>
      <w:pPr>
        <w:spacing w:after="0" w:line="133" w:lineRule="exact"/>
        <w:rPr>
          <w:sz w:val="20"/>
          <w:szCs w:val="20"/>
          <w:color w:val="auto"/>
        </w:rPr>
      </w:pPr>
    </w:p>
    <w:p>
      <w:pPr>
        <w:ind w:left="523" w:hanging="523"/>
        <w:spacing w:after="0"/>
        <w:tabs>
          <w:tab w:leader="none" w:pos="52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Land Concession for the City of Dreams Project;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City of Dreams Site;</w:t>
      </w:r>
    </w:p>
    <w:p>
      <w:pPr>
        <w:spacing w:after="0" w:line="131" w:lineRule="exact"/>
        <w:rPr>
          <w:rFonts w:ascii="Times New Roman" w:cs="Times New Roman" w:eastAsia="Times New Roman" w:hAnsi="Times New Roman"/>
          <w:sz w:val="17"/>
          <w:szCs w:val="17"/>
          <w:color w:val="auto"/>
        </w:rPr>
      </w:pPr>
    </w:p>
    <w:p>
      <w:pPr>
        <w:ind w:left="523" w:right="260" w:hanging="523"/>
        <w:spacing w:after="0" w:line="295" w:lineRule="auto"/>
        <w:tabs>
          <w:tab w:leader="none" w:pos="52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buildings constructed on the City of Dreams Site and owned by a member of the Group comprising the City of Dreams Project; and</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entire issued share capital in any person (directly or indirectly) owning any of the foregoing.</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Land Concession</w:t>
      </w:r>
      <w:r>
        <w:rPr>
          <w:rFonts w:ascii="Times New Roman" w:cs="Times New Roman" w:eastAsia="Times New Roman" w:hAnsi="Times New Roman"/>
          <w:sz w:val="17"/>
          <w:szCs w:val="17"/>
          <w:color w:val="auto"/>
        </w:rPr>
        <w:t>” means, in relation to:</w:t>
      </w:r>
    </w:p>
    <w:p>
      <w:pPr>
        <w:spacing w:after="0" w:line="133" w:lineRule="exact"/>
        <w:rPr>
          <w:sz w:val="20"/>
          <w:szCs w:val="20"/>
          <w:color w:val="auto"/>
        </w:rPr>
      </w:pPr>
    </w:p>
    <w:p>
      <w:pPr>
        <w:ind w:left="523" w:right="100" w:hanging="523"/>
        <w:spacing w:after="0" w:line="262" w:lineRule="auto"/>
        <w:tabs>
          <w:tab w:leader="none" w:pos="523"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Altira Project, the land concession between the Macau SAR and Altira Resorts Limited (formerly known as Altira Developments Limited) dated 20 February 2006 which forms an integral part of Dispatch number 20/2006 of the Secretary for Transport and Public Works of Macau SAR, as revised by the land concession amendment dated 10 December 2013 which forms an integral part of Dispatch 67/2013 of the Secretary for Transport and Public Works of Macau SAR, and the interest of 836.2/1000 that Altira Resorts Limited retains in such land concession and property built thereon upon having transferred on 31 December 2022 a 163.8/1000 of the entire interest in such land concession and property to the Macau SAR and delivered the corresponding casino area of the property to Macau SAR. The Macau SAR granted to Melco Resorts Macau the temporary usage of the 163.8/1000 of the entire interest in such land concession and property corresponding to the casino area for the duration of the Concession;</w:t>
      </w:r>
    </w:p>
    <w:p>
      <w:pPr>
        <w:spacing w:after="0" w:line="83" w:lineRule="exact"/>
        <w:rPr>
          <w:rFonts w:ascii="Times New Roman" w:cs="Times New Roman" w:eastAsia="Times New Roman" w:hAnsi="Times New Roman"/>
          <w:sz w:val="17"/>
          <w:szCs w:val="17"/>
          <w:color w:val="auto"/>
        </w:rPr>
      </w:pPr>
    </w:p>
    <w:p>
      <w:pPr>
        <w:ind w:left="523" w:right="20" w:hanging="523"/>
        <w:spacing w:after="0" w:line="261" w:lineRule="auto"/>
        <w:tabs>
          <w:tab w:leader="none" w:pos="523"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City of Dreams Project, the land concession between the Macau SAR and COD Resorts Limited (formerly known as Melco Crown (COD) Developments Limited) dated 11 August 2008 of the Secretary for Transport and Public Works of Macau SAR which forms an integral part of Dispatch number 25/2008 of the Secretary for Transport and Public Works of Macau SAR as revised by a land concession amendment dated 2 September 2010 which forms an integral part of Dispatch 45/2010 of the Secretary for Transport and Public Works of Macau SAR, and by the land concession amendment dated 17 January 2014 which forms an integral part of Dispatch 5/2014 of the Secretary for Transport and Public Works of Macau SAR, and the interest of 951.3/1000 that COD Resorts Limited retains in such land concession and property built thereon upon having transferred on 31 December 2022 a 48.7/1000 of the entire interest in such land concession and property to Macau SAR and delivered the corresponding casino area of the property to Macau SAR. The Macau granted to Melco Resorts Macau the temporary usage of the 48.7/1000 of the entire interest in such land concession and property corresponding to the casino area for the duration of the Concession; and</w:t>
      </w:r>
    </w:p>
    <w:p>
      <w:pPr>
        <w:spacing w:after="0" w:line="82"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 land concession which is granted to a Group Member in replacement of the land concessions mentioned in paragraphs (a) or</w:t>
      </w:r>
    </w:p>
    <w:p>
      <w:pPr>
        <w:spacing w:after="0" w:line="31" w:lineRule="exact"/>
        <w:rPr>
          <w:rFonts w:ascii="Times New Roman" w:cs="Times New Roman" w:eastAsia="Times New Roman" w:hAnsi="Times New Roman"/>
          <w:sz w:val="17"/>
          <w:szCs w:val="17"/>
          <w:color w:val="auto"/>
        </w:rPr>
      </w:pPr>
    </w:p>
    <w:p>
      <w:pPr>
        <w:ind w:left="5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above.</w:t>
      </w:r>
    </w:p>
    <w:p>
      <w:pPr>
        <w:spacing w:after="0" w:line="98" w:lineRule="exact"/>
        <w:rPr>
          <w:sz w:val="20"/>
          <w:szCs w:val="20"/>
          <w:color w:val="auto"/>
        </w:rPr>
      </w:pPr>
    </w:p>
    <w:p>
      <w:pPr>
        <w:ind w:left="3" w:right="1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Lease Agreement</w:t>
      </w:r>
      <w:r>
        <w:rPr>
          <w:rFonts w:ascii="Times New Roman" w:cs="Times New Roman" w:eastAsia="Times New Roman" w:hAnsi="Times New Roman"/>
          <w:sz w:val="17"/>
          <w:szCs w:val="17"/>
          <w:color w:val="auto"/>
        </w:rPr>
        <w:t>” means an agreement between Melco Resorts Macau and the developer, owner or operator (as the case may be) of an Excluded Project or any part thereof in connection with the leasing (including by way of Occupational Lease), operation and management of a casino or gaming area by Melco Resorts Macau in such Excluded Project.</w:t>
      </w:r>
    </w:p>
    <w:p>
      <w:pPr>
        <w:spacing w:after="0" w:line="55" w:lineRule="exact"/>
        <w:rPr>
          <w:sz w:val="20"/>
          <w:szCs w:val="20"/>
          <w:color w:val="auto"/>
        </w:rPr>
      </w:pPr>
    </w:p>
    <w:p>
      <w:pPr>
        <w:ind w:left="3" w:right="1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Legal Opinion</w:t>
      </w:r>
      <w:r>
        <w:rPr>
          <w:rFonts w:ascii="Times New Roman" w:cs="Times New Roman" w:eastAsia="Times New Roman" w:hAnsi="Times New Roman"/>
          <w:sz w:val="17"/>
          <w:szCs w:val="17"/>
          <w:color w:val="auto"/>
        </w:rPr>
        <w:t>” means any legal opinion delivered to the Agent in connection with Clause 4.1 (</w:t>
      </w:r>
      <w:r>
        <w:rPr>
          <w:rFonts w:ascii="Times New Roman" w:cs="Times New Roman" w:eastAsia="Times New Roman" w:hAnsi="Times New Roman"/>
          <w:sz w:val="17"/>
          <w:szCs w:val="17"/>
          <w:i w:val="1"/>
          <w:iCs w:val="1"/>
          <w:color w:val="auto"/>
        </w:rPr>
        <w:t>Initial conditions precedent</w:t>
      </w:r>
      <w:r>
        <w:rPr>
          <w:rFonts w:ascii="Times New Roman" w:cs="Times New Roman" w:eastAsia="Times New Roman" w:hAnsi="Times New Roman"/>
          <w:sz w:val="17"/>
          <w:szCs w:val="17"/>
          <w:color w:val="auto"/>
        </w:rPr>
        <w:t>) and clause 2.1 (</w:t>
      </w:r>
      <w:r>
        <w:rPr>
          <w:rFonts w:ascii="Times New Roman" w:cs="Times New Roman" w:eastAsia="Times New Roman" w:hAnsi="Times New Roman"/>
          <w:sz w:val="17"/>
          <w:szCs w:val="17"/>
          <w:i w:val="1"/>
          <w:iCs w:val="1"/>
          <w:color w:val="auto"/>
        </w:rPr>
        <w:t>Amendment to the Facility Agreement</w:t>
      </w:r>
      <w:r>
        <w:rPr>
          <w:rFonts w:ascii="Times New Roman" w:cs="Times New Roman" w:eastAsia="Times New Roman" w:hAnsi="Times New Roman"/>
          <w:sz w:val="17"/>
          <w:szCs w:val="17"/>
          <w:color w:val="auto"/>
        </w:rPr>
        <w:t>) of the 2023 Amendment and Restatement Agreement or otherwise in connection with any Finance Document.</w:t>
      </w:r>
    </w:p>
    <w:p>
      <w:pPr>
        <w:spacing w:after="0" w:line="96"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23" w:name="page324"/>
    <w:bookmarkEnd w:id="323"/>
    <w:p>
      <w:pPr>
        <w:ind w:left="3" w:right="10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Legal Requirements</w:t>
      </w:r>
      <w:r>
        <w:rPr>
          <w:rFonts w:ascii="Times New Roman" w:cs="Times New Roman" w:eastAsia="Times New Roman" w:hAnsi="Times New Roman"/>
          <w:sz w:val="17"/>
          <w:szCs w:val="17"/>
          <w:color w:val="auto"/>
        </w:rPr>
        <w:t>” means all laws, statutes, orders, decrees, injunctions, licenses, permits, approvals, agreements and regulations of any Governmental Authority having jurisdiction over the matter in question.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Legal Reservations</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180" w:hanging="523"/>
        <w:spacing w:after="0" w:line="295" w:lineRule="auto"/>
        <w:tabs>
          <w:tab w:leader="none" w:pos="52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barring of claims under statutes of limitation;</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principles, rights and defences under the laws of any Relevant Jurisdiction; or</w:t>
      </w:r>
    </w:p>
    <w:p>
      <w:pPr>
        <w:spacing w:after="0" w:line="131" w:lineRule="exact"/>
        <w:rPr>
          <w:rFonts w:ascii="Times New Roman" w:cs="Times New Roman" w:eastAsia="Times New Roman" w:hAnsi="Times New Roman"/>
          <w:sz w:val="17"/>
          <w:szCs w:val="17"/>
          <w:color w:val="auto"/>
        </w:rPr>
      </w:pPr>
    </w:p>
    <w:p>
      <w:pPr>
        <w:ind w:left="3" w:right="140" w:hanging="3"/>
        <w:spacing w:after="0" w:line="393" w:lineRule="auto"/>
        <w:tabs>
          <w:tab w:leader="none" w:pos="524"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matters which are set out as qualifications or reservations as to matters of law of general application in the Legal Opinions.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means:</w:t>
      </w:r>
    </w:p>
    <w:p>
      <w:pPr>
        <w:ind w:left="523" w:hanging="523"/>
        <w:spacing w:after="0"/>
        <w:tabs>
          <w:tab w:leader="none" w:pos="523"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Original Lender; and</w:t>
      </w:r>
    </w:p>
    <w:p>
      <w:pPr>
        <w:spacing w:after="0" w:line="131" w:lineRule="exact"/>
        <w:rPr>
          <w:rFonts w:ascii="Times New Roman" w:cs="Times New Roman" w:eastAsia="Times New Roman" w:hAnsi="Times New Roman"/>
          <w:sz w:val="17"/>
          <w:szCs w:val="17"/>
          <w:color w:val="auto"/>
        </w:rPr>
      </w:pPr>
    </w:p>
    <w:p>
      <w:pPr>
        <w:ind w:left="523" w:right="360" w:hanging="523"/>
        <w:spacing w:after="0" w:line="295" w:lineRule="auto"/>
        <w:tabs>
          <w:tab w:leader="none" w:pos="523"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bank, financial institution, trust, fund or other entity which has become a Party in accordance with or paragraph (h) of Clause 7.2 (</w:t>
      </w:r>
      <w:r>
        <w:rPr>
          <w:rFonts w:ascii="Times New Roman" w:cs="Times New Roman" w:eastAsia="Times New Roman" w:hAnsi="Times New Roman"/>
          <w:sz w:val="17"/>
          <w:szCs w:val="17"/>
          <w:i w:val="1"/>
          <w:iCs w:val="1"/>
          <w:color w:val="auto"/>
        </w:rPr>
        <w:t>Availability and establishment of Incremental Facilities</w:t>
      </w:r>
      <w:r>
        <w:rPr>
          <w:rFonts w:ascii="Times New Roman" w:cs="Times New Roman" w:eastAsia="Times New Roman" w:hAnsi="Times New Roman"/>
          <w:sz w:val="17"/>
          <w:szCs w:val="17"/>
          <w:color w:val="auto"/>
        </w:rPr>
        <w:t>) or Clause 26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which, in each case, has not ceased to be a Lender in accordance with this Agreement, and for which purposes the:</w:t>
      </w:r>
    </w:p>
    <w:p>
      <w:pPr>
        <w:spacing w:after="0" w:line="131" w:lineRule="exact"/>
        <w:rPr>
          <w:sz w:val="20"/>
          <w:szCs w:val="20"/>
          <w:color w:val="auto"/>
        </w:rPr>
      </w:pPr>
    </w:p>
    <w:p>
      <w:pPr>
        <w:ind w:left="1143" w:hanging="620"/>
        <w:spacing w:after="0"/>
        <w:tabs>
          <w:tab w:leader="none" w:pos="1143"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in full of all of the Commitment(s) of any Lender;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in full of all amounts which are payable to such Lender under the Finance Documents,</w:t>
      </w:r>
    </w:p>
    <w:p>
      <w:pPr>
        <w:spacing w:after="0" w:line="118" w:lineRule="exact"/>
        <w:rPr>
          <w:sz w:val="20"/>
          <w:szCs w:val="20"/>
          <w:color w:val="auto"/>
        </w:rPr>
      </w:pPr>
    </w:p>
    <w:p>
      <w:pPr>
        <w:ind w:left="3" w:right="160"/>
        <w:spacing w:after="0" w:line="276" w:lineRule="auto"/>
        <w:rPr>
          <w:sz w:val="20"/>
          <w:szCs w:val="20"/>
          <w:color w:val="auto"/>
        </w:rPr>
      </w:pPr>
      <w:r>
        <w:rPr>
          <w:rFonts w:ascii="Times New Roman" w:cs="Times New Roman" w:eastAsia="Times New Roman" w:hAnsi="Times New Roman"/>
          <w:sz w:val="17"/>
          <w:szCs w:val="17"/>
          <w:color w:val="auto"/>
        </w:rPr>
        <w:t>will result in that Lender ceasing to be regarded as a Lender for the purposes of and in relation to any provision of any of the Finance Documents requiring consultation with or the consent or approval of or instruction from all the Lenders, the Majority Lenders, any Majority Facility Lenders and/or any class or all the Lenders.</w:t>
      </w:r>
    </w:p>
    <w:p>
      <w:pPr>
        <w:spacing w:after="0" w:line="55" w:lineRule="exact"/>
        <w:rPr>
          <w:sz w:val="20"/>
          <w:szCs w:val="20"/>
          <w:color w:val="auto"/>
        </w:rPr>
      </w:pPr>
    </w:p>
    <w:p>
      <w:pPr>
        <w:ind w:left="3" w:right="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Liquidated Damages</w:t>
      </w:r>
      <w:r>
        <w:rPr>
          <w:rFonts w:ascii="Times New Roman" w:cs="Times New Roman" w:eastAsia="Times New Roman" w:hAnsi="Times New Roman"/>
          <w:sz w:val="17"/>
          <w:szCs w:val="17"/>
          <w:color w:val="auto"/>
        </w:rPr>
        <w:t>” means any liquidated damages paid by any party (other than a Group Member) pursuant to any obligation, default or breach under the Material Documents (other than any Termination Proceeds), in each case net of any Taxes, costs and expenses incurred by any Group Member or its agents pursuant to transactions on arm’s length terms (or such better terms for such Group Member) in connection with the collection, adjustment or settlement thereof.</w:t>
      </w:r>
    </w:p>
    <w:p>
      <w:pPr>
        <w:spacing w:after="0" w:line="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Loan</w:t>
      </w:r>
      <w:r>
        <w:rPr>
          <w:rFonts w:ascii="Times New Roman" w:cs="Times New Roman" w:eastAsia="Times New Roman" w:hAnsi="Times New Roman"/>
          <w:sz w:val="17"/>
          <w:szCs w:val="17"/>
          <w:color w:val="auto"/>
        </w:rPr>
        <w:t>” means an Initial Facility Loan or an Incremental Facility Loan.</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Macau SAR</w:t>
      </w:r>
      <w:r>
        <w:rPr>
          <w:rFonts w:ascii="Times New Roman" w:cs="Times New Roman" w:eastAsia="Times New Roman" w:hAnsi="Times New Roman"/>
          <w:sz w:val="17"/>
          <w:szCs w:val="17"/>
          <w:color w:val="auto"/>
        </w:rPr>
        <w:t>” means the Macau Special Administrative Region of the People’s Republic of China.</w:t>
      </w:r>
    </w:p>
    <w:p>
      <w:pPr>
        <w:spacing w:after="0" w:line="118" w:lineRule="exact"/>
        <w:rPr>
          <w:sz w:val="20"/>
          <w:szCs w:val="20"/>
          <w:color w:val="auto"/>
        </w:rPr>
      </w:pPr>
    </w:p>
    <w:p>
      <w:pPr>
        <w:ind w:left="3" w:right="10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Majority Facility Lenders</w:t>
      </w:r>
      <w:r>
        <w:rPr>
          <w:rFonts w:ascii="Times New Roman" w:cs="Times New Roman" w:eastAsia="Times New Roman" w:hAnsi="Times New Roman"/>
          <w:sz w:val="17"/>
          <w:szCs w:val="17"/>
          <w:color w:val="auto"/>
        </w:rPr>
        <w:t>” means, in respect of any Facility, a Lender or Lenders whose Commitment(s) in respect of such Facility aggregate more than 50 per cent. of the aggregate Commitments of the Lenders in respect of such Facility (or, if the aggregate Commitments of the Lenders in respect of such Facility have been reduced to zero, aggregated more than 50 per cent. of the aggregate Commitments of the Lenders in respect of such Facility immediately prior to the reduction of such aggregate Commitments in respect of such Facility to zero).</w:t>
      </w:r>
    </w:p>
    <w:p>
      <w:pPr>
        <w:spacing w:after="0" w:line="102"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24" w:name="page325"/>
    <w:bookmarkEnd w:id="324"/>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Majority Lenders</w:t>
      </w:r>
      <w:r>
        <w:rPr>
          <w:rFonts w:ascii="Times New Roman" w:cs="Times New Roman" w:eastAsia="Times New Roman" w:hAnsi="Times New Roman"/>
          <w:sz w:val="17"/>
          <w:szCs w:val="17"/>
          <w:color w:val="auto"/>
        </w:rPr>
        <w:t>” means:</w:t>
      </w:r>
    </w:p>
    <w:p>
      <w:pPr>
        <w:spacing w:after="0" w:line="131" w:lineRule="exact"/>
        <w:rPr>
          <w:sz w:val="20"/>
          <w:szCs w:val="20"/>
          <w:color w:val="auto"/>
        </w:rPr>
      </w:pPr>
    </w:p>
    <w:p>
      <w:pPr>
        <w:ind w:left="523" w:right="40" w:hanging="523"/>
        <w:spacing w:after="0" w:line="277" w:lineRule="auto"/>
        <w:tabs>
          <w:tab w:leader="none" w:pos="52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paragraph (a) of Clause 38.1 (</w:t>
      </w:r>
      <w:r>
        <w:rPr>
          <w:rFonts w:ascii="Times New Roman" w:cs="Times New Roman" w:eastAsia="Times New Roman" w:hAnsi="Times New Roman"/>
          <w:sz w:val="17"/>
          <w:szCs w:val="17"/>
          <w:i w:val="1"/>
          <w:iCs w:val="1"/>
          <w:color w:val="auto"/>
        </w:rPr>
        <w:t>Required consents</w:t>
      </w:r>
      <w:r>
        <w:rPr>
          <w:rFonts w:ascii="Times New Roman" w:cs="Times New Roman" w:eastAsia="Times New Roman" w:hAnsi="Times New Roman"/>
          <w:sz w:val="17"/>
          <w:szCs w:val="17"/>
          <w:color w:val="auto"/>
        </w:rPr>
        <w:t>) in the context of a waiver in relation to a proposed Utilisation of the Initial Facility of the condition(s) in Clause 4.2 (</w:t>
      </w:r>
      <w:r>
        <w:rPr>
          <w:rFonts w:ascii="Times New Roman" w:cs="Times New Roman" w:eastAsia="Times New Roman" w:hAnsi="Times New Roman"/>
          <w:sz w:val="17"/>
          <w:szCs w:val="17"/>
          <w:i w:val="1"/>
          <w:iCs w:val="1"/>
          <w:color w:val="auto"/>
        </w:rPr>
        <w:t>Further conditions precedent</w:t>
      </w:r>
      <w:r>
        <w:rPr>
          <w:rFonts w:ascii="Times New Roman" w:cs="Times New Roman" w:eastAsia="Times New Roman" w:hAnsi="Times New Roman"/>
          <w:sz w:val="17"/>
          <w:szCs w:val="17"/>
          <w:color w:val="auto"/>
        </w:rPr>
        <w:t>)) a Lender or Lenders whose Initial Facility Commitments aggregate more than 50 per cent. of the Total Initial Facility Commitments; and</w:t>
      </w:r>
    </w:p>
    <w:p>
      <w:pPr>
        <w:spacing w:after="0" w:line="68" w:lineRule="exact"/>
        <w:rPr>
          <w:rFonts w:ascii="Times New Roman" w:cs="Times New Roman" w:eastAsia="Times New Roman" w:hAnsi="Times New Roman"/>
          <w:sz w:val="17"/>
          <w:szCs w:val="17"/>
          <w:color w:val="auto"/>
        </w:rPr>
      </w:pPr>
    </w:p>
    <w:p>
      <w:pPr>
        <w:ind w:left="523" w:right="40" w:hanging="523"/>
        <w:spacing w:after="0" w:line="267" w:lineRule="auto"/>
        <w:tabs>
          <w:tab w:leader="none" w:pos="52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paragraph (a) of Clause 38.1 (</w:t>
      </w:r>
      <w:r>
        <w:rPr>
          <w:rFonts w:ascii="Times New Roman" w:cs="Times New Roman" w:eastAsia="Times New Roman" w:hAnsi="Times New Roman"/>
          <w:sz w:val="17"/>
          <w:szCs w:val="17"/>
          <w:i w:val="1"/>
          <w:iCs w:val="1"/>
          <w:color w:val="auto"/>
        </w:rPr>
        <w:t>Required consents</w:t>
      </w:r>
      <w:r>
        <w:rPr>
          <w:rFonts w:ascii="Times New Roman" w:cs="Times New Roman" w:eastAsia="Times New Roman" w:hAnsi="Times New Roman"/>
          <w:sz w:val="17"/>
          <w:szCs w:val="17"/>
          <w:color w:val="auto"/>
        </w:rPr>
        <w:t>) in the context of a waiver in relation to a proposed Utilisation of an Incremental Facility of the condition(s) in Clause 4.2 (</w:t>
      </w:r>
      <w:r>
        <w:rPr>
          <w:rFonts w:ascii="Times New Roman" w:cs="Times New Roman" w:eastAsia="Times New Roman" w:hAnsi="Times New Roman"/>
          <w:sz w:val="17"/>
          <w:szCs w:val="17"/>
          <w:i w:val="1"/>
          <w:iCs w:val="1"/>
          <w:color w:val="auto"/>
        </w:rPr>
        <w:t>Further conditions precedent</w:t>
      </w:r>
      <w:r>
        <w:rPr>
          <w:rFonts w:ascii="Times New Roman" w:cs="Times New Roman" w:eastAsia="Times New Roman" w:hAnsi="Times New Roman"/>
          <w:sz w:val="17"/>
          <w:szCs w:val="17"/>
          <w:color w:val="auto"/>
        </w:rPr>
        <w:t>)) a Lender or Lenders whose Incremental Facility Commitments (in respect of such Incremental Facility) aggregate more than 50 per cent. (or such other percentage as set out in the Incremental Facility Notice relating to such Incremental Facility) of the aggregate Incremental Facility Commitments in respect of such Incremental Facility; and</w:t>
      </w:r>
    </w:p>
    <w:p>
      <w:pPr>
        <w:spacing w:after="0" w:line="77" w:lineRule="exact"/>
        <w:rPr>
          <w:rFonts w:ascii="Times New Roman" w:cs="Times New Roman" w:eastAsia="Times New Roman" w:hAnsi="Times New Roman"/>
          <w:sz w:val="17"/>
          <w:szCs w:val="17"/>
          <w:color w:val="auto"/>
        </w:rPr>
      </w:pPr>
    </w:p>
    <w:p>
      <w:pPr>
        <w:jc w:val="both"/>
        <w:ind w:left="523" w:right="80" w:hanging="523"/>
        <w:spacing w:after="0" w:line="276" w:lineRule="auto"/>
        <w:tabs>
          <w:tab w:leader="none" w:pos="52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a Lender or Lenders whose Commitment(s) aggregate more than 50 per cent. of the Total Commitments (or, if the Total Commitments have been reduced to zero, aggregated more than 50 per cent. of the Total Commitments immediately prior to the reduction of the Total Commitments to zero).</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Margin</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Initial Facility Loan, 1.50 per cent. per annum;</w:t>
      </w:r>
    </w:p>
    <w:p>
      <w:pPr>
        <w:spacing w:after="0" w:line="131" w:lineRule="exact"/>
        <w:rPr>
          <w:rFonts w:ascii="Times New Roman" w:cs="Times New Roman" w:eastAsia="Times New Roman" w:hAnsi="Times New Roman"/>
          <w:sz w:val="17"/>
          <w:szCs w:val="17"/>
          <w:color w:val="auto"/>
        </w:rPr>
      </w:pPr>
    </w:p>
    <w:p>
      <w:pPr>
        <w:ind w:left="523" w:right="180" w:hanging="523"/>
        <w:spacing w:after="0" w:line="295" w:lineRule="auto"/>
        <w:tabs>
          <w:tab w:leader="none" w:pos="523"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Incremental Facility Loan, the percentage rate per annum as set out in the Incremental Facility Notice in respect of the Incremental Facility under which that Incremental Facility Loan is made or is to be made;</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Unpaid Sum relating or referable to a Facility, the rate per annum specified above for that Facility; and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other Unpaid Sum, the highest rate specified above,</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but if:</w:t>
      </w:r>
    </w:p>
    <w:p>
      <w:pPr>
        <w:spacing w:after="0" w:line="131" w:lineRule="exact"/>
        <w:rPr>
          <w:sz w:val="20"/>
          <w:szCs w:val="20"/>
          <w:color w:val="auto"/>
        </w:rPr>
      </w:pPr>
    </w:p>
    <w:p>
      <w:pPr>
        <w:ind w:left="1143" w:hanging="620"/>
        <w:spacing w:after="0"/>
        <w:tabs>
          <w:tab w:leader="none" w:pos="1143"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has occurred and is continuing;</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Senior Leverage is within a range set out below;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six Months have elapsed since the Initial Utilisation Date,</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25" w:name="page326"/>
    <w:bookmarkEnd w:id="325"/>
    <w:p>
      <w:pPr>
        <w:ind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then the Margin for each Incremental Facility will be the percentage per annum agreed with the Lenders in respect of that Incremental Facility and as indicated for that range in the Incremental Facility Notice for those Incremental Facility Commitments, and the Margin for the Initial Facility will be the percentage per annum set out below in the column opposite that range:</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68"/>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Most Recent Senior Leverage</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Margin (% per annum)</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Equal to or greater than 3.00:1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Less than 3.00:1 but equal to or greater than 2.50:1</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2.50:1 but equal to or greater than 2.00:1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Less than 2.00:1 but equal to or greater than 1.50:1</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1.50:1 but equal to or greater than 1.00:1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Less than 1.00:1</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 each case, Margin for the purposes of paragraphs (c) and (d) above shall be determined accordingly.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w:t>
      </w:r>
    </w:p>
    <w:p>
      <w:pPr>
        <w:spacing w:after="0" w:line="131" w:lineRule="exact"/>
        <w:rPr>
          <w:sz w:val="20"/>
          <w:szCs w:val="20"/>
          <w:color w:val="auto"/>
        </w:rPr>
      </w:pPr>
    </w:p>
    <w:p>
      <w:pPr>
        <w:ind w:left="1680" w:right="200" w:hanging="520"/>
        <w:spacing w:after="0" w:line="269" w:lineRule="auto"/>
        <w:tabs>
          <w:tab w:leader="none" w:pos="16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or decrease in the Margin for any Loan shall take effect from and including the first day of the Interest Period relating to that Loan commencing after the date on which the Compliance Certificate setting out such Most Recent Senior Leverage is delivered to the Agent pursuant to Clause 22.3 (</w:t>
      </w:r>
      <w:r>
        <w:rPr>
          <w:rFonts w:ascii="Times New Roman" w:cs="Times New Roman" w:eastAsia="Times New Roman" w:hAnsi="Times New Roman"/>
          <w:sz w:val="17"/>
          <w:szCs w:val="17"/>
          <w:i w:val="1"/>
          <w:iCs w:val="1"/>
          <w:color w:val="auto"/>
        </w:rPr>
        <w:t>Provision and contents of 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Certificate</w:t>
      </w:r>
      <w:r>
        <w:rPr>
          <w:rFonts w:ascii="Times New Roman" w:cs="Times New Roman" w:eastAsia="Times New Roman" w:hAnsi="Times New Roman"/>
          <w:sz w:val="17"/>
          <w:szCs w:val="17"/>
          <w:color w:val="auto"/>
        </w:rPr>
        <w:t>);</w:t>
      </w:r>
    </w:p>
    <w:p>
      <w:pPr>
        <w:spacing w:after="0" w:line="77" w:lineRule="exact"/>
        <w:rPr>
          <w:rFonts w:ascii="Times New Roman" w:cs="Times New Roman" w:eastAsia="Times New Roman" w:hAnsi="Times New Roman"/>
          <w:sz w:val="17"/>
          <w:szCs w:val="17"/>
          <w:color w:val="auto"/>
        </w:rPr>
      </w:pPr>
    </w:p>
    <w:p>
      <w:pPr>
        <w:ind w:left="1680" w:hanging="520"/>
        <w:spacing w:after="0"/>
        <w:tabs>
          <w:tab w:leader="none" w:pos="16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for so long as an Event of Default has occurred and is continuing (and notwithstanding any of the conditions in</w:t>
      </w:r>
    </w:p>
    <w:p>
      <w:pPr>
        <w:spacing w:after="0" w:line="31" w:lineRule="exact"/>
        <w:rPr>
          <w:rFonts w:ascii="Times New Roman" w:cs="Times New Roman" w:eastAsia="Times New Roman" w:hAnsi="Times New Roman"/>
          <w:sz w:val="17"/>
          <w:szCs w:val="17"/>
          <w:color w:val="auto"/>
        </w:rPr>
      </w:pPr>
    </w:p>
    <w:p>
      <w:pPr>
        <w:ind w:left="1680" w:right="10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(iii) above), the Margin for the Initial Facility (including for the purposes of paragraphs (c) and (d) above) shall be 2.00% per annum (or, in respect of any Incremental Facility, the highest percentage rate per annum set out in the Incremental Facility Notice in respect of that Incremental Facility), and, in each case, Margin for the purposes of paragraphs (c) and (d) above shall be determined accordingly;</w:t>
      </w:r>
    </w:p>
    <w:p>
      <w:pPr>
        <w:spacing w:after="0" w:line="82" w:lineRule="exact"/>
        <w:rPr>
          <w:rFonts w:ascii="Times New Roman" w:cs="Times New Roman" w:eastAsia="Times New Roman" w:hAnsi="Times New Roman"/>
          <w:sz w:val="17"/>
          <w:szCs w:val="17"/>
          <w:color w:val="auto"/>
        </w:rPr>
      </w:pPr>
    </w:p>
    <w:p>
      <w:pPr>
        <w:ind w:left="1680" w:right="60" w:hanging="520"/>
        <w:spacing w:after="0" w:line="262" w:lineRule="auto"/>
        <w:tabs>
          <w:tab w:leader="none" w:pos="16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following receipt by the Agent of the Annual Financial Statements of the Group and related Compliance Certificate, those statements and Compliance Certificate do not confirm the basis for a reduced Margin or indicate that Margin should have been increased in accordance with this definition, then the provisions of Clause 12.2 (</w:t>
      </w:r>
      <w:r>
        <w:rPr>
          <w:rFonts w:ascii="Times New Roman" w:cs="Times New Roman" w:eastAsia="Times New Roman" w:hAnsi="Times New Roman"/>
          <w:sz w:val="17"/>
          <w:szCs w:val="17"/>
          <w:i w:val="1"/>
          <w:iCs w:val="1"/>
          <w:color w:val="auto"/>
        </w:rPr>
        <w:t>Payment of interest</w:t>
      </w:r>
      <w:r>
        <w:rPr>
          <w:rFonts w:ascii="Times New Roman" w:cs="Times New Roman" w:eastAsia="Times New Roman" w:hAnsi="Times New Roman"/>
          <w:sz w:val="17"/>
          <w:szCs w:val="17"/>
          <w:color w:val="auto"/>
        </w:rPr>
        <w:t xml:space="preserve">) shall apply and the Margin for each affected Facility and Loan shall be the percentage per annum determined using the table above and the revised Most Recent Senior Leverage calculated using the figures in the Compliance Certificate. The Agent’s determination of the adjustments payable shall be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such adjustments and the Agent shall, if so requested by the Company, provide the Company with reasonable details of the calculation of such adjustments; and</w:t>
      </w:r>
    </w:p>
    <w:p>
      <w:pPr>
        <w:spacing w:after="0" w:line="83" w:lineRule="exact"/>
        <w:rPr>
          <w:rFonts w:ascii="Times New Roman" w:cs="Times New Roman" w:eastAsia="Times New Roman" w:hAnsi="Times New Roman"/>
          <w:sz w:val="17"/>
          <w:szCs w:val="17"/>
          <w:color w:val="auto"/>
        </w:rPr>
      </w:pPr>
    </w:p>
    <w:p>
      <w:pPr>
        <w:ind w:left="1680" w:right="100" w:hanging="520"/>
        <w:spacing w:after="0" w:line="295" w:lineRule="auto"/>
        <w:tabs>
          <w:tab w:leader="none" w:pos="16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the Margin, Most Recent Senior Leverage and Relevant Period shall be determined in accordance with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w:t>
      </w:r>
    </w:p>
    <w:p>
      <w:pPr>
        <w:spacing w:after="0" w:line="81" w:lineRule="exact"/>
        <w:rPr>
          <w:sz w:val="20"/>
          <w:szCs w:val="20"/>
          <w:color w:val="auto"/>
        </w:rPr>
      </w:pPr>
    </w:p>
    <w:tbl>
      <w:tblPr>
        <w:tblLayout w:type="fixed"/>
        <w:tblInd w:w="450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0"/>
          </w:cols>
          <w:pgMar w:left="1360" w:top="264" w:right="619" w:bottom="1440" w:gutter="0" w:footer="0" w:header="0"/>
        </w:sectPr>
      </w:pPr>
    </w:p>
    <w:bookmarkStart w:id="326" w:name="page327"/>
    <w:bookmarkEnd w:id="326"/>
    <w:p>
      <w:pPr>
        <w:ind w:left="3" w:right="64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Market Disruption Rate</w:t>
      </w:r>
      <w:r>
        <w:rPr>
          <w:rFonts w:ascii="Times New Roman" w:cs="Times New Roman" w:eastAsia="Times New Roman" w:hAnsi="Times New Roman"/>
          <w:sz w:val="17"/>
          <w:szCs w:val="17"/>
          <w:color w:val="auto"/>
        </w:rPr>
        <w:t>” means, in the case of any Term SOFR Loan, the percentage rate per annum which is the aggregate of the Reference Rate and the applicable Credit Adjustment Spread.</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 material adverse effect on:</w:t>
      </w:r>
    </w:p>
    <w:p>
      <w:pPr>
        <w:spacing w:after="0" w:line="133" w:lineRule="exact"/>
        <w:rPr>
          <w:sz w:val="20"/>
          <w:szCs w:val="20"/>
          <w:color w:val="auto"/>
        </w:rPr>
      </w:pPr>
    </w:p>
    <w:p>
      <w:pPr>
        <w:ind w:left="523" w:hanging="523"/>
        <w:spacing w:after="0"/>
        <w:tabs>
          <w:tab w:leader="none" w:pos="523"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operations, property or financial condition of the Group taken as a whole; or</w:t>
      </w:r>
    </w:p>
    <w:p>
      <w:pPr>
        <w:spacing w:after="0" w:line="131" w:lineRule="exact"/>
        <w:rPr>
          <w:rFonts w:ascii="Times New Roman" w:cs="Times New Roman" w:eastAsia="Times New Roman" w:hAnsi="Times New Roman"/>
          <w:sz w:val="17"/>
          <w:szCs w:val="17"/>
          <w:color w:val="auto"/>
        </w:rPr>
      </w:pPr>
    </w:p>
    <w:p>
      <w:pPr>
        <w:ind w:left="523" w:right="160" w:hanging="523"/>
        <w:spacing w:after="0" w:line="295" w:lineRule="auto"/>
        <w:tabs>
          <w:tab w:leader="none" w:pos="523"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Company and the Subsidiary Guarantors (taken as a whole) to perform their payment obligations under the Finance Documents; or</w:t>
      </w:r>
    </w:p>
    <w:p>
      <w:pPr>
        <w:spacing w:after="0" w:line="55" w:lineRule="exact"/>
        <w:rPr>
          <w:rFonts w:ascii="Times New Roman" w:cs="Times New Roman" w:eastAsia="Times New Roman" w:hAnsi="Times New Roman"/>
          <w:sz w:val="17"/>
          <w:szCs w:val="17"/>
          <w:color w:val="auto"/>
        </w:rPr>
      </w:pPr>
    </w:p>
    <w:p>
      <w:pPr>
        <w:ind w:left="523" w:right="420" w:hanging="523"/>
        <w:spacing w:after="0" w:line="295" w:lineRule="auto"/>
        <w:tabs>
          <w:tab w:leader="none" w:pos="523"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Legal Reservations, the validity or enforceability of any of the Finance Documents or the rights or remedies of any Finance Party under any of the Finance Documents,</w:t>
      </w:r>
    </w:p>
    <w:p>
      <w:pPr>
        <w:spacing w:after="0" w:line="42" w:lineRule="exact"/>
        <w:rPr>
          <w:sz w:val="20"/>
          <w:szCs w:val="20"/>
          <w:color w:val="auto"/>
        </w:rPr>
      </w:pPr>
    </w:p>
    <w:p>
      <w:pPr>
        <w:jc w:val="both"/>
        <w:ind w:left="3" w:right="80"/>
        <w:spacing w:after="0" w:line="276" w:lineRule="auto"/>
        <w:rPr>
          <w:sz w:val="20"/>
          <w:szCs w:val="20"/>
          <w:color w:val="auto"/>
        </w:rPr>
      </w:pPr>
      <w:r>
        <w:rPr>
          <w:rFonts w:ascii="Times New Roman" w:cs="Times New Roman" w:eastAsia="Times New Roman" w:hAnsi="Times New Roman"/>
          <w:sz w:val="17"/>
          <w:szCs w:val="17"/>
          <w:color w:val="auto"/>
        </w:rPr>
        <w:t>without taking account (for the purposes of paragraphs (a) and (b) above) of any contribution, loss or other effect of any kind (including any previous contribution, loss or effect) in any way comprised in, related to or derived from any Excluded Project Agreement, Excluded Project, Excluded Project Revenues or Excluded Subsidiary or any interest therein and which, in each case, is unrelated to any of the Projects.</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Documents</w:t>
      </w:r>
      <w:r>
        <w:rPr>
          <w:rFonts w:ascii="Times New Roman" w:cs="Times New Roman" w:eastAsia="Times New Roman" w:hAnsi="Times New Roman"/>
          <w:sz w:val="17"/>
          <w:szCs w:val="17"/>
          <w:color w:val="auto"/>
        </w:rPr>
        <w:t>” means the Concession and the Land Concession for the City of Dreams Project.</w:t>
      </w:r>
    </w:p>
    <w:p>
      <w:pPr>
        <w:spacing w:after="0" w:line="118" w:lineRule="exact"/>
        <w:rPr>
          <w:sz w:val="20"/>
          <w:szCs w:val="20"/>
          <w:color w:val="auto"/>
        </w:rPr>
      </w:pPr>
    </w:p>
    <w:p>
      <w:pPr>
        <w:ind w:left="3" w:right="18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MCO Investments</w:t>
      </w:r>
      <w:r>
        <w:rPr>
          <w:rFonts w:ascii="Times New Roman" w:cs="Times New Roman" w:eastAsia="Times New Roman" w:hAnsi="Times New Roman"/>
          <w:sz w:val="17"/>
          <w:szCs w:val="17"/>
          <w:color w:val="auto"/>
        </w:rPr>
        <w:t>” means MCO Investments Limited, a limited liability company incorporated in the Cayman Islands (with registered number 168835) with registered address at Intertrust Corporate Services (Cayman) Limited, One Nexus Way, Camana Bay, Grand Cayman, KY1-9005, Cayman Islands.</w:t>
      </w:r>
    </w:p>
    <w:p>
      <w:pPr>
        <w:spacing w:after="0" w:line="55" w:lineRule="exact"/>
        <w:rPr>
          <w:sz w:val="20"/>
          <w:szCs w:val="20"/>
          <w:color w:val="auto"/>
        </w:rPr>
      </w:pPr>
    </w:p>
    <w:p>
      <w:pPr>
        <w:ind w:left="3" w:right="18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Melco</w:t>
      </w:r>
      <w:r>
        <w:rPr>
          <w:rFonts w:ascii="Times New Roman" w:cs="Times New Roman" w:eastAsia="Times New Roman" w:hAnsi="Times New Roman"/>
          <w:sz w:val="17"/>
          <w:szCs w:val="17"/>
          <w:color w:val="auto"/>
        </w:rPr>
        <w:t>” means Melco Resorts &amp; Entertainment Limited, a limited liability company incorporated in the Cayman Islands (with registered number 143119) with registered address at Intertrust Corporate Services (Cayman) Limited, One Nexus Way, Camana Bay, Grand Cayman, KY1-9005, Cayman Islands.</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Melco Group</w:t>
      </w:r>
      <w:r>
        <w:rPr>
          <w:rFonts w:ascii="Times New Roman" w:cs="Times New Roman" w:eastAsia="Times New Roman" w:hAnsi="Times New Roman"/>
          <w:sz w:val="17"/>
          <w:szCs w:val="17"/>
          <w:color w:val="auto"/>
        </w:rPr>
        <w:t>” means Melco and each of its Subsidiaries.</w:t>
      </w:r>
    </w:p>
    <w:p>
      <w:pPr>
        <w:spacing w:after="0" w:line="118" w:lineRule="exact"/>
        <w:rPr>
          <w:sz w:val="20"/>
          <w:szCs w:val="20"/>
          <w:color w:val="auto"/>
        </w:rPr>
      </w:pPr>
    </w:p>
    <w:p>
      <w:pPr>
        <w:ind w:left="3" w:right="22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Melco International</w:t>
      </w:r>
      <w:r>
        <w:rPr>
          <w:rFonts w:ascii="Times New Roman" w:cs="Times New Roman" w:eastAsia="Times New Roman" w:hAnsi="Times New Roman"/>
          <w:sz w:val="17"/>
          <w:szCs w:val="17"/>
          <w:color w:val="auto"/>
        </w:rPr>
        <w:t>” means Melco International Development Limited, a limited liability company incorporated in the Hong Kong SAR (with registered number 000099) and whose registered address is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floor, The Centrium, 60 Wyndham Street, Central, Hong Kong.</w:t>
      </w:r>
    </w:p>
    <w:p>
      <w:pPr>
        <w:spacing w:after="0" w:line="1" w:lineRule="exact"/>
        <w:rPr>
          <w:sz w:val="20"/>
          <w:szCs w:val="20"/>
          <w:color w:val="auto"/>
        </w:rPr>
      </w:pPr>
    </w:p>
    <w:p>
      <w:pPr>
        <w:ind w:left="3" w:right="6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Melco Resorts Macau</w:t>
      </w:r>
      <w:r>
        <w:rPr>
          <w:rFonts w:ascii="Times New Roman" w:cs="Times New Roman" w:eastAsia="Times New Roman" w:hAnsi="Times New Roman"/>
          <w:sz w:val="17"/>
          <w:szCs w:val="17"/>
          <w:color w:val="auto"/>
        </w:rPr>
        <w:t>” means Melco Resorts (Macau) Limited, a company incorporated under the laws of the Macau SAR (with registered number 24325 (SO)), whose registered office is Estrada do Istmo, City of Dreams, Executive Office (L2M), Cotai, Macau, and formerly known as Melco Crown (Macau) Limited and formerly known as Melco Crown Gaming (Macau) Limited.</w:t>
      </w:r>
    </w:p>
    <w:p>
      <w:pPr>
        <w:spacing w:after="0" w:line="67" w:lineRule="exact"/>
        <w:rPr>
          <w:sz w:val="20"/>
          <w:szCs w:val="20"/>
          <w:color w:val="auto"/>
        </w:rPr>
      </w:pPr>
    </w:p>
    <w:p>
      <w:pPr>
        <w:ind w:left="3" w:right="1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Mocha Business</w:t>
      </w:r>
      <w:r>
        <w:rPr>
          <w:rFonts w:ascii="Times New Roman" w:cs="Times New Roman" w:eastAsia="Times New Roman" w:hAnsi="Times New Roman"/>
          <w:sz w:val="17"/>
          <w:szCs w:val="17"/>
          <w:color w:val="auto"/>
        </w:rPr>
        <w:t>” means the Mocha electronic gaming machine lounge business carried on by Melco Resorts Macau or any other member of the Group.</w:t>
      </w:r>
    </w:p>
    <w:p>
      <w:pPr>
        <w:spacing w:after="0" w:line="37" w:lineRule="exact"/>
        <w:rPr>
          <w:sz w:val="20"/>
          <w:szCs w:val="20"/>
          <w:color w:val="auto"/>
        </w:rPr>
      </w:pPr>
    </w:p>
    <w:p>
      <w:pPr>
        <w:ind w:left="3" w:right="4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Month</w:t>
      </w:r>
      <w:r>
        <w:rPr>
          <w:rFonts w:ascii="Times New Roman" w:cs="Times New Roman" w:eastAsia="Times New Roman" w:hAnsi="Times New Roman"/>
          <w:sz w:val="17"/>
          <w:szCs w:val="17"/>
          <w:color w:val="auto"/>
        </w:rPr>
        <w:t>” means a period starting on one day in a calendar month and ending on the numerically corresponding day in the next calendar month, except that:</w:t>
      </w:r>
    </w:p>
    <w:p>
      <w:pPr>
        <w:spacing w:after="0" w:line="52" w:lineRule="exact"/>
        <w:rPr>
          <w:sz w:val="20"/>
          <w:szCs w:val="20"/>
          <w:color w:val="auto"/>
        </w:rPr>
      </w:pPr>
    </w:p>
    <w:p>
      <w:pPr>
        <w:jc w:val="both"/>
        <w:ind w:left="523" w:right="20" w:hanging="523"/>
        <w:spacing w:after="0" w:line="295" w:lineRule="auto"/>
        <w:tabs>
          <w:tab w:leader="none" w:pos="523"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27" w:name="page328"/>
    <w:bookmarkEnd w:id="327"/>
    <w:p>
      <w:pPr>
        <w:ind w:left="523" w:right="420" w:hanging="523"/>
        <w:spacing w:after="0" w:line="295" w:lineRule="auto"/>
        <w:tabs>
          <w:tab w:leader="none" w:pos="523"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there is no numerically corresponding day in the calendar month in which that period is to end, that period shall end on the last Business Day in that calendar month; and</w:t>
      </w:r>
    </w:p>
    <w:p>
      <w:pPr>
        <w:spacing w:after="0" w:line="55" w:lineRule="exact"/>
        <w:rPr>
          <w:rFonts w:ascii="Times New Roman" w:cs="Times New Roman" w:eastAsia="Times New Roman" w:hAnsi="Times New Roman"/>
          <w:sz w:val="17"/>
          <w:szCs w:val="17"/>
          <w:color w:val="auto"/>
        </w:rPr>
      </w:pPr>
    </w:p>
    <w:p>
      <w:pPr>
        <w:ind w:left="523" w:right="100" w:hanging="523"/>
        <w:spacing w:after="0" w:line="276" w:lineRule="auto"/>
        <w:tabs>
          <w:tab w:leader="none" w:pos="523"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Interest Period begins on the last Business Day of a calendar month and, consistent with the terms of this Agreement, that Interest Period is to be of a duration equal to a whole number of Months, that Interest Period shall end on the last Business Day in the calendar month in which that Interest Period is to end.</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The above rules will only apply to the last Month of any period. “</w:t>
      </w:r>
      <w:r>
        <w:rPr>
          <w:rFonts w:ascii="Times New Roman" w:cs="Times New Roman" w:eastAsia="Times New Roman" w:hAnsi="Times New Roman"/>
          <w:sz w:val="17"/>
          <w:szCs w:val="17"/>
          <w:b w:val="1"/>
          <w:bCs w:val="1"/>
          <w:color w:val="auto"/>
        </w:rPr>
        <w:t>Monthly</w:t>
      </w:r>
      <w:r>
        <w:rPr>
          <w:rFonts w:ascii="Times New Roman" w:cs="Times New Roman" w:eastAsia="Times New Roman" w:hAnsi="Times New Roman"/>
          <w:sz w:val="17"/>
          <w:szCs w:val="17"/>
          <w:color w:val="auto"/>
        </w:rPr>
        <w:t>” shall be construed accordingly.</w:t>
      </w:r>
    </w:p>
    <w:p>
      <w:pPr>
        <w:spacing w:after="0" w:line="118" w:lineRule="exact"/>
        <w:rPr>
          <w:sz w:val="20"/>
          <w:szCs w:val="20"/>
          <w:color w:val="auto"/>
        </w:rPr>
      </w:pPr>
    </w:p>
    <w:p>
      <w:pPr>
        <w:ind w:left="3" w:right="6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Most Recent Relevant Period</w:t>
      </w:r>
      <w:r>
        <w:rPr>
          <w:rFonts w:ascii="Times New Roman" w:cs="Times New Roman" w:eastAsia="Times New Roman" w:hAnsi="Times New Roman"/>
          <w:sz w:val="17"/>
          <w:szCs w:val="17"/>
          <w:color w:val="auto"/>
        </w:rPr>
        <w:t>” means, as at any date, the most recently elapsed Relevant Period in respect of which Relevant Financial Statements for a period ending on the last day of such Relevant Period and the accompanying Compliance Certificate have been delivered to the Agent in accordance with Clauses 22.2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and 22.3 (</w:t>
      </w:r>
      <w:r>
        <w:rPr>
          <w:rFonts w:ascii="Times New Roman" w:cs="Times New Roman" w:eastAsia="Times New Roman" w:hAnsi="Times New Roman"/>
          <w:sz w:val="17"/>
          <w:szCs w:val="17"/>
          <w:i w:val="1"/>
          <w:iCs w:val="1"/>
          <w:color w:val="auto"/>
        </w:rPr>
        <w:t>Provision and contents of Compliance Certificate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if such date falls prior to the date on which the first set of Relevant Financial Statements and the accompanying Compliance Certificate shall have been delivered to the Agent in accordance with Clauses 22.2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and 22.3 (</w:t>
      </w:r>
      <w:r>
        <w:rPr>
          <w:rFonts w:ascii="Times New Roman" w:cs="Times New Roman" w:eastAsia="Times New Roman" w:hAnsi="Times New Roman"/>
          <w:sz w:val="17"/>
          <w:szCs w:val="17"/>
          <w:i w:val="1"/>
          <w:iCs w:val="1"/>
          <w:color w:val="auto"/>
        </w:rPr>
        <w:t>Provision and contents of 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Certificate</w:t>
      </w:r>
      <w:r>
        <w:rPr>
          <w:rFonts w:ascii="Times New Roman" w:cs="Times New Roman" w:eastAsia="Times New Roman" w:hAnsi="Times New Roman"/>
          <w:sz w:val="17"/>
          <w:szCs w:val="17"/>
          <w:color w:val="auto"/>
        </w:rPr>
        <w:t>), then (a) the Most Recent Relevant Period as at such date shall be deemed to be the Relevant Period ending on the last date as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Original Financial Statements are prepared, (b) the Relevant Financial Statements for such Most Recent Relevant Period shall be deemed to be the Original Financial Statements and (c) the requirements under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xml:space="preserve">) applicable to the Relevant Period ending on the First Test Date shall be deemed to apply to such Most Recent Relevant Period for the purposes of any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calculation of any of the requirements under Clauses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and 23.3 (</w:t>
      </w:r>
      <w:r>
        <w:rPr>
          <w:rFonts w:ascii="Times New Roman" w:cs="Times New Roman" w:eastAsia="Times New Roman" w:hAnsi="Times New Roman"/>
          <w:sz w:val="17"/>
          <w:szCs w:val="17"/>
          <w:i w:val="1"/>
          <w:iCs w:val="1"/>
          <w:color w:val="auto"/>
        </w:rPr>
        <w:t>Financial testing</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Most Recent Senior Leverage</w:t>
      </w:r>
      <w:r>
        <w:rPr>
          <w:rFonts w:ascii="Times New Roman" w:cs="Times New Roman" w:eastAsia="Times New Roman" w:hAnsi="Times New Roman"/>
          <w:sz w:val="17"/>
          <w:szCs w:val="17"/>
          <w:color w:val="auto"/>
        </w:rPr>
        <w:t>” means, at any time, Senior Leverage for the Most Recent Relevant Period as at such time.</w:t>
      </w:r>
    </w:p>
    <w:p>
      <w:pPr>
        <w:spacing w:after="0" w:line="118" w:lineRule="exact"/>
        <w:rPr>
          <w:sz w:val="20"/>
          <w:szCs w:val="20"/>
          <w:color w:val="auto"/>
        </w:rPr>
      </w:pPr>
    </w:p>
    <w:p>
      <w:pPr>
        <w:jc w:val="both"/>
        <w:ind w:left="3" w:right="6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Shareholder Injection</w:t>
      </w:r>
      <w:r>
        <w:rPr>
          <w:rFonts w:ascii="Times New Roman" w:cs="Times New Roman" w:eastAsia="Times New Roman" w:hAnsi="Times New Roman"/>
          <w:sz w:val="17"/>
          <w:szCs w:val="17"/>
          <w:color w:val="auto"/>
        </w:rPr>
        <w:t>” means the cash proceeds received by the Company after the Initial Utilisation Date in respect of (a) a subscription for fully paid ordinary shares of the Company and/or (b) any incurrence of Sponsor Group Loans or Subordinated Debt.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Obligor</w:t>
      </w:r>
      <w:r>
        <w:rPr>
          <w:rFonts w:ascii="Times New Roman" w:cs="Times New Roman" w:eastAsia="Times New Roman" w:hAnsi="Times New Roman"/>
          <w:sz w:val="17"/>
          <w:szCs w:val="17"/>
          <w:color w:val="auto"/>
        </w:rPr>
        <w:t>” means the Company.</w:t>
      </w:r>
    </w:p>
    <w:p>
      <w:pPr>
        <w:spacing w:after="0" w:line="118" w:lineRule="exact"/>
        <w:rPr>
          <w:sz w:val="20"/>
          <w:szCs w:val="20"/>
          <w:color w:val="auto"/>
        </w:rPr>
      </w:pPr>
    </w:p>
    <w:p>
      <w:pPr>
        <w:ind w:left="3" w:right="1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Occupational Lease</w:t>
      </w:r>
      <w:r>
        <w:rPr>
          <w:rFonts w:ascii="Times New Roman" w:cs="Times New Roman" w:eastAsia="Times New Roman" w:hAnsi="Times New Roman"/>
          <w:sz w:val="17"/>
          <w:szCs w:val="17"/>
          <w:color w:val="auto"/>
        </w:rPr>
        <w:t>” means any lease, sub-lease, licence, tenancy or right to occupy, use or operate (or any agreement for the grant of any of the foregoing) to which a member of the Group’s interest in a Property may be subject from time to time or which may be granted to a member of the Group.</w:t>
      </w:r>
    </w:p>
    <w:p>
      <w:pPr>
        <w:spacing w:after="0" w:line="55" w:lineRule="exact"/>
        <w:rPr>
          <w:sz w:val="20"/>
          <w:szCs w:val="20"/>
          <w:color w:val="auto"/>
        </w:rPr>
      </w:pPr>
    </w:p>
    <w:p>
      <w:pPr>
        <w:ind w:left="3" w:right="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Optional Currency</w:t>
      </w:r>
      <w:r>
        <w:rPr>
          <w:rFonts w:ascii="Times New Roman" w:cs="Times New Roman" w:eastAsia="Times New Roman" w:hAnsi="Times New Roman"/>
          <w:sz w:val="17"/>
          <w:szCs w:val="17"/>
          <w:color w:val="auto"/>
        </w:rPr>
        <w:t>” means a currency (other than the Base Currency) which complies with the conditions set out in Clause 4.3 (</w:t>
      </w:r>
      <w:r>
        <w:rPr>
          <w:rFonts w:ascii="Times New Roman" w:cs="Times New Roman" w:eastAsia="Times New Roman" w:hAnsi="Times New Roman"/>
          <w:sz w:val="17"/>
          <w:szCs w:val="17"/>
          <w:i w:val="1"/>
          <w:iCs w:val="1"/>
          <w:color w:val="auto"/>
        </w:rPr>
        <w:t>Conditions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relating to Optional Currencies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1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Financial Statements</w:t>
      </w:r>
      <w:r>
        <w:rPr>
          <w:rFonts w:ascii="Times New Roman" w:cs="Times New Roman" w:eastAsia="Times New Roman" w:hAnsi="Times New Roman"/>
          <w:sz w:val="17"/>
          <w:szCs w:val="17"/>
          <w:color w:val="auto"/>
        </w:rPr>
        <w:t>” means the audited consolidated financial statements for the financial year ended 31 December 2019 of the Company.</w:t>
      </w:r>
    </w:p>
    <w:p>
      <w:pPr>
        <w:spacing w:after="0" w:line="37" w:lineRule="exact"/>
        <w:rPr>
          <w:sz w:val="20"/>
          <w:szCs w:val="20"/>
          <w:color w:val="auto"/>
        </w:rPr>
      </w:pPr>
    </w:p>
    <w:p>
      <w:pPr>
        <w:ind w:left="3" w:right="9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Incremental Facility Lenders</w:t>
      </w:r>
      <w:r>
        <w:rPr>
          <w:rFonts w:ascii="Times New Roman" w:cs="Times New Roman" w:eastAsia="Times New Roman" w:hAnsi="Times New Roman"/>
          <w:sz w:val="17"/>
          <w:szCs w:val="17"/>
          <w:color w:val="auto"/>
        </w:rPr>
        <w:t>” has the meaning given to that term in paragraph (g)(i) of Clause 7.2 (</w:t>
      </w:r>
      <w:r>
        <w:rPr>
          <w:rFonts w:ascii="Times New Roman" w:cs="Times New Roman" w:eastAsia="Times New Roman" w:hAnsi="Times New Roman"/>
          <w:sz w:val="17"/>
          <w:szCs w:val="17"/>
          <w:i w:val="1"/>
          <w:iCs w:val="1"/>
          <w:color w:val="auto"/>
        </w:rPr>
        <w:t>Availability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establishment of Incremental Facilities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38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Overnight SOFR</w:t>
      </w:r>
      <w:r>
        <w:rPr>
          <w:rFonts w:ascii="Times New Roman" w:cs="Times New Roman" w:eastAsia="Times New Roman" w:hAnsi="Times New Roman"/>
          <w:sz w:val="17"/>
          <w:szCs w:val="17"/>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Participation</w:t>
      </w:r>
      <w:r>
        <w:rPr>
          <w:rFonts w:ascii="Times New Roman" w:cs="Times New Roman" w:eastAsia="Times New Roman" w:hAnsi="Times New Roman"/>
          <w:sz w:val="17"/>
          <w:szCs w:val="17"/>
          <w:color w:val="auto"/>
        </w:rPr>
        <w:t>” means a Debt Purchase Transaction other than a purchase falling within paragraph (a) of the definition thereof.</w:t>
      </w:r>
    </w:p>
    <w:p>
      <w:pPr>
        <w:spacing w:after="0" w:line="159"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28" w:name="page329"/>
    <w:bookmarkEnd w:id="328"/>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means a party to this Agreement.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Patacas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MOP</w:t>
      </w:r>
      <w:r>
        <w:rPr>
          <w:rFonts w:ascii="Times New Roman" w:cs="Times New Roman" w:eastAsia="Times New Roman" w:hAnsi="Times New Roman"/>
          <w:sz w:val="17"/>
          <w:szCs w:val="17"/>
          <w:color w:val="auto"/>
        </w:rPr>
        <w:t>” denotes the lawful currency of the Macau SAR.</w:t>
      </w:r>
    </w:p>
    <w:p>
      <w:pPr>
        <w:spacing w:after="0" w:line="118" w:lineRule="exact"/>
        <w:rPr>
          <w:sz w:val="20"/>
          <w:szCs w:val="20"/>
          <w:color w:val="auto"/>
        </w:rPr>
      </w:pPr>
    </w:p>
    <w:p>
      <w:pPr>
        <w:ind w:left="3" w:right="18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Permits</w:t>
      </w:r>
      <w:r>
        <w:rPr>
          <w:rFonts w:ascii="Times New Roman" w:cs="Times New Roman" w:eastAsia="Times New Roman" w:hAnsi="Times New Roman"/>
          <w:sz w:val="17"/>
          <w:szCs w:val="17"/>
          <w:color w:val="auto"/>
        </w:rPr>
        <w:t>” means all approvals, licences, consents, permits, Authorisations, registrations and filings, necessary in connection with the execution, delivery, completion, implementation, perfection or performance, admission into evidence or enforcement of the Transaction Documents on the terms thereof and all material approvals, licences, consents, permits, Authorisations, registrations and filings required for the design, development, construction, ownership, maintenance, operation or management of the Projects and business of the Group as contemplated under the Transaction Documents.</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Disposal</w:t>
      </w:r>
      <w:r>
        <w:rPr>
          <w:rFonts w:ascii="Times New Roman" w:cs="Times New Roman" w:eastAsia="Times New Roman" w:hAnsi="Times New Roman"/>
          <w:sz w:val="17"/>
          <w:szCs w:val="17"/>
          <w:color w:val="auto"/>
        </w:rPr>
        <w:t>” means any Disposal:</w:t>
      </w:r>
    </w:p>
    <w:p>
      <w:pPr>
        <w:spacing w:after="0" w:line="133" w:lineRule="exact"/>
        <w:rPr>
          <w:sz w:val="20"/>
          <w:szCs w:val="20"/>
          <w:color w:val="auto"/>
        </w:rPr>
      </w:pPr>
    </w:p>
    <w:p>
      <w:pPr>
        <w:ind w:left="523" w:right="200" w:hanging="523"/>
        <w:spacing w:after="0" w:line="276" w:lineRule="auto"/>
        <w:tabs>
          <w:tab w:leader="none" w:pos="52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in the grant of any lease, licence or right to occupy or use or equivalent interest made by any member of the Group in the ordinary course of business of the disposing entity with respect to any part of any Real Property or any enterprise of the disposing entity including, without limitation, in respect of restaurants, retail and entertainment outlets, hotel rooms or other facilities;</w:t>
      </w:r>
    </w:p>
    <w:p>
      <w:pPr>
        <w:spacing w:after="0" w:line="70" w:lineRule="exact"/>
        <w:rPr>
          <w:rFonts w:ascii="Times New Roman" w:cs="Times New Roman" w:eastAsia="Times New Roman" w:hAnsi="Times New Roman"/>
          <w:sz w:val="17"/>
          <w:szCs w:val="17"/>
          <w:color w:val="auto"/>
        </w:rPr>
      </w:pPr>
    </w:p>
    <w:p>
      <w:pPr>
        <w:jc w:val="both"/>
        <w:ind w:left="523" w:right="120" w:hanging="523"/>
        <w:spacing w:after="0" w:line="276" w:lineRule="auto"/>
        <w:tabs>
          <w:tab w:leader="none" w:pos="52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registered strata title to any casino by the relevant Project Company to Melco Resorts Macau in accordance with or, as the case may be, after an amendment is made to and in accordance with, the relevant Land Concession to permit the registration of strata title and any such Disposal and subject to complying with the Concession and all other Legal Requirements;</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as a result of any Permitted Security;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falling within any of the above paragraphs but made with the prior written consent of the Agent.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Group Financial Indebtedness</w:t>
      </w:r>
      <w:r>
        <w:rPr>
          <w:rFonts w:ascii="Times New Roman" w:cs="Times New Roman" w:eastAsia="Times New Roman" w:hAnsi="Times New Roman"/>
          <w:sz w:val="17"/>
          <w:szCs w:val="17"/>
          <w:color w:val="auto"/>
        </w:rPr>
        <w:t>” means Financial Indebtedness:</w:t>
      </w:r>
    </w:p>
    <w:p>
      <w:pPr>
        <w:spacing w:after="0" w:line="133" w:lineRule="exact"/>
        <w:rPr>
          <w:sz w:val="20"/>
          <w:szCs w:val="20"/>
          <w:color w:val="auto"/>
        </w:rPr>
      </w:pPr>
    </w:p>
    <w:p>
      <w:pPr>
        <w:ind w:left="523" w:hanging="523"/>
        <w:spacing w:after="0"/>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under the Finance Documents;</w:t>
      </w:r>
    </w:p>
    <w:p>
      <w:pPr>
        <w:spacing w:after="0" w:line="129" w:lineRule="exact"/>
        <w:rPr>
          <w:rFonts w:ascii="Times New Roman" w:cs="Times New Roman" w:eastAsia="Times New Roman" w:hAnsi="Times New Roman"/>
          <w:sz w:val="17"/>
          <w:szCs w:val="17"/>
          <w:color w:val="auto"/>
        </w:rPr>
      </w:pPr>
    </w:p>
    <w:p>
      <w:pPr>
        <w:ind w:left="523" w:right="160" w:hanging="523"/>
        <w:spacing w:after="0" w:line="277" w:lineRule="auto"/>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existing on the date of this Agreement in respect of the Existing OpCo Facilities,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on and from the close of business in the Macau SAR on the Business Day immediately after the First Utilisation Date, the aggregate principal amount of such Financial Indebtedness does not exceed HKD2,000,000 at any time;</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under any Concession Guarantee Facility;</w:t>
      </w:r>
    </w:p>
    <w:p>
      <w:pPr>
        <w:spacing w:after="0" w:line="129" w:lineRule="exact"/>
        <w:rPr>
          <w:rFonts w:ascii="Times New Roman" w:cs="Times New Roman" w:eastAsia="Times New Roman" w:hAnsi="Times New Roman"/>
          <w:sz w:val="17"/>
          <w:szCs w:val="17"/>
          <w:color w:val="auto"/>
        </w:rPr>
      </w:pPr>
    </w:p>
    <w:p>
      <w:pPr>
        <w:ind w:left="523" w:right="60" w:hanging="523"/>
        <w:spacing w:after="0" w:line="298" w:lineRule="auto"/>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respect of any Sponsor Group Loan or Subordinated Debt,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all guarantees of such Financial Indebtedness provided by any Group Members are subordinated to the Facility Liabilities under the terms of the Subordination Deed;</w:t>
      </w:r>
    </w:p>
    <w:p>
      <w:pPr>
        <w:spacing w:after="0" w:line="52"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owed by any Group Member to any other Group Member;</w:t>
      </w:r>
    </w:p>
    <w:p>
      <w:pPr>
        <w:spacing w:after="0" w:line="131" w:lineRule="exact"/>
        <w:rPr>
          <w:rFonts w:ascii="Times New Roman" w:cs="Times New Roman" w:eastAsia="Times New Roman" w:hAnsi="Times New Roman"/>
          <w:sz w:val="17"/>
          <w:szCs w:val="17"/>
          <w:color w:val="auto"/>
        </w:rPr>
      </w:pPr>
    </w:p>
    <w:p>
      <w:pPr>
        <w:ind w:left="523" w:right="140" w:hanging="523"/>
        <w:spacing w:after="0" w:line="276" w:lineRule="auto"/>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Permitted Group Guarantee (other than paragraph (c) thereof) or arising under any interest rate hedging arrangements, spot and forward delivery foreign exchange contracts and any other treasury transactions, in each case entered into in the ordinary course of business or trading activities and not for speculative purposes;</w:t>
      </w:r>
    </w:p>
    <w:p>
      <w:pPr>
        <w:spacing w:after="0" w:line="70" w:lineRule="exact"/>
        <w:rPr>
          <w:rFonts w:ascii="Times New Roman" w:cs="Times New Roman" w:eastAsia="Times New Roman" w:hAnsi="Times New Roman"/>
          <w:sz w:val="17"/>
          <w:szCs w:val="17"/>
          <w:color w:val="auto"/>
        </w:rPr>
      </w:pPr>
    </w:p>
    <w:p>
      <w:pPr>
        <w:ind w:left="523" w:right="680" w:hanging="523"/>
        <w:spacing w:after="0" w:line="295" w:lineRule="auto"/>
        <w:tabs>
          <w:tab w:leader="none" w:pos="52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under current trade receivables and payables between (i) on the one hand, members of the Group and (ii) on the other, members of the Melco Group or Sponsor Group Shareholders, arising in the ordinary course of trading;</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29" w:name="page330"/>
    <w:bookmarkEnd w:id="329"/>
    <w:p>
      <w:pPr>
        <w:ind w:left="523" w:right="400" w:hanging="523"/>
        <w:spacing w:after="0" w:line="295" w:lineRule="auto"/>
        <w:tabs>
          <w:tab w:leader="none" w:pos="523"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respect of any loans or other credit support from, or given directly on behalf of, at the direction of, or pursuant to any measure, scheme or policy initiative administered or enabled by, a Governmental Authority of the Macau SAR which is either:</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mandatorily extended to a member of the Group pursuant to applicable law, regulation or policy; or</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offered to a member of the Group, if:</w:t>
      </w:r>
    </w:p>
    <w:p>
      <w:pPr>
        <w:spacing w:after="0" w:line="129" w:lineRule="exact"/>
        <w:rPr>
          <w:rFonts w:ascii="Times New Roman" w:cs="Times New Roman" w:eastAsia="Times New Roman" w:hAnsi="Times New Roman"/>
          <w:sz w:val="17"/>
          <w:szCs w:val="17"/>
          <w:color w:val="auto"/>
        </w:rPr>
      </w:pPr>
    </w:p>
    <w:p>
      <w:pPr>
        <w:ind w:left="1683" w:right="40" w:hanging="520"/>
        <w:spacing w:after="0" w:line="270" w:lineRule="auto"/>
        <w:tabs>
          <w:tab w:leader="none" w:pos="1683"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under any of Clauses 25.1 (</w:t>
      </w:r>
      <w:r>
        <w:rPr>
          <w:rFonts w:ascii="Times New Roman" w:cs="Times New Roman" w:eastAsia="Times New Roman" w:hAnsi="Times New Roman"/>
          <w:sz w:val="17"/>
          <w:szCs w:val="17"/>
          <w:i w:val="1"/>
          <w:iCs w:val="1"/>
          <w:color w:val="auto"/>
        </w:rPr>
        <w:t>Non payment</w:t>
      </w:r>
      <w:r>
        <w:rPr>
          <w:rFonts w:ascii="Times New Roman" w:cs="Times New Roman" w:eastAsia="Times New Roman" w:hAnsi="Times New Roman"/>
          <w:sz w:val="17"/>
          <w:szCs w:val="17"/>
          <w:color w:val="auto"/>
        </w:rPr>
        <w:t>), 25.2 (</w:t>
      </w:r>
      <w:r>
        <w:rPr>
          <w:rFonts w:ascii="Times New Roman" w:cs="Times New Roman" w:eastAsia="Times New Roman" w:hAnsi="Times New Roman"/>
          <w:sz w:val="17"/>
          <w:szCs w:val="17"/>
          <w:i w:val="1"/>
          <w:iCs w:val="1"/>
          <w:color w:val="auto"/>
        </w:rPr>
        <w:t>Financial covenants and other obligations</w:t>
      </w:r>
      <w:r>
        <w:rPr>
          <w:rFonts w:ascii="Times New Roman" w:cs="Times New Roman" w:eastAsia="Times New Roman" w:hAnsi="Times New Roman"/>
          <w:sz w:val="17"/>
          <w:szCs w:val="17"/>
          <w:color w:val="auto"/>
        </w:rPr>
        <w:t>) in respect of Clause 24.18 (</w:t>
      </w:r>
      <w:r>
        <w:rPr>
          <w:rFonts w:ascii="Times New Roman" w:cs="Times New Roman" w:eastAsia="Times New Roman" w:hAnsi="Times New Roman"/>
          <w:sz w:val="17"/>
          <w:szCs w:val="17"/>
          <w:i w:val="1"/>
          <w:iCs w:val="1"/>
          <w:color w:val="auto"/>
        </w:rPr>
        <w:t>Financial Indebtedness and guarantees</w:t>
      </w:r>
      <w:r>
        <w:rPr>
          <w:rFonts w:ascii="Times New Roman" w:cs="Times New Roman" w:eastAsia="Times New Roman" w:hAnsi="Times New Roman"/>
          <w:sz w:val="17"/>
          <w:szCs w:val="17"/>
          <w:color w:val="auto"/>
        </w:rPr>
        <w:t>), 25.3 (</w:t>
      </w:r>
      <w:r>
        <w:rPr>
          <w:rFonts w:ascii="Times New Roman" w:cs="Times New Roman" w:eastAsia="Times New Roman" w:hAnsi="Times New Roman"/>
          <w:sz w:val="17"/>
          <w:szCs w:val="17"/>
          <w:i w:val="1"/>
          <w:iCs w:val="1"/>
          <w:color w:val="auto"/>
        </w:rPr>
        <w:t>Other obligations</w:t>
      </w:r>
      <w:r>
        <w:rPr>
          <w:rFonts w:ascii="Times New Roman" w:cs="Times New Roman" w:eastAsia="Times New Roman" w:hAnsi="Times New Roman"/>
          <w:sz w:val="17"/>
          <w:szCs w:val="17"/>
          <w:color w:val="auto"/>
        </w:rPr>
        <w:t>) in respect of Clause 24.13 (</w:t>
      </w:r>
      <w:r>
        <w:rPr>
          <w:rFonts w:ascii="Times New Roman" w:cs="Times New Roman" w:eastAsia="Times New Roman" w:hAnsi="Times New Roman"/>
          <w:sz w:val="17"/>
          <w:szCs w:val="17"/>
          <w:i w:val="1"/>
          <w:iCs w:val="1"/>
          <w:color w:val="auto"/>
        </w:rPr>
        <w:t>Negative pledge</w:t>
      </w:r>
      <w:r>
        <w:rPr>
          <w:rFonts w:ascii="Times New Roman" w:cs="Times New Roman" w:eastAsia="Times New Roman" w:hAnsi="Times New Roman"/>
          <w:sz w:val="17"/>
          <w:szCs w:val="17"/>
          <w:color w:val="auto"/>
        </w:rPr>
        <w:t>), 25.6 (</w:t>
      </w:r>
      <w:r>
        <w:rPr>
          <w:rFonts w:ascii="Times New Roman" w:cs="Times New Roman" w:eastAsia="Times New Roman" w:hAnsi="Times New Roman"/>
          <w:sz w:val="17"/>
          <w:szCs w:val="17"/>
          <w:i w:val="1"/>
          <w:iCs w:val="1"/>
          <w:color w:val="auto"/>
        </w:rPr>
        <w:t>Insolvency</w:t>
      </w:r>
      <w:r>
        <w:rPr>
          <w:rFonts w:ascii="Times New Roman" w:cs="Times New Roman" w:eastAsia="Times New Roman" w:hAnsi="Times New Roman"/>
          <w:sz w:val="17"/>
          <w:szCs w:val="17"/>
          <w:color w:val="auto"/>
        </w:rPr>
        <w:t>) or 25.7 (</w:t>
      </w:r>
      <w:r>
        <w:rPr>
          <w:rFonts w:ascii="Times New Roman" w:cs="Times New Roman" w:eastAsia="Times New Roman" w:hAnsi="Times New Roman"/>
          <w:sz w:val="17"/>
          <w:szCs w:val="17"/>
          <w:i w:val="1"/>
          <w:iCs w:val="1"/>
          <w:color w:val="auto"/>
        </w:rPr>
        <w:t>Insolvency proceedings</w:t>
      </w:r>
      <w:r>
        <w:rPr>
          <w:rFonts w:ascii="Times New Roman" w:cs="Times New Roman" w:eastAsia="Times New Roman" w:hAnsi="Times New Roman"/>
          <w:sz w:val="17"/>
          <w:szCs w:val="17"/>
          <w:color w:val="auto"/>
        </w:rPr>
        <w:t>) is continuing when such Financial Indebtedness is incurred;</w:t>
      </w:r>
    </w:p>
    <w:p>
      <w:pPr>
        <w:spacing w:after="0" w:line="76" w:lineRule="exact"/>
        <w:rPr>
          <w:rFonts w:ascii="Times New Roman" w:cs="Times New Roman" w:eastAsia="Times New Roman" w:hAnsi="Times New Roman"/>
          <w:sz w:val="17"/>
          <w:szCs w:val="17"/>
          <w:color w:val="auto"/>
        </w:rPr>
      </w:pPr>
    </w:p>
    <w:p>
      <w:pPr>
        <w:ind w:left="1683" w:right="300" w:hanging="520"/>
        <w:spacing w:after="0" w:line="266" w:lineRule="auto"/>
        <w:tabs>
          <w:tab w:leader="none" w:pos="1683"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on or before the date falling 10 Business Days prior to the incurrence of such Financial Indebtedness, the Company has notified the Agent in writing of the relevant Group Members’ intention to incur such Financial Indebtedness and (y) on or before the date falling 1 Business Day prior to the incurrence of such Financial Indebtedness, the Company has not received written notice from the Agent that the Majority Lenders object to the incurrence of such Financial Indebtedness; and</w:t>
      </w:r>
    </w:p>
    <w:p>
      <w:pPr>
        <w:spacing w:after="0" w:line="79" w:lineRule="exact"/>
        <w:rPr>
          <w:rFonts w:ascii="Times New Roman" w:cs="Times New Roman" w:eastAsia="Times New Roman" w:hAnsi="Times New Roman"/>
          <w:sz w:val="17"/>
          <w:szCs w:val="17"/>
          <w:color w:val="auto"/>
        </w:rPr>
      </w:pPr>
    </w:p>
    <w:p>
      <w:pPr>
        <w:ind w:left="1683" w:right="100" w:hanging="520"/>
        <w:spacing w:after="0" w:line="276" w:lineRule="auto"/>
        <w:tabs>
          <w:tab w:leader="none" w:pos="1683"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 a certificate from an Authorised Representative confirming that he or she reasonably believes that not incurring such Financial Indebtedness would be materially prejudicial to the business, operations and/or financial condition of the Company;</w:t>
      </w:r>
    </w:p>
    <w:p>
      <w:pPr>
        <w:spacing w:after="0" w:line="68" w:lineRule="exact"/>
        <w:rPr>
          <w:rFonts w:ascii="Times New Roman" w:cs="Times New Roman" w:eastAsia="Times New Roman" w:hAnsi="Times New Roman"/>
          <w:sz w:val="17"/>
          <w:szCs w:val="17"/>
          <w:color w:val="auto"/>
        </w:rPr>
      </w:pPr>
    </w:p>
    <w:p>
      <w:pPr>
        <w:ind w:left="523" w:right="300" w:hanging="523"/>
        <w:spacing w:after="0" w:line="298" w:lineRule="auto"/>
        <w:tabs>
          <w:tab w:leader="none" w:pos="523"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constituting Financial Indebtedness referred to in paragraph (r) of the definition of “Permitted Security”,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each of the conditions set out in that paragraph have been satisfied; or</w:t>
      </w:r>
    </w:p>
    <w:p>
      <w:pPr>
        <w:spacing w:after="0" w:line="52" w:lineRule="exact"/>
        <w:rPr>
          <w:rFonts w:ascii="Times New Roman" w:cs="Times New Roman" w:eastAsia="Times New Roman" w:hAnsi="Times New Roman"/>
          <w:sz w:val="17"/>
          <w:szCs w:val="17"/>
          <w:color w:val="auto"/>
        </w:rPr>
      </w:pPr>
    </w:p>
    <w:p>
      <w:pPr>
        <w:ind w:left="523" w:right="300" w:hanging="523"/>
        <w:spacing w:after="0" w:line="276" w:lineRule="auto"/>
        <w:tabs>
          <w:tab w:leader="none" w:pos="523"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permitted by any of the preceding sub-paragraphs or as a Permitted Transaction and the outstanding amount of which (together with the outstanding amount of any guarantees that are solely permitted under paragraph (i) of the definition of “Permitted Group Guarantee”) does not exceed USD125,000,000 (or its equivalent in other currencies) in aggregate for the Group at any time.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Group Guarantee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endorsement of negotiable instruments in the ordinary course of trade;</w:t>
      </w:r>
    </w:p>
    <w:p>
      <w:pPr>
        <w:spacing w:after="0" w:line="131" w:lineRule="exact"/>
        <w:rPr>
          <w:rFonts w:ascii="Times New Roman" w:cs="Times New Roman" w:eastAsia="Times New Roman" w:hAnsi="Times New Roman"/>
          <w:sz w:val="17"/>
          <w:szCs w:val="17"/>
          <w:color w:val="auto"/>
        </w:rPr>
      </w:pPr>
    </w:p>
    <w:p>
      <w:pPr>
        <w:ind w:left="523" w:right="80" w:hanging="523"/>
        <w:spacing w:after="0" w:line="295" w:lineRule="auto"/>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 or similar bond guaranteeing performance by a member of the Group under any contract entered into in the ordinary course of trade;</w:t>
      </w:r>
    </w:p>
    <w:p>
      <w:pPr>
        <w:spacing w:after="0" w:line="53" w:lineRule="exact"/>
        <w:rPr>
          <w:rFonts w:ascii="Times New Roman" w:cs="Times New Roman" w:eastAsia="Times New Roman" w:hAnsi="Times New Roman"/>
          <w:sz w:val="17"/>
          <w:szCs w:val="17"/>
          <w:color w:val="auto"/>
        </w:rPr>
      </w:pPr>
    </w:p>
    <w:p>
      <w:pPr>
        <w:ind w:left="523" w:right="100" w:hanging="523"/>
        <w:spacing w:after="0" w:line="298" w:lineRule="auto"/>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permitted under paragraph (c) of Clause 24.18 (</w:t>
      </w:r>
      <w:r>
        <w:rPr>
          <w:rFonts w:ascii="Times New Roman" w:cs="Times New Roman" w:eastAsia="Times New Roman" w:hAnsi="Times New Roman"/>
          <w:sz w:val="17"/>
          <w:szCs w:val="17"/>
          <w:i w:val="1"/>
          <w:iCs w:val="1"/>
          <w:color w:val="auto"/>
        </w:rPr>
        <w:t>Financial Indebtedness and guarantees</w:t>
      </w:r>
      <w:r>
        <w:rPr>
          <w:rFonts w:ascii="Times New Roman" w:cs="Times New Roman" w:eastAsia="Times New Roman" w:hAnsi="Times New Roman"/>
          <w:sz w:val="17"/>
          <w:szCs w:val="17"/>
          <w:color w:val="auto"/>
        </w:rPr>
        <w:t>) (including, without limitation, any guarantee granted in connection with the Existing OpCo Facilities before the date of this Agreement);</w:t>
      </w:r>
    </w:p>
    <w:p>
      <w:pPr>
        <w:spacing w:after="0" w:line="52" w:lineRule="exact"/>
        <w:rPr>
          <w:rFonts w:ascii="Times New Roman" w:cs="Times New Roman" w:eastAsia="Times New Roman" w:hAnsi="Times New Roman"/>
          <w:sz w:val="17"/>
          <w:szCs w:val="17"/>
          <w:color w:val="auto"/>
        </w:rPr>
      </w:pPr>
    </w:p>
    <w:p>
      <w:pPr>
        <w:ind w:left="523" w:right="40" w:hanging="523"/>
        <w:spacing w:after="0" w:line="295" w:lineRule="auto"/>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given in respect of the netting or set-off arrangements permitted pursuant to paragraph (d) of the definition of Permitted Security;</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Concession Guarantee;</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guarantees for the arrangement of cash or deposit collateral for any Land Concession or Concession;</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30" w:name="page331"/>
    <w:bookmarkEnd w:id="330"/>
    <w:p>
      <w:pPr>
        <w:ind w:left="523" w:right="300" w:hanging="523"/>
        <w:spacing w:after="0" w:line="298" w:lineRule="auto"/>
        <w:tabs>
          <w:tab w:leader="none" w:pos="523"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any Bond Guarantee provided by a Group Member other than the Company,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prior to incurring such Bond Guarantee (and at the cost of the Company):</w:t>
      </w:r>
    </w:p>
    <w:p>
      <w:pPr>
        <w:spacing w:after="0" w:line="52" w:lineRule="exact"/>
        <w:rPr>
          <w:rFonts w:ascii="Times New Roman" w:cs="Times New Roman" w:eastAsia="Times New Roman" w:hAnsi="Times New Roman"/>
          <w:sz w:val="17"/>
          <w:szCs w:val="17"/>
          <w:color w:val="auto"/>
        </w:rPr>
      </w:pPr>
    </w:p>
    <w:p>
      <w:pPr>
        <w:ind w:left="1143" w:right="120" w:hanging="620"/>
        <w:spacing w:after="0" w:line="276" w:lineRule="auto"/>
        <w:tabs>
          <w:tab w:leader="none" w:pos="1143"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Member that is providing the Bond Guarantee guarantees the Facility Liabilities (in form and substance satisfactory to the Majority Lenders (acting reasonably)) as a primary and not a secondary obligation without any Guarantee Restrictions and as its senior obligation;</w:t>
      </w:r>
    </w:p>
    <w:p>
      <w:pPr>
        <w:spacing w:after="0" w:line="70" w:lineRule="exact"/>
        <w:rPr>
          <w:rFonts w:ascii="Times New Roman" w:cs="Times New Roman" w:eastAsia="Times New Roman" w:hAnsi="Times New Roman"/>
          <w:sz w:val="17"/>
          <w:szCs w:val="17"/>
          <w:color w:val="auto"/>
        </w:rPr>
      </w:pPr>
    </w:p>
    <w:p>
      <w:pPr>
        <w:ind w:left="1143" w:right="600" w:hanging="620"/>
        <w:spacing w:after="0" w:line="295" w:lineRule="auto"/>
        <w:tabs>
          <w:tab w:leader="none" w:pos="1143"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each Group Member that is providing the Bond Guarantee, Bondco and the notes trustee and any other applicable administrative parties in respect of the relevant Bondco Indebtedness have either:</w:t>
      </w:r>
    </w:p>
    <w:p>
      <w:pPr>
        <w:spacing w:after="0" w:line="55" w:lineRule="exact"/>
        <w:rPr>
          <w:rFonts w:ascii="Times New Roman" w:cs="Times New Roman" w:eastAsia="Times New Roman" w:hAnsi="Times New Roman"/>
          <w:sz w:val="17"/>
          <w:szCs w:val="17"/>
          <w:color w:val="auto"/>
        </w:rPr>
      </w:pPr>
    </w:p>
    <w:p>
      <w:pPr>
        <w:ind w:left="1683" w:right="160" w:hanging="520"/>
        <w:spacing w:after="0" w:line="263" w:lineRule="auto"/>
        <w:tabs>
          <w:tab w:leader="none" w:pos="1683" w:val="left"/>
        </w:tabs>
        <w:numPr>
          <w:ilvl w:val="2"/>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an intercreditor agreement (in form and substance satisfactory to the Majority Lenders (acting reasonably) and including, without limitation, arrangements for the creditors to turn over to a common paying agent recoveries from the realisation or enforcement of claims against their respective debtors (including, without limitation, by way of distribution from the insolvent estate of such debtors) for application pursuant to a customary pro rata waterfall of distribution and for equalisation in case of uneven recourse) with the Agent and a common paying agent acceptable to the Finance Parties (acting reasonably), which agreement has been designated as a Third Party Creditor Document; or</w:t>
      </w:r>
    </w:p>
    <w:p>
      <w:pPr>
        <w:spacing w:after="0" w:line="295" w:lineRule="exact"/>
        <w:rPr>
          <w:rFonts w:ascii="Times New Roman" w:cs="Times New Roman" w:eastAsia="Times New Roman" w:hAnsi="Times New Roman"/>
          <w:sz w:val="17"/>
          <w:szCs w:val="17"/>
          <w:color w:val="auto"/>
        </w:rPr>
      </w:pPr>
    </w:p>
    <w:p>
      <w:pPr>
        <w:ind w:left="1683" w:right="280" w:hanging="520"/>
        <w:spacing w:after="0" w:line="276" w:lineRule="auto"/>
        <w:tabs>
          <w:tab w:leader="none" w:pos="1683" w:val="left"/>
        </w:tabs>
        <w:numPr>
          <w:ilvl w:val="2"/>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subordination agreement with the Agent on terms and conditions that are substantially similar to the Subordination Deed (and in form and substance satisfactory to the Majority Lenders (acting reasonably)), which agreement has been designated as a Third Party Creditor Document,</w:t>
      </w:r>
    </w:p>
    <w:p>
      <w:pPr>
        <w:spacing w:after="0" w:line="57" w:lineRule="exact"/>
        <w:rPr>
          <w:sz w:val="20"/>
          <w:szCs w:val="20"/>
          <w:color w:val="auto"/>
        </w:rPr>
      </w:pPr>
    </w:p>
    <w:p>
      <w:pPr>
        <w:ind w:left="1183" w:right="720"/>
        <w:spacing w:after="0" w:line="295" w:lineRule="auto"/>
        <w:rPr>
          <w:sz w:val="20"/>
          <w:szCs w:val="20"/>
          <w:color w:val="auto"/>
        </w:rPr>
      </w:pPr>
      <w:r>
        <w:rPr>
          <w:rFonts w:ascii="Times New Roman" w:cs="Times New Roman" w:eastAsia="Times New Roman" w:hAnsi="Times New Roman"/>
          <w:sz w:val="17"/>
          <w:szCs w:val="17"/>
          <w:color w:val="auto"/>
        </w:rPr>
        <w:t>and, in each case, provided to the Agent any other documentation and other evidence required by the Agent (acting reasonably) in connection therewith (in form and substance satisfactory to the Agent); and</w:t>
      </w:r>
    </w:p>
    <w:p>
      <w:pPr>
        <w:spacing w:after="0" w:line="55" w:lineRule="exact"/>
        <w:rPr>
          <w:sz w:val="20"/>
          <w:szCs w:val="20"/>
          <w:color w:val="auto"/>
        </w:rPr>
      </w:pPr>
    </w:p>
    <w:p>
      <w:pPr>
        <w:ind w:left="1143" w:hanging="620"/>
        <w:spacing w:after="0"/>
        <w:tabs>
          <w:tab w:leader="none" w:pos="1143"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w:t>
      </w:r>
    </w:p>
    <w:p>
      <w:pPr>
        <w:spacing w:after="0" w:line="131" w:lineRule="exact"/>
        <w:rPr>
          <w:rFonts w:ascii="Times New Roman" w:cs="Times New Roman" w:eastAsia="Times New Roman" w:hAnsi="Times New Roman"/>
          <w:sz w:val="17"/>
          <w:szCs w:val="17"/>
          <w:color w:val="auto"/>
        </w:rPr>
      </w:pPr>
    </w:p>
    <w:p>
      <w:pPr>
        <w:ind w:left="1683" w:right="40" w:hanging="520"/>
        <w:spacing w:after="0" w:line="264" w:lineRule="auto"/>
        <w:tabs>
          <w:tab w:leader="none" w:pos="1683"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from the Company confirming that (to the satisfaction of the Majority Lenders, acting reasonably) Senior Leverage and Total Leverage for the Most Recent Relevant Period ending prior to the first incurrence of such Financial Indebtedness, in each case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giving effect to the incurrence of such Bond Guarantee (when taken together with all other Bond Guarantees), would not exceed the applicable ratio set forth opposite the Test Date for that Most Recent Relevant Period in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setting out (in reasonable detail) computations of such compliance and signed by an Authorised Representative;</w:t>
      </w:r>
    </w:p>
    <w:p>
      <w:pPr>
        <w:spacing w:after="0" w:line="82" w:lineRule="exact"/>
        <w:rPr>
          <w:rFonts w:ascii="Times New Roman" w:cs="Times New Roman" w:eastAsia="Times New Roman" w:hAnsi="Times New Roman"/>
          <w:sz w:val="17"/>
          <w:szCs w:val="17"/>
          <w:color w:val="auto"/>
        </w:rPr>
      </w:pPr>
    </w:p>
    <w:p>
      <w:pPr>
        <w:ind w:left="1683" w:right="500" w:hanging="520"/>
        <w:spacing w:after="0" w:line="295" w:lineRule="auto"/>
        <w:tabs>
          <w:tab w:leader="none" w:pos="1683"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customary legal opinions in form and substance satisfactory to the Agent (acting on the instructions of the Majority Lenders, acting reasonably) and any documents required in connection therewith; and</w:t>
      </w:r>
    </w:p>
    <w:p>
      <w:pPr>
        <w:spacing w:after="0" w:line="55" w:lineRule="exact"/>
        <w:rPr>
          <w:rFonts w:ascii="Times New Roman" w:cs="Times New Roman" w:eastAsia="Times New Roman" w:hAnsi="Times New Roman"/>
          <w:sz w:val="17"/>
          <w:szCs w:val="17"/>
          <w:color w:val="auto"/>
        </w:rPr>
      </w:pPr>
    </w:p>
    <w:p>
      <w:pPr>
        <w:jc w:val="both"/>
        <w:ind w:left="1683" w:right="20" w:hanging="520"/>
        <w:spacing w:after="0" w:line="269" w:lineRule="auto"/>
        <w:tabs>
          <w:tab w:leader="none" w:pos="1683"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evidence in form and substance satisfactory to the Agent (acting reasonably) that any Authorisation required from a Governmental Authority (including of the government of Macau SAR) for the purposes of guaranteeing the Facility Liabilities and such other Financial Indebtedness has been obtained or (y) advice from Macanese counsel that no such Authorisations are required from any Governmental Authority;</w:t>
      </w:r>
    </w:p>
    <w:p>
      <w:pPr>
        <w:spacing w:after="0" w:line="104"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31" w:name="page332"/>
    <w:bookmarkEnd w:id="331"/>
    <w:p>
      <w:pPr>
        <w:ind w:left="523" w:hanging="523"/>
        <w:spacing w:after="0"/>
        <w:tabs>
          <w:tab w:leader="none" w:pos="523"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guarantee given by a member of the Group for Financial Indebtedness incurred by:</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another member of the Group (other than the Company); or</w:t>
      </w:r>
    </w:p>
    <w:p>
      <w:pPr>
        <w:spacing w:after="0" w:line="129"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w:t>
      </w:r>
    </w:p>
    <w:p>
      <w:pPr>
        <w:spacing w:after="0" w:line="133" w:lineRule="exact"/>
        <w:rPr>
          <w:rFonts w:ascii="Times New Roman" w:cs="Times New Roman" w:eastAsia="Times New Roman" w:hAnsi="Times New Roman"/>
          <w:sz w:val="17"/>
          <w:szCs w:val="17"/>
          <w:color w:val="auto"/>
        </w:rPr>
      </w:pPr>
    </w:p>
    <w:p>
      <w:pPr>
        <w:ind w:left="1683" w:right="580" w:hanging="520"/>
        <w:spacing w:after="0" w:line="276" w:lineRule="auto"/>
        <w:tabs>
          <w:tab w:leader="none" w:pos="1683" w:val="left"/>
        </w:tabs>
        <w:numPr>
          <w:ilvl w:val="2"/>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relevant member of the Group guarantees the Facility Liabilities (in form and substance satisfactory to the Majority Lenders (acting reasonably)) as a primary and not a secondary obligation without any Guarantee Restrictions; and</w:t>
      </w:r>
    </w:p>
    <w:p>
      <w:pPr>
        <w:spacing w:after="0" w:line="70"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w:t>
      </w:r>
    </w:p>
    <w:p>
      <w:pPr>
        <w:spacing w:after="0" w:line="131" w:lineRule="exact"/>
        <w:rPr>
          <w:rFonts w:ascii="Times New Roman" w:cs="Times New Roman" w:eastAsia="Times New Roman" w:hAnsi="Times New Roman"/>
          <w:sz w:val="17"/>
          <w:szCs w:val="17"/>
          <w:color w:val="auto"/>
        </w:rPr>
      </w:pPr>
    </w:p>
    <w:p>
      <w:pPr>
        <w:ind w:left="2323" w:right="20" w:hanging="624"/>
        <w:spacing w:after="0" w:line="263" w:lineRule="auto"/>
        <w:tabs>
          <w:tab w:leader="none" w:pos="2323" w:val="left"/>
        </w:tabs>
        <w:numPr>
          <w:ilvl w:val="3"/>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from the Company confirming that (to the satisfaction of the Majority Lenders, acting reasonably) Senior Leverage and Total Leverage for the Most Recent Relevant Period ending prior to the first incurrence of such Financial Indebtedness, in each case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giving effect to the incurrence of such guarantee (when taken together with such other guarantees of Group Members permitted to be incurred pursuant to this paragraph (h)(ii)), would not exceed the applicable ratio set forth opposite the Test Date for that Most Recent Relevant Period in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setting out (in reasonable detail) computations of such compliance and signed by an Authorised Representative;</w:t>
      </w:r>
    </w:p>
    <w:p>
      <w:pPr>
        <w:spacing w:after="0" w:line="81" w:lineRule="exact"/>
        <w:rPr>
          <w:rFonts w:ascii="Times New Roman" w:cs="Times New Roman" w:eastAsia="Times New Roman" w:hAnsi="Times New Roman"/>
          <w:sz w:val="17"/>
          <w:szCs w:val="17"/>
          <w:color w:val="auto"/>
        </w:rPr>
      </w:pPr>
    </w:p>
    <w:p>
      <w:pPr>
        <w:ind w:left="2323" w:right="100" w:hanging="624"/>
        <w:spacing w:after="0" w:line="295" w:lineRule="auto"/>
        <w:tabs>
          <w:tab w:leader="none" w:pos="2323" w:val="left"/>
        </w:tabs>
        <w:numPr>
          <w:ilvl w:val="3"/>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customary legal opinions in form and substance satisfactory to the Agent (acting on the instructions of the Majority Lenders, acting reasonably) and any documents required in connection therewith; and</w:t>
      </w:r>
    </w:p>
    <w:p>
      <w:pPr>
        <w:spacing w:after="0" w:line="55" w:lineRule="exact"/>
        <w:rPr>
          <w:rFonts w:ascii="Times New Roman" w:cs="Times New Roman" w:eastAsia="Times New Roman" w:hAnsi="Times New Roman"/>
          <w:sz w:val="17"/>
          <w:szCs w:val="17"/>
          <w:color w:val="auto"/>
        </w:rPr>
      </w:pPr>
    </w:p>
    <w:p>
      <w:pPr>
        <w:ind w:left="2323" w:right="180" w:hanging="624"/>
        <w:spacing w:after="0" w:line="269" w:lineRule="auto"/>
        <w:tabs>
          <w:tab w:leader="none" w:pos="2323" w:val="left"/>
        </w:tabs>
        <w:numPr>
          <w:ilvl w:val="3"/>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evidence in form and substance satisfactory to the Agent (acting reasonably) that any Authorisation required from a Governmental Authority (including of the government of Macau SAR) for the purposes of guaranteeing the Facility Liabilities and such other Financial Indebtedness has been obtained or (y) advice from Macanese counsel that no such Authorisations are required from any Governmental Authority; or</w:t>
      </w:r>
    </w:p>
    <w:p>
      <w:pPr>
        <w:spacing w:after="0" w:line="77" w:lineRule="exact"/>
        <w:rPr>
          <w:rFonts w:ascii="Times New Roman" w:cs="Times New Roman" w:eastAsia="Times New Roman" w:hAnsi="Times New Roman"/>
          <w:sz w:val="17"/>
          <w:szCs w:val="17"/>
          <w:color w:val="auto"/>
        </w:rPr>
      </w:pPr>
    </w:p>
    <w:p>
      <w:pPr>
        <w:ind w:left="523" w:right="80" w:hanging="523"/>
        <w:spacing w:after="0" w:line="276" w:lineRule="auto"/>
        <w:tabs>
          <w:tab w:leader="none" w:pos="523"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not permitted by any of the preceding sub-paragraphs and the outstanding principal amount of which (together with the outstanding amount of any guarantees that are solely permitted under paragraph (j) of the definition of “Permitted Group Financial Indebtedness”) does not exceed USD125,000,000 (or its equivalent in other currencies) in aggregate for the Group at any time.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Holding Company Activity</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320" w:hanging="523"/>
        <w:spacing w:after="0" w:line="276" w:lineRule="auto"/>
        <w:tabs>
          <w:tab w:leader="none" w:pos="523"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arising from the incurrence of fees, costs, commissions and expenses in the ordinary course of business of a holding company including in connection with maintenance of existence, all necessary filings and compliance with all applicable laws and liabilities arising by operation of law or agreement of similar effect;</w:t>
      </w:r>
    </w:p>
    <w:p>
      <w:pPr>
        <w:spacing w:after="0" w:line="9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29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32" w:name="page333"/>
    <w:bookmarkEnd w:id="332"/>
    <w:p>
      <w:pPr>
        <w:ind w:left="523" w:right="40" w:hanging="523"/>
        <w:spacing w:after="0" w:line="295" w:lineRule="auto"/>
        <w:tabs>
          <w:tab w:leader="none" w:pos="523"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treasury and normal holding company activities, including the provision of administrative, management, legal and accounting services to members of the Group of a type customarily provided by a holding company to its subsidiaries;</w:t>
      </w:r>
    </w:p>
    <w:p>
      <w:pPr>
        <w:spacing w:after="0" w:line="55" w:lineRule="exact"/>
        <w:rPr>
          <w:rFonts w:ascii="Times New Roman" w:cs="Times New Roman" w:eastAsia="Times New Roman" w:hAnsi="Times New Roman"/>
          <w:sz w:val="17"/>
          <w:szCs w:val="17"/>
          <w:color w:val="auto"/>
        </w:rPr>
      </w:pPr>
    </w:p>
    <w:p>
      <w:pPr>
        <w:ind w:left="523" w:right="120" w:hanging="523"/>
        <w:spacing w:after="0" w:line="276" w:lineRule="auto"/>
        <w:tabs>
          <w:tab w:leader="none" w:pos="523"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into or performing any Permitted Transactions or Permitted Disposals or granting any Permitted Security, acquiring rights or incurring liabilities otherwise expressly permitted under the Finance Documents and/or incurring any Permitted Group Financial Indebtedness and Permitted Group Guarantees, including:</w:t>
      </w:r>
    </w:p>
    <w:p>
      <w:pPr>
        <w:spacing w:after="0" w:line="70"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Financial Indebtedness and/or other liabilities incurred under the Transaction Documents;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indemnity given under the Transaction Documents;</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taken and any incurrence of liabilities pursuant to:</w:t>
      </w:r>
    </w:p>
    <w:p>
      <w:pPr>
        <w:spacing w:after="0" w:line="131" w:lineRule="exact"/>
        <w:rPr>
          <w:rFonts w:ascii="Times New Roman" w:cs="Times New Roman" w:eastAsia="Times New Roman" w:hAnsi="Times New Roman"/>
          <w:sz w:val="17"/>
          <w:szCs w:val="17"/>
          <w:color w:val="auto"/>
        </w:rPr>
      </w:pPr>
    </w:p>
    <w:p>
      <w:pPr>
        <w:ind w:left="1143" w:right="240" w:hanging="620"/>
        <w:spacing w:after="0" w:line="295" w:lineRule="auto"/>
        <w:tabs>
          <w:tab w:leader="none" w:pos="1143"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or entering into any transaction to facilitate a New Shareholder Injection from its Holding Company and declaring any dividends or distributions to its Holding Company;</w:t>
      </w:r>
    </w:p>
    <w:p>
      <w:pPr>
        <w:spacing w:after="0" w:line="55" w:lineRule="exact"/>
        <w:rPr>
          <w:rFonts w:ascii="Times New Roman" w:cs="Times New Roman" w:eastAsia="Times New Roman" w:hAnsi="Times New Roman"/>
          <w:sz w:val="17"/>
          <w:szCs w:val="17"/>
          <w:color w:val="auto"/>
        </w:rPr>
      </w:pPr>
    </w:p>
    <w:p>
      <w:pPr>
        <w:ind w:left="1143" w:right="120" w:hanging="620"/>
        <w:spacing w:after="0" w:line="295" w:lineRule="auto"/>
        <w:tabs>
          <w:tab w:leader="none" w:pos="1143"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any repayments in respect of Sponsor Group Loans or Subordinated Debt, in each case in accordance with the terms of the Subordination Deed; or</w:t>
      </w:r>
    </w:p>
    <w:p>
      <w:pPr>
        <w:spacing w:after="0" w:line="53" w:lineRule="exact"/>
        <w:rPr>
          <w:rFonts w:ascii="Times New Roman" w:cs="Times New Roman" w:eastAsia="Times New Roman" w:hAnsi="Times New Roman"/>
          <w:sz w:val="17"/>
          <w:szCs w:val="17"/>
          <w:color w:val="auto"/>
        </w:rPr>
      </w:pPr>
    </w:p>
    <w:p>
      <w:pPr>
        <w:ind w:left="1143" w:right="60" w:hanging="620"/>
        <w:spacing w:after="0" w:line="277" w:lineRule="auto"/>
        <w:tabs>
          <w:tab w:leader="none" w:pos="1143"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 loan to another Group Member, a member of the Melco Group which is not a Group Member (an “</w:t>
      </w:r>
      <w:r>
        <w:rPr>
          <w:rFonts w:ascii="Times New Roman" w:cs="Times New Roman" w:eastAsia="Times New Roman" w:hAnsi="Times New Roman"/>
          <w:sz w:val="17"/>
          <w:szCs w:val="17"/>
          <w:b w:val="1"/>
          <w:bCs w:val="1"/>
          <w:color w:val="auto"/>
        </w:rPr>
        <w:t>External Melco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Group Debtor</w:t>
      </w:r>
      <w:r>
        <w:rPr>
          <w:rFonts w:ascii="Times New Roman" w:cs="Times New Roman" w:eastAsia="Times New Roman" w:hAnsi="Times New Roman"/>
          <w:sz w:val="17"/>
          <w:szCs w:val="17"/>
          <w:color w:val="auto"/>
        </w:rPr>
        <w:t>”) or to a person who is neither a Group Member nor a member of the Melco Group (an “</w:t>
      </w:r>
      <w:r>
        <w:rPr>
          <w:rFonts w:ascii="Times New Roman" w:cs="Times New Roman" w:eastAsia="Times New Roman" w:hAnsi="Times New Roman"/>
          <w:sz w:val="17"/>
          <w:szCs w:val="17"/>
          <w:b w:val="1"/>
          <w:bCs w:val="1"/>
          <w:color w:val="auto"/>
        </w:rPr>
        <w:t>External Third Party Debtor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provided </w:t>
      </w:r>
      <w:r>
        <w:rPr>
          <w:rFonts w:ascii="Times New Roman" w:cs="Times New Roman" w:eastAsia="Times New Roman" w:hAnsi="Times New Roman"/>
          <w:sz w:val="17"/>
          <w:szCs w:val="17"/>
          <w:color w:val="auto"/>
        </w:rPr>
        <w:t>that:</w:t>
      </w:r>
    </w:p>
    <w:p>
      <w:pPr>
        <w:spacing w:after="0" w:line="70"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loan made to an External Melco Group Debtor:</w:t>
      </w:r>
    </w:p>
    <w:p>
      <w:pPr>
        <w:spacing w:after="0" w:line="131" w:lineRule="exact"/>
        <w:rPr>
          <w:rFonts w:ascii="Times New Roman" w:cs="Times New Roman" w:eastAsia="Times New Roman" w:hAnsi="Times New Roman"/>
          <w:sz w:val="17"/>
          <w:szCs w:val="17"/>
          <w:color w:val="auto"/>
        </w:rPr>
      </w:pPr>
    </w:p>
    <w:p>
      <w:pPr>
        <w:ind w:left="2323" w:right="20" w:hanging="624"/>
        <w:spacing w:after="0" w:line="269" w:lineRule="auto"/>
        <w:tabs>
          <w:tab w:leader="none" w:pos="2323" w:val="left"/>
        </w:tabs>
        <w:numPr>
          <w:ilvl w:val="3"/>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Senior Leverage, Total Leverage and Interest Cover for the Test Date immediately prior to such loan, if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after giving effect to such loan would not exceed (or in the case of Interest Cover, would not be less than) the applicable ratio set forth opposite that Test Date in Clause 23.2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w:t>
      </w:r>
      <w:r>
        <w:rPr>
          <w:rFonts w:ascii="Times New Roman" w:cs="Times New Roman" w:eastAsia="Times New Roman" w:hAnsi="Times New Roman"/>
          <w:sz w:val="17"/>
          <w:szCs w:val="17"/>
          <w:color w:val="auto"/>
        </w:rPr>
        <w:t>); and</w:t>
      </w:r>
    </w:p>
    <w:p>
      <w:pPr>
        <w:spacing w:after="0" w:line="77" w:lineRule="exact"/>
        <w:rPr>
          <w:rFonts w:ascii="Times New Roman" w:cs="Times New Roman" w:eastAsia="Times New Roman" w:hAnsi="Times New Roman"/>
          <w:sz w:val="17"/>
          <w:szCs w:val="17"/>
          <w:color w:val="auto"/>
        </w:rPr>
      </w:pPr>
    </w:p>
    <w:p>
      <w:pPr>
        <w:ind w:left="2323" w:hanging="624"/>
        <w:spacing w:after="0"/>
        <w:tabs>
          <w:tab w:leader="none" w:pos="2323" w:val="left"/>
        </w:tabs>
        <w:numPr>
          <w:ilvl w:val="3"/>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has occurred which is continuing or would result from the provision of such loan; and</w:t>
      </w:r>
    </w:p>
    <w:p>
      <w:pPr>
        <w:spacing w:after="0" w:line="131"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loan made to an External Third Party Debtor:</w:t>
      </w:r>
    </w:p>
    <w:p>
      <w:pPr>
        <w:spacing w:after="0" w:line="131" w:lineRule="exact"/>
        <w:rPr>
          <w:rFonts w:ascii="Times New Roman" w:cs="Times New Roman" w:eastAsia="Times New Roman" w:hAnsi="Times New Roman"/>
          <w:sz w:val="17"/>
          <w:szCs w:val="17"/>
          <w:color w:val="auto"/>
        </w:rPr>
      </w:pPr>
    </w:p>
    <w:p>
      <w:pPr>
        <w:ind w:left="2323" w:right="20" w:hanging="624"/>
        <w:spacing w:after="0" w:line="269" w:lineRule="auto"/>
        <w:tabs>
          <w:tab w:leader="none" w:pos="2323" w:val="left"/>
        </w:tabs>
        <w:numPr>
          <w:ilvl w:val="3"/>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Senior Leverage, Total Leverage and Interest Cover for the Test Date immediately prior to such loan, if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after giving effect to such loan would not exceed (or in the case of Interest Cover, would not be less than) the applicable ratio set forth opposite that Test Date in Clause 23.2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w:t>
      </w:r>
      <w:r>
        <w:rPr>
          <w:rFonts w:ascii="Times New Roman" w:cs="Times New Roman" w:eastAsia="Times New Roman" w:hAnsi="Times New Roman"/>
          <w:sz w:val="17"/>
          <w:szCs w:val="17"/>
          <w:color w:val="auto"/>
        </w:rPr>
        <w:t>);</w:t>
      </w:r>
    </w:p>
    <w:p>
      <w:pPr>
        <w:spacing w:after="0" w:line="77" w:lineRule="exact"/>
        <w:rPr>
          <w:rFonts w:ascii="Times New Roman" w:cs="Times New Roman" w:eastAsia="Times New Roman" w:hAnsi="Times New Roman"/>
          <w:sz w:val="17"/>
          <w:szCs w:val="17"/>
          <w:color w:val="auto"/>
        </w:rPr>
      </w:pPr>
    </w:p>
    <w:p>
      <w:pPr>
        <w:ind w:left="2323" w:hanging="624"/>
        <w:spacing w:after="0"/>
        <w:tabs>
          <w:tab w:leader="none" w:pos="2323" w:val="left"/>
        </w:tabs>
        <w:numPr>
          <w:ilvl w:val="3"/>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loan is made on arm’s length terms (or better, for the relevant creditor); and</w:t>
      </w:r>
    </w:p>
    <w:p>
      <w:pPr>
        <w:spacing w:after="0" w:line="131" w:lineRule="exact"/>
        <w:rPr>
          <w:rFonts w:ascii="Times New Roman" w:cs="Times New Roman" w:eastAsia="Times New Roman" w:hAnsi="Times New Roman"/>
          <w:sz w:val="17"/>
          <w:szCs w:val="17"/>
          <w:color w:val="auto"/>
        </w:rPr>
      </w:pPr>
    </w:p>
    <w:p>
      <w:pPr>
        <w:ind w:left="2323" w:hanging="624"/>
        <w:spacing w:after="0"/>
        <w:tabs>
          <w:tab w:leader="none" w:pos="2323" w:val="left"/>
        </w:tabs>
        <w:numPr>
          <w:ilvl w:val="3"/>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has occurred which is continuing or would result from the provision of such loan;</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of shares in its Subsidiaries, credit balances in bank accounts, Cash and Cash Equivalent Investments;</w:t>
      </w:r>
    </w:p>
    <w:p>
      <w:pPr>
        <w:spacing w:after="0" w:line="15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33" w:name="page334"/>
    <w:bookmarkEnd w:id="333"/>
    <w:p>
      <w:pPr>
        <w:ind w:left="523" w:right="360" w:hanging="523"/>
        <w:spacing w:after="0" w:line="295" w:lineRule="auto"/>
        <w:tabs>
          <w:tab w:leader="none" w:pos="523"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the payment of salaries or fees to management, directors, officers, employees and operating advisors of the Group or any Holding Company of the Group,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of such salaries or fees are in the ordinary course of business and are reasonable;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payments are funded by dividends or other distributions made to it;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incurrence of Tax liabilities; and</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any other activity or transaction permitted by the Agent (with the consent of the Majority Lenders).</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Reorganisation</w:t>
      </w:r>
      <w:r>
        <w:rPr>
          <w:rFonts w:ascii="Times New Roman" w:cs="Times New Roman" w:eastAsia="Times New Roman" w:hAnsi="Times New Roman"/>
          <w:sz w:val="17"/>
          <w:szCs w:val="17"/>
          <w:color w:val="auto"/>
        </w:rPr>
        <w:t xml:space="preserve"> ” means:</w:t>
      </w:r>
    </w:p>
    <w:p>
      <w:pPr>
        <w:spacing w:after="0" w:line="131" w:lineRule="exact"/>
        <w:rPr>
          <w:sz w:val="20"/>
          <w:szCs w:val="20"/>
          <w:color w:val="auto"/>
        </w:rPr>
      </w:pPr>
    </w:p>
    <w:p>
      <w:pPr>
        <w:ind w:left="523" w:right="40" w:hanging="523"/>
        <w:spacing w:after="0" w:line="267" w:lineRule="auto"/>
        <w:tabs>
          <w:tab w:leader="none" w:pos="523"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liquidation, reorganisation, amalgamation, demerger, merger, consolidation or corporate reconstruction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xml:space="preserve">”) on a solvent basis of any Group Member (other than the Company, any Subsidiary Guarantor and any other Group Member that, at such time, is guaranteeing or has created or purported to create any Security in respect of the Facility Liabilities),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(i) the resulting or surviving entity is a Group Member and (ii) any payments or assets distributed as a result of such Reorganisation are distributed to other Group Members; and</w:t>
      </w:r>
    </w:p>
    <w:p>
      <w:pPr>
        <w:spacing w:after="0" w:line="7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Reorganisation on a solvent basis of any Group Member (other than the Company and MCO Investments),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w:t>
      </w:r>
    </w:p>
    <w:p>
      <w:pPr>
        <w:spacing w:after="0" w:line="133"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is continuing at the commencement of the Reorganisation;</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resulting or surviving entity is a Group Member;</w:t>
      </w:r>
    </w:p>
    <w:p>
      <w:pPr>
        <w:spacing w:after="0" w:line="131" w:lineRule="exact"/>
        <w:rPr>
          <w:rFonts w:ascii="Times New Roman" w:cs="Times New Roman" w:eastAsia="Times New Roman" w:hAnsi="Times New Roman"/>
          <w:sz w:val="17"/>
          <w:szCs w:val="17"/>
          <w:color w:val="auto"/>
        </w:rPr>
      </w:pPr>
    </w:p>
    <w:p>
      <w:pPr>
        <w:ind w:left="1143" w:right="480" w:hanging="620"/>
        <w:spacing w:after="0" w:line="295" w:lineRule="auto"/>
        <w:tabs>
          <w:tab w:leader="none" w:pos="1143"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business and assets of, and equity interests in, the relevant Group Member are retained by one or more Group Members (except to the extent of any equity interests that will cease to exist); and</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 Reorganisation of:</w:t>
      </w:r>
    </w:p>
    <w:p>
      <w:pPr>
        <w:spacing w:after="0" w:line="131" w:lineRule="exact"/>
        <w:rPr>
          <w:rFonts w:ascii="Times New Roman" w:cs="Times New Roman" w:eastAsia="Times New Roman" w:hAnsi="Times New Roman"/>
          <w:sz w:val="17"/>
          <w:szCs w:val="17"/>
          <w:color w:val="auto"/>
        </w:rPr>
      </w:pPr>
    </w:p>
    <w:p>
      <w:pPr>
        <w:ind w:left="1683" w:right="100" w:hanging="520"/>
        <w:spacing w:after="0" w:line="266" w:lineRule="auto"/>
        <w:tabs>
          <w:tab w:leader="none" w:pos="1683" w:val="left"/>
        </w:tabs>
        <w:numPr>
          <w:ilvl w:val="2"/>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the Finance Parties continue to benefit from a guarantee from the resulting or surviving entity on the same (or better than) basis as the MRM Subsidiary Guarantee that is in place immediately prior to that Reorganisation and, if the resulting or surviving entity is not Melco Resorts Macau, it assumes liability for the obligations of Melco Resorts Macau under the Finance Documents, which shall continue to be legal, valid, binding and enforceable against such resulting or surviving entity; or</w:t>
      </w:r>
    </w:p>
    <w:p>
      <w:pPr>
        <w:spacing w:after="0" w:line="79" w:lineRule="exact"/>
        <w:rPr>
          <w:rFonts w:ascii="Times New Roman" w:cs="Times New Roman" w:eastAsia="Times New Roman" w:hAnsi="Times New Roman"/>
          <w:sz w:val="17"/>
          <w:szCs w:val="17"/>
          <w:color w:val="auto"/>
        </w:rPr>
      </w:pPr>
    </w:p>
    <w:p>
      <w:pPr>
        <w:ind w:left="1683" w:right="400" w:hanging="520"/>
        <w:spacing w:after="0" w:line="276" w:lineRule="auto"/>
        <w:tabs>
          <w:tab w:leader="none" w:pos="1683" w:val="left"/>
        </w:tabs>
        <w:numPr>
          <w:ilvl w:val="2"/>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Group Member, the Finance Parties continue to benefit from all guarantees and/or Security required to ensure that the Reorganisation does not result in a breach of Clause 24.13 (</w:t>
      </w:r>
      <w:r>
        <w:rPr>
          <w:rFonts w:ascii="Times New Roman" w:cs="Times New Roman" w:eastAsia="Times New Roman" w:hAnsi="Times New Roman"/>
          <w:sz w:val="17"/>
          <w:szCs w:val="17"/>
          <w:i w:val="1"/>
          <w:iCs w:val="1"/>
          <w:color w:val="auto"/>
        </w:rPr>
        <w:t>Negative pledge</w:t>
      </w:r>
      <w:r>
        <w:rPr>
          <w:rFonts w:ascii="Times New Roman" w:cs="Times New Roman" w:eastAsia="Times New Roman" w:hAnsi="Times New Roman"/>
          <w:sz w:val="17"/>
          <w:szCs w:val="17"/>
          <w:color w:val="auto"/>
        </w:rPr>
        <w:t>) or Clause 24.18 (</w:t>
      </w:r>
      <w:r>
        <w:rPr>
          <w:rFonts w:ascii="Times New Roman" w:cs="Times New Roman" w:eastAsia="Times New Roman" w:hAnsi="Times New Roman"/>
          <w:sz w:val="17"/>
          <w:szCs w:val="17"/>
          <w:i w:val="1"/>
          <w:iCs w:val="1"/>
          <w:color w:val="auto"/>
        </w:rPr>
        <w:t>Financial Indebtedness and guarantees</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Security</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460" w:hanging="523"/>
        <w:spacing w:after="0" w:line="295" w:lineRule="auto"/>
        <w:tabs>
          <w:tab w:leader="none" w:pos="523"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existing on the date of this Agreement and which is to be irrevocably discharged or released in full on or before the Initial Utilisation Date;</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existing on the date of this Agreement in respect of the Existing OpCo Facilities;</w:t>
      </w:r>
    </w:p>
    <w:p>
      <w:pPr>
        <w:spacing w:after="0" w:line="131" w:lineRule="exact"/>
        <w:rPr>
          <w:rFonts w:ascii="Times New Roman" w:cs="Times New Roman" w:eastAsia="Times New Roman" w:hAnsi="Times New Roman"/>
          <w:sz w:val="17"/>
          <w:szCs w:val="17"/>
          <w:color w:val="auto"/>
        </w:rPr>
      </w:pPr>
    </w:p>
    <w:p>
      <w:pPr>
        <w:ind w:left="523" w:right="20" w:hanging="523"/>
        <w:spacing w:after="0" w:line="295" w:lineRule="auto"/>
        <w:tabs>
          <w:tab w:leader="none" w:pos="523"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arising or subsisting by operation of law and in the ordinary course of day-to-day business and not as a result of any default or omission by any member of the Group;</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34" w:name="page335"/>
    <w:bookmarkEnd w:id="334"/>
    <w:p>
      <w:pPr>
        <w:ind w:left="523" w:right="40" w:hanging="523"/>
        <w:spacing w:after="0" w:line="295"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netting or set-off arrangement entered into by any member of the Group in the ordinary course of its banking arrangements for the purpose of netting debit and credit balances of members of the Group but only so long as:</w:t>
      </w:r>
    </w:p>
    <w:p>
      <w:pPr>
        <w:spacing w:after="0" w:line="55" w:lineRule="exact"/>
        <w:rPr>
          <w:rFonts w:ascii="Times New Roman" w:cs="Times New Roman" w:eastAsia="Times New Roman" w:hAnsi="Times New Roman"/>
          <w:sz w:val="17"/>
          <w:szCs w:val="17"/>
          <w:color w:val="auto"/>
        </w:rPr>
      </w:pPr>
    </w:p>
    <w:p>
      <w:pPr>
        <w:ind w:left="1143" w:right="160" w:hanging="620"/>
        <w:spacing w:after="0" w:line="295" w:lineRule="auto"/>
        <w:tabs>
          <w:tab w:leader="none" w:pos="1143"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arrangement does not permit credit balances of Obligors to be netted or set off against debit balances of persons which are not Obligors; and</w:t>
      </w:r>
    </w:p>
    <w:p>
      <w:pPr>
        <w:spacing w:after="0" w:line="55" w:lineRule="exact"/>
        <w:rPr>
          <w:rFonts w:ascii="Times New Roman" w:cs="Times New Roman" w:eastAsia="Times New Roman" w:hAnsi="Times New Roman"/>
          <w:sz w:val="17"/>
          <w:szCs w:val="17"/>
          <w:color w:val="auto"/>
        </w:rPr>
      </w:pPr>
    </w:p>
    <w:p>
      <w:pPr>
        <w:ind w:left="1143" w:right="60" w:hanging="620"/>
        <w:spacing w:after="0" w:line="295" w:lineRule="auto"/>
        <w:tabs>
          <w:tab w:leader="none" w:pos="1143"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arrangement does not give rise to other Security over the assets of Obligors in support of liabilities of persons which are not Obligors;</w:t>
      </w:r>
    </w:p>
    <w:p>
      <w:pPr>
        <w:spacing w:after="0" w:line="55" w:lineRule="exact"/>
        <w:rPr>
          <w:rFonts w:ascii="Times New Roman" w:cs="Times New Roman" w:eastAsia="Times New Roman" w:hAnsi="Times New Roman"/>
          <w:sz w:val="17"/>
          <w:szCs w:val="17"/>
          <w:color w:val="auto"/>
        </w:rPr>
      </w:pPr>
    </w:p>
    <w:p>
      <w:pPr>
        <w:ind w:left="523" w:right="20" w:hanging="523"/>
        <w:spacing w:after="0" w:line="269"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the aggregate value of all assets subject to any such Security shall not exceed USD10,000,000 (or its equivalent in other currencies);</w:t>
      </w:r>
    </w:p>
    <w:p>
      <w:pPr>
        <w:spacing w:after="0" w:line="77"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Quasi-Security arising as a result of a disposal which is a Permitted Disposal;</w:t>
      </w:r>
    </w:p>
    <w:p>
      <w:pPr>
        <w:spacing w:after="0" w:line="131" w:lineRule="exact"/>
        <w:rPr>
          <w:rFonts w:ascii="Times New Roman" w:cs="Times New Roman" w:eastAsia="Times New Roman" w:hAnsi="Times New Roman"/>
          <w:sz w:val="17"/>
          <w:szCs w:val="17"/>
          <w:color w:val="auto"/>
        </w:rPr>
      </w:pPr>
    </w:p>
    <w:p>
      <w:pPr>
        <w:ind w:left="523" w:right="880" w:hanging="523"/>
        <w:spacing w:after="0" w:line="295"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or Quasi-Security over vehicles, plant, equipment or computers used in the business of the Group arising as a consequence of any finance or capital lease of such vehicles, plant, equipment or computers;</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created in favour of a plaintiff or defendant in any proceedings as security for costs or expenses;</w:t>
      </w:r>
    </w:p>
    <w:p>
      <w:pPr>
        <w:spacing w:after="0" w:line="131" w:lineRule="exact"/>
        <w:rPr>
          <w:rFonts w:ascii="Times New Roman" w:cs="Times New Roman" w:eastAsia="Times New Roman" w:hAnsi="Times New Roman"/>
          <w:sz w:val="17"/>
          <w:szCs w:val="17"/>
          <w:color w:val="auto"/>
        </w:rPr>
      </w:pPr>
    </w:p>
    <w:p>
      <w:pPr>
        <w:ind w:left="523" w:right="600" w:hanging="523"/>
        <w:spacing w:after="0" w:line="295"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securing unpaid Taxes and arising by law but only if such unpaid taxes are contested in good faith by appropriate measures and sufficient reserves in cash or other liquid assets are available to pay the amount of those unpaid Taxes;</w:t>
      </w:r>
    </w:p>
    <w:p>
      <w:pPr>
        <w:spacing w:after="0" w:line="55" w:lineRule="exact"/>
        <w:rPr>
          <w:rFonts w:ascii="Times New Roman" w:cs="Times New Roman" w:eastAsia="Times New Roman" w:hAnsi="Times New Roman"/>
          <w:sz w:val="17"/>
          <w:szCs w:val="17"/>
          <w:color w:val="auto"/>
        </w:rPr>
      </w:pPr>
    </w:p>
    <w:p>
      <w:pPr>
        <w:ind w:left="523" w:right="100" w:hanging="523"/>
        <w:spacing w:after="0" w:line="269"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over goods, documents of title to goods and related documents and insurances and their proceeds to secure liabilities of any member of the Group in respect of a letter of credit, trust receipts, import loans or shipping guarantees issued or granted for all or part of the purchase price and costs of shipment, insurance and storage of goods acquired by a member of the Group in the ordinary course of trading;</w:t>
      </w:r>
    </w:p>
    <w:p>
      <w:pPr>
        <w:spacing w:after="0" w:line="77" w:lineRule="exact"/>
        <w:rPr>
          <w:rFonts w:ascii="Times New Roman" w:cs="Times New Roman" w:eastAsia="Times New Roman" w:hAnsi="Times New Roman"/>
          <w:sz w:val="17"/>
          <w:szCs w:val="17"/>
          <w:color w:val="auto"/>
        </w:rPr>
      </w:pPr>
    </w:p>
    <w:p>
      <w:pPr>
        <w:ind w:left="523" w:right="520" w:hanging="523"/>
        <w:spacing w:after="0" w:line="295"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rights-of-way, restrictions, encroachments, and other similar Security or Quasi-Security and other minor defects and irregularities in title, incurred in the ordinary course of business;</w:t>
      </w:r>
    </w:p>
    <w:p>
      <w:pPr>
        <w:spacing w:after="0" w:line="55" w:lineRule="exact"/>
        <w:rPr>
          <w:rFonts w:ascii="Times New Roman" w:cs="Times New Roman" w:eastAsia="Times New Roman" w:hAnsi="Times New Roman"/>
          <w:sz w:val="17"/>
          <w:szCs w:val="17"/>
          <w:color w:val="auto"/>
        </w:rPr>
      </w:pPr>
    </w:p>
    <w:p>
      <w:pPr>
        <w:ind w:left="523" w:right="120" w:hanging="523"/>
        <w:spacing w:after="0" w:line="276"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mechanics’, materialmen’s, repairmen’s or other like Security arising in the ordinary course of day-to-day business for amounts which are not overdue for a period of more than thirty (30) days or that are being contested in good faith by appropriate measures;</w:t>
      </w:r>
    </w:p>
    <w:p>
      <w:pPr>
        <w:spacing w:after="0" w:line="70" w:lineRule="exact"/>
        <w:rPr>
          <w:rFonts w:ascii="Times New Roman" w:cs="Times New Roman" w:eastAsia="Times New Roman" w:hAnsi="Times New Roman"/>
          <w:sz w:val="17"/>
          <w:szCs w:val="17"/>
          <w:color w:val="auto"/>
        </w:rPr>
      </w:pPr>
    </w:p>
    <w:p>
      <w:pPr>
        <w:ind w:left="523" w:right="20" w:hanging="523"/>
        <w:spacing w:after="0" w:line="295"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in favour of customs and revenue authorities arising as a matter of law to secure payment of custom duties in connection with the importation of goods in the ordinary course of trading;</w:t>
      </w:r>
    </w:p>
    <w:p>
      <w:pPr>
        <w:spacing w:after="0" w:line="55" w:lineRule="exact"/>
        <w:rPr>
          <w:rFonts w:ascii="Times New Roman" w:cs="Times New Roman" w:eastAsia="Times New Roman" w:hAnsi="Times New Roman"/>
          <w:sz w:val="17"/>
          <w:szCs w:val="17"/>
          <w:color w:val="auto"/>
        </w:rPr>
      </w:pPr>
    </w:p>
    <w:p>
      <w:pPr>
        <w:jc w:val="both"/>
        <w:ind w:left="523" w:right="160" w:hanging="523"/>
        <w:spacing w:after="0" w:line="276"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Security or deposits in connection with workers’ compensation, unemployment insurance and other social security legislation of all applicable laws,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such Security is contested in good faith by appropriate measures and sufficient reserves in cash or other liquid assets are available to discharge such Security;</w:t>
      </w:r>
    </w:p>
    <w:p>
      <w:pPr>
        <w:spacing w:after="0" w:line="70" w:lineRule="exact"/>
        <w:rPr>
          <w:rFonts w:ascii="Times New Roman" w:cs="Times New Roman" w:eastAsia="Times New Roman" w:hAnsi="Times New Roman"/>
          <w:sz w:val="17"/>
          <w:szCs w:val="17"/>
          <w:color w:val="auto"/>
        </w:rPr>
      </w:pPr>
    </w:p>
    <w:p>
      <w:pPr>
        <w:ind w:left="523" w:right="60" w:hanging="523"/>
        <w:spacing w:after="0" w:line="276" w:lineRule="auto"/>
        <w:tabs>
          <w:tab w:leader="none" w:pos="523"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zoning or similar law or right reserved to or vested in any Governmental Authority to control or regulate the use of any Relevant Property, any Relevant Property Easements, the Altira Site and any easement appurtenant, easements in gross, licence agreements and other rights running for the benefit of the Project Company for the Altira Project and/or appurtenant to the Altira Site;</w:t>
      </w:r>
    </w:p>
    <w:p>
      <w:pPr>
        <w:spacing w:after="0" w:line="9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35" w:name="page336"/>
    <w:bookmarkEnd w:id="335"/>
    <w:p>
      <w:pPr>
        <w:ind w:left="523" w:hanging="523"/>
        <w:spacing w:after="0"/>
        <w:tabs>
          <w:tab w:leader="none" w:pos="523"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Security of cash collateral required in respect of any Concession Guarantee;</w:t>
      </w:r>
    </w:p>
    <w:p>
      <w:pPr>
        <w:spacing w:after="0" w:line="131" w:lineRule="exact"/>
        <w:rPr>
          <w:rFonts w:ascii="Times New Roman" w:cs="Times New Roman" w:eastAsia="Times New Roman" w:hAnsi="Times New Roman"/>
          <w:sz w:val="17"/>
          <w:szCs w:val="17"/>
          <w:color w:val="auto"/>
        </w:rPr>
      </w:pPr>
    </w:p>
    <w:p>
      <w:pPr>
        <w:ind w:left="523" w:right="220" w:hanging="523"/>
        <w:spacing w:after="0" w:line="263" w:lineRule="auto"/>
        <w:tabs>
          <w:tab w:leader="none" w:pos="523"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over any assets (provided that any such right, title, asset, benefit or interest was acquired, where acquired using Revenues, using only monies not required to be applied for other purposes under the Finance Documents) or revenues, to the extent that they (in each case) are comprised in, relate to or derive from any Excluded Project Agreement, Excluded Project, Excluded Project Revenues or Excluded Subsidiary or any right, title, asset, benefit or interest in respect thereof or comprised therein and, in each case, such assets form no part of, nor are (other than in the case of Excluded Project Revenues) in any way necessary to ensure the full benefit to the Group of, any Project and are (in each case) permitted to be dealt with in such manner under (and are not required for any other purpose contemplated by) any Excluded Project Agreement;</w:t>
      </w:r>
    </w:p>
    <w:p>
      <w:pPr>
        <w:spacing w:after="0" w:line="81" w:lineRule="exact"/>
        <w:rPr>
          <w:rFonts w:ascii="Times New Roman" w:cs="Times New Roman" w:eastAsia="Times New Roman" w:hAnsi="Times New Roman"/>
          <w:sz w:val="17"/>
          <w:szCs w:val="17"/>
          <w:color w:val="auto"/>
        </w:rPr>
      </w:pPr>
    </w:p>
    <w:p>
      <w:pPr>
        <w:ind w:left="523" w:right="560" w:hanging="523"/>
        <w:spacing w:after="0" w:line="295" w:lineRule="auto"/>
        <w:tabs>
          <w:tab w:leader="none" w:pos="523"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Security securing Financial Indebtedness of the Group (other than any Sponsor Group Loans, Subordinated Debts or Bond Guarantees),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(at the cost of the Company):</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secures the Facility Liabilities on an equal and rateable basis;</w:t>
      </w:r>
    </w:p>
    <w:p>
      <w:pPr>
        <w:spacing w:after="0" w:line="131" w:lineRule="exact"/>
        <w:rPr>
          <w:rFonts w:ascii="Times New Roman" w:cs="Times New Roman" w:eastAsia="Times New Roman" w:hAnsi="Times New Roman"/>
          <w:sz w:val="17"/>
          <w:szCs w:val="17"/>
          <w:color w:val="auto"/>
        </w:rPr>
      </w:pPr>
    </w:p>
    <w:p>
      <w:pPr>
        <w:ind w:left="1143" w:right="40" w:hanging="620"/>
        <w:spacing w:after="0" w:line="261" w:lineRule="auto"/>
        <w:tabs>
          <w:tab w:leader="none" w:pos="1143"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each security provider and each creditor in respect of such Financial Indebtedness have (A) prior to the incurrence of that Financial Indebtedness, entered into an intercreditor agreement (in form and substance satisfactory to the Majority Lenders (acting reasonably) and including, without limitation, arrangements for the secured creditors to turn over to a common security agent recoveries from the realisation or enforcement of such Security and claims against their respective debtors (including, without limitation, by way of distribution from the insolvent estate of such debtors) for application pursuant to a customary pro rata waterfall of distribution and for equalisation in case of uneven recourse) with the Agent and a common security agent acceptable to the Finance Parties (acting reasonably), which agreement has been designated as a Third Party Creditor Document and (B) provided to the Agent any other documentation and other evidence required by the Agent (acting reasonably) in connection therewith (in form and substance satisfactory to the Agent); and</w:t>
      </w:r>
    </w:p>
    <w:p>
      <w:pPr>
        <w:spacing w:after="0" w:line="86"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w:t>
      </w:r>
    </w:p>
    <w:p>
      <w:pPr>
        <w:spacing w:after="0" w:line="131" w:lineRule="exact"/>
        <w:rPr>
          <w:rFonts w:ascii="Times New Roman" w:cs="Times New Roman" w:eastAsia="Times New Roman" w:hAnsi="Times New Roman"/>
          <w:sz w:val="17"/>
          <w:szCs w:val="17"/>
          <w:color w:val="auto"/>
        </w:rPr>
      </w:pPr>
    </w:p>
    <w:p>
      <w:pPr>
        <w:ind w:left="1683" w:right="20" w:hanging="520"/>
        <w:spacing w:after="0" w:line="262" w:lineRule="auto"/>
        <w:tabs>
          <w:tab w:leader="none" w:pos="1683" w:val="left"/>
        </w:tabs>
        <w:numPr>
          <w:ilvl w:val="2"/>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from the Company confirming that (to the satisfaction of the Majority Lenders, acting reasonably) Senior Leverage, Total Leverage and Interest Cover for the Most Recent Relevant Period ending prior to the first incurrence of such Financial Indebtedness, in each case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giving effect to the incurrence and utilisation of such Incremental Facility in full (when taken together with all such other Financial Indebtedness of the Company permitted to be secured by such Security pursuant to this paragraph (r)), would not exceed (or in the case of Interest Cover, would not be less than) the applicable ratio set forth opposite the Test Date for that Most Recent Relevant Period in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setting out (in reasonable detail) computations of such compliance and signed by an Authorised Representative;</w:t>
      </w:r>
    </w:p>
    <w:p>
      <w:pPr>
        <w:spacing w:after="0" w:line="83" w:lineRule="exact"/>
        <w:rPr>
          <w:sz w:val="20"/>
          <w:szCs w:val="20"/>
          <w:color w:val="auto"/>
        </w:rPr>
      </w:pPr>
    </w:p>
    <w:p>
      <w:pPr>
        <w:ind w:left="1683" w:right="200" w:hanging="520"/>
        <w:spacing w:after="0" w:line="269" w:lineRule="auto"/>
        <w:tabs>
          <w:tab w:leader="none" w:pos="1683"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agreements, deeds, acknowledgements, confirmations, amendments or other instruments requested by the Agent (acting on the instructions of the Majority Lenders, acting reasonably) to amend or supplement this Agreement in connection with the provision of such Security and the appointment of a common security agent in respect of such Security and any documents required in connection therewith;</w:t>
      </w:r>
    </w:p>
    <w:p>
      <w:pPr>
        <w:spacing w:after="0" w:line="104"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36" w:name="page337"/>
    <w:bookmarkEnd w:id="336"/>
    <w:p>
      <w:pPr>
        <w:ind w:left="1683" w:right="500" w:hanging="520"/>
        <w:spacing w:after="0" w:line="295" w:lineRule="auto"/>
        <w:tabs>
          <w:tab w:leader="none" w:pos="1683"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such customary legal opinions in form and substance satisfactory to the Agent (acting on the instructions of the Majority Lenders, acting reasonably) and any documents required in connection therewith; and</w:t>
      </w:r>
    </w:p>
    <w:p>
      <w:pPr>
        <w:spacing w:after="0" w:line="55" w:lineRule="exact"/>
        <w:rPr>
          <w:rFonts w:ascii="Times New Roman" w:cs="Times New Roman" w:eastAsia="Times New Roman" w:hAnsi="Times New Roman"/>
          <w:sz w:val="17"/>
          <w:szCs w:val="17"/>
          <w:color w:val="auto"/>
        </w:rPr>
      </w:pPr>
    </w:p>
    <w:p>
      <w:pPr>
        <w:ind w:left="1683" w:right="60" w:hanging="520"/>
        <w:spacing w:after="0" w:line="266" w:lineRule="auto"/>
        <w:tabs>
          <w:tab w:leader="none" w:pos="1683"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evidence in form and substance satisfactory to the Agent (acting reasonably) that any Authorisation required from a Governmental Authority (including of the government of Macau SAR) for the purposes of securing the Facility Liabilities and such other Financial Indebtedness under an Incremental Facility or the extension of any Subsidiary Guarantee in connection with such Financial Indebtedness has been obtained or (y) advice from Macanese counsel that no such Authorisations are required from any Governmental Authority; and</w:t>
      </w:r>
    </w:p>
    <w:p>
      <w:pPr>
        <w:spacing w:after="0" w:line="79" w:lineRule="exact"/>
        <w:rPr>
          <w:rFonts w:ascii="Times New Roman" w:cs="Times New Roman" w:eastAsia="Times New Roman" w:hAnsi="Times New Roman"/>
          <w:sz w:val="17"/>
          <w:szCs w:val="17"/>
          <w:color w:val="auto"/>
        </w:rPr>
      </w:pPr>
    </w:p>
    <w:p>
      <w:pPr>
        <w:ind w:left="523" w:right="20" w:hanging="523"/>
        <w:spacing w:after="0" w:line="276" w:lineRule="auto"/>
        <w:tabs>
          <w:tab w:leader="none" w:pos="523"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securing indebtedness the outstanding principal amount of which (when aggregated with the outstanding principal amount of any other indebtedness which has the benefit of Security given by any member of the Group other than any permitted under the preceding paragraphs) does not exceed USD100,000,000 (or its equivalent in other currencies).</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Transaction</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180" w:hanging="523"/>
        <w:spacing w:after="0" w:line="295" w:lineRule="auto"/>
        <w:tabs>
          <w:tab w:leader="none" w:pos="523"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disposal required, Financial Indebtedness incurred, guarantee or indemnity given, or other transaction arising, under the Finance Documents;</w:t>
      </w:r>
    </w:p>
    <w:p>
      <w:pPr>
        <w:spacing w:after="0" w:line="55" w:lineRule="exact"/>
        <w:rPr>
          <w:rFonts w:ascii="Times New Roman" w:cs="Times New Roman" w:eastAsia="Times New Roman" w:hAnsi="Times New Roman"/>
          <w:sz w:val="17"/>
          <w:szCs w:val="17"/>
          <w:color w:val="auto"/>
        </w:rPr>
      </w:pPr>
    </w:p>
    <w:p>
      <w:pPr>
        <w:ind w:left="523" w:right="360" w:hanging="523"/>
        <w:spacing w:after="0" w:line="276" w:lineRule="auto"/>
        <w:tabs>
          <w:tab w:leader="none" w:pos="523"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(other than (i) any sale, lease, license, transfer or other disposal and (ii) the granting or creation of Security or the incurring or permitting to subsist of Financial Indebtedness) conducted in the ordinary course of trading on arm’s length terms (or better, for the relevant member of the Group);</w:t>
      </w:r>
    </w:p>
    <w:p>
      <w:pPr>
        <w:spacing w:after="0" w:line="68" w:lineRule="exact"/>
        <w:rPr>
          <w:rFonts w:ascii="Times New Roman" w:cs="Times New Roman" w:eastAsia="Times New Roman" w:hAnsi="Times New Roman"/>
          <w:sz w:val="17"/>
          <w:szCs w:val="17"/>
          <w:color w:val="auto"/>
        </w:rPr>
      </w:pPr>
    </w:p>
    <w:p>
      <w:pPr>
        <w:ind w:left="523" w:right="180" w:hanging="523"/>
        <w:spacing w:after="0" w:line="267" w:lineRule="auto"/>
        <w:tabs>
          <w:tab w:leader="none" w:pos="523"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payments for goods and services under a Service Agreement or Affiliate Agreement,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any such payment is in an amount not exceeding the actual, arm’s length cost (or better, for the relevant member of the Group) of such goods and services paid by the supplier plus a margin of not more than five per cent or (where any applicable Legal Requirement stipulates that a margin higher than five per cent must be charged pursuant to such Service Agreement or Affiliate Agreement in such circumstances (such margin being the “</w:t>
      </w:r>
      <w:r>
        <w:rPr>
          <w:rFonts w:ascii="Times New Roman" w:cs="Times New Roman" w:eastAsia="Times New Roman" w:hAnsi="Times New Roman"/>
          <w:sz w:val="17"/>
          <w:szCs w:val="17"/>
          <w:b w:val="1"/>
          <w:bCs w:val="1"/>
          <w:color w:val="auto"/>
        </w:rPr>
        <w:t>Specified Margin</w:t>
      </w:r>
      <w:r>
        <w:rPr>
          <w:rFonts w:ascii="Times New Roman" w:cs="Times New Roman" w:eastAsia="Times New Roman" w:hAnsi="Times New Roman"/>
          <w:sz w:val="17"/>
          <w:szCs w:val="17"/>
          <w:color w:val="auto"/>
        </w:rPr>
        <w:t>”)) the lesser of the Specified Margin and ten per cent;</w:t>
      </w:r>
    </w:p>
    <w:p>
      <w:pPr>
        <w:spacing w:after="0" w:line="77" w:lineRule="exact"/>
        <w:rPr>
          <w:rFonts w:ascii="Times New Roman" w:cs="Times New Roman" w:eastAsia="Times New Roman" w:hAnsi="Times New Roman"/>
          <w:sz w:val="17"/>
          <w:szCs w:val="17"/>
          <w:color w:val="auto"/>
        </w:rPr>
      </w:pPr>
    </w:p>
    <w:p>
      <w:pPr>
        <w:ind w:left="523" w:right="40" w:hanging="523"/>
        <w:spacing w:after="0" w:line="269" w:lineRule="auto"/>
        <w:tabs>
          <w:tab w:leader="none" w:pos="523"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any member of the Group into, and the performance of its obligations under, any agreement which relates to the supply of goods or services to an Excluded Project with any Excluded Subsidiary or other person outside the Group where such agreement is entered into and performed in the ordinary course of trading of that member of the Group and on arm’s length terms (or better, for the relevant member of the Group).</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Project</w:t>
      </w:r>
      <w:r>
        <w:rPr>
          <w:rFonts w:ascii="Times New Roman" w:cs="Times New Roman" w:eastAsia="Times New Roman" w:hAnsi="Times New Roman"/>
          <w:sz w:val="17"/>
          <w:szCs w:val="17"/>
          <w:color w:val="auto"/>
        </w:rPr>
        <w:t>” means each of:</w:t>
      </w:r>
    </w:p>
    <w:p>
      <w:pPr>
        <w:spacing w:after="0" w:line="133" w:lineRule="exact"/>
        <w:rPr>
          <w:sz w:val="20"/>
          <w:szCs w:val="20"/>
          <w:color w:val="auto"/>
        </w:rPr>
      </w:pPr>
    </w:p>
    <w:p>
      <w:pPr>
        <w:ind w:left="523" w:hanging="523"/>
        <w:spacing w:after="0"/>
        <w:tabs>
          <w:tab w:leader="none" w:pos="523"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City of Dreams Project;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Altira Project; and</w:t>
      </w:r>
    </w:p>
    <w:p>
      <w:pPr>
        <w:spacing w:after="0" w:line="131" w:lineRule="exact"/>
        <w:rPr>
          <w:rFonts w:ascii="Times New Roman" w:cs="Times New Roman" w:eastAsia="Times New Roman" w:hAnsi="Times New Roman"/>
          <w:sz w:val="17"/>
          <w:szCs w:val="17"/>
          <w:color w:val="auto"/>
        </w:rPr>
      </w:pPr>
    </w:p>
    <w:p>
      <w:pPr>
        <w:ind w:left="523" w:right="480" w:hanging="523"/>
        <w:spacing w:after="0" w:line="295" w:lineRule="auto"/>
        <w:tabs>
          <w:tab w:leader="none" w:pos="523"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gaming, hotel or resort related business, development, project, undertaking or venture designated as a “Project” by the Company and agreed to by the Agent (acting on the instructions of the Majority Lenders).</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37" w:name="page338"/>
    <w:bookmarkEnd w:id="337"/>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Project Company</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60" w:hanging="523"/>
        <w:spacing w:after="0" w:line="295" w:lineRule="auto"/>
        <w:tabs>
          <w:tab w:leader="none" w:pos="523"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City of Dreams Project, COD Resorts Limited or such other Group Member that owns the Real Property comprising the City of Dreams Project;</w:t>
      </w:r>
    </w:p>
    <w:p>
      <w:pPr>
        <w:spacing w:after="0" w:line="55" w:lineRule="exact"/>
        <w:rPr>
          <w:rFonts w:ascii="Times New Roman" w:cs="Times New Roman" w:eastAsia="Times New Roman" w:hAnsi="Times New Roman"/>
          <w:sz w:val="17"/>
          <w:szCs w:val="17"/>
          <w:color w:val="auto"/>
        </w:rPr>
      </w:pPr>
    </w:p>
    <w:p>
      <w:pPr>
        <w:ind w:left="523" w:right="440" w:hanging="523"/>
        <w:spacing w:after="0" w:line="295" w:lineRule="auto"/>
        <w:tabs>
          <w:tab w:leader="none" w:pos="523"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Altira Project, Altira Resorts Limited or such other Group Member that owns the Real Property comprising the Altira Project; or</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Project, such person or Group Member that owns the Real Property comprising that Project.</w:t>
      </w:r>
    </w:p>
    <w:p>
      <w:pPr>
        <w:spacing w:after="0" w:line="116" w:lineRule="exact"/>
        <w:rPr>
          <w:sz w:val="20"/>
          <w:szCs w:val="20"/>
          <w:color w:val="auto"/>
        </w:rPr>
      </w:pPr>
    </w:p>
    <w:p>
      <w:pPr>
        <w:ind w:left="3" w:right="1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Properties</w:t>
      </w:r>
      <w:r>
        <w:rPr>
          <w:rFonts w:ascii="Times New Roman" w:cs="Times New Roman" w:eastAsia="Times New Roman" w:hAnsi="Times New Roman"/>
          <w:sz w:val="17"/>
          <w:szCs w:val="17"/>
          <w:color w:val="auto"/>
        </w:rPr>
        <w:t>” means the lands described in the Land Concessions, and any other Real Property acquired by a member of the Group after the date of this Agreement. A reference to a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is a reference to any of the Properties.</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 Date</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Quarterly Financial Statements</w:t>
      </w:r>
      <w:r>
        <w:rPr>
          <w:rFonts w:ascii="Times New Roman" w:cs="Times New Roman" w:eastAsia="Times New Roman" w:hAnsi="Times New Roman"/>
          <w:sz w:val="17"/>
          <w:szCs w:val="17"/>
          <w:color w:val="auto"/>
        </w:rPr>
        <w:t>” has the meaning given to that term in Clause 22.1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Quasi-Security</w:t>
      </w:r>
      <w:r>
        <w:rPr>
          <w:rFonts w:ascii="Times New Roman" w:cs="Times New Roman" w:eastAsia="Times New Roman" w:hAnsi="Times New Roman"/>
          <w:sz w:val="17"/>
          <w:szCs w:val="17"/>
          <w:color w:val="auto"/>
        </w:rPr>
        <w:t>” has the meaning given to that term in Clause 24.13 (</w:t>
      </w:r>
      <w:r>
        <w:rPr>
          <w:rFonts w:ascii="Times New Roman" w:cs="Times New Roman" w:eastAsia="Times New Roman" w:hAnsi="Times New Roman"/>
          <w:sz w:val="17"/>
          <w:szCs w:val="17"/>
          <w:i w:val="1"/>
          <w:iCs w:val="1"/>
          <w:color w:val="auto"/>
        </w:rPr>
        <w:t>Negative pledge</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Quotation Date</w:t>
      </w:r>
      <w:r>
        <w:rPr>
          <w:rFonts w:ascii="Times New Roman" w:cs="Times New Roman" w:eastAsia="Times New Roman" w:hAnsi="Times New Roman"/>
          <w:sz w:val="17"/>
          <w:szCs w:val="17"/>
          <w:color w:val="auto"/>
        </w:rPr>
        <w:t>” means, in relation to any period for which an interest rate is to be determined:</w:t>
      </w:r>
    </w:p>
    <w:p>
      <w:pPr>
        <w:spacing w:after="0" w:line="133" w:lineRule="exact"/>
        <w:rPr>
          <w:sz w:val="20"/>
          <w:szCs w:val="20"/>
          <w:color w:val="auto"/>
        </w:rPr>
      </w:pPr>
    </w:p>
    <w:p>
      <w:pPr>
        <w:ind w:left="523" w:hanging="523"/>
        <w:spacing w:after="0"/>
        <w:tabs>
          <w:tab w:leader="none" w:pos="523"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Base Currency, the first day of that period;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Optional Currency (other than US dollars), two (2) Business Days prior to the first day of that period; and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US dollars, two US Government Securities Business Days before the first day of that period.</w:t>
      </w:r>
    </w:p>
    <w:p>
      <w:pPr>
        <w:spacing w:after="0" w:line="116" w:lineRule="exact"/>
        <w:rPr>
          <w:sz w:val="20"/>
          <w:szCs w:val="20"/>
          <w:color w:val="auto"/>
        </w:rPr>
      </w:pPr>
    </w:p>
    <w:p>
      <w:pPr>
        <w:jc w:val="both"/>
        <w:ind w:left="3" w:right="3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Quoted Tenor</w:t>
      </w:r>
      <w:r>
        <w:rPr>
          <w:rFonts w:ascii="Times New Roman" w:cs="Times New Roman" w:eastAsia="Times New Roman" w:hAnsi="Times New Roman"/>
          <w:sz w:val="17"/>
          <w:szCs w:val="17"/>
          <w:color w:val="auto"/>
        </w:rPr>
        <w:t>” means, in relation to the Screen Rate or Term SOFR (as applicable) for the determination of rate of interest applicable to Loans in a currency, any period for which that Screen Rate or Term SOFR (as applicable) is customarily displayed on the relevant page or screen of an information service.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Real Property</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300" w:hanging="523"/>
        <w:spacing w:after="0" w:line="295" w:lineRule="auto"/>
        <w:tabs>
          <w:tab w:leader="none" w:pos="523"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freehold, leasehold or immovable property, including the land described in the Land Concessions and the Occupational Leases relating to the Mocha Business, and</w:t>
      </w:r>
    </w:p>
    <w:p>
      <w:pPr>
        <w:spacing w:after="0" w:line="55" w:lineRule="exact"/>
        <w:rPr>
          <w:rFonts w:ascii="Times New Roman" w:cs="Times New Roman" w:eastAsia="Times New Roman" w:hAnsi="Times New Roman"/>
          <w:sz w:val="17"/>
          <w:szCs w:val="17"/>
          <w:color w:val="auto"/>
        </w:rPr>
      </w:pPr>
    </w:p>
    <w:p>
      <w:pPr>
        <w:ind w:left="523" w:right="220" w:hanging="523"/>
        <w:spacing w:after="0" w:line="295" w:lineRule="auto"/>
        <w:tabs>
          <w:tab w:leader="none" w:pos="523"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buildings, fixtures, fittings, fixed plant or machinery from time to time situated on or forming part of that freehold, leasehold or immovable property.</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Reference Bank Quotation</w:t>
      </w:r>
      <w:r>
        <w:rPr>
          <w:rFonts w:ascii="Times New Roman" w:cs="Times New Roman" w:eastAsia="Times New Roman" w:hAnsi="Times New Roman"/>
          <w:sz w:val="17"/>
          <w:szCs w:val="17"/>
          <w:color w:val="auto"/>
        </w:rPr>
        <w:t>” means any quotation supplied to the Agent by a Reference Bank.</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Reference Banks</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line="295" w:lineRule="auto"/>
        <w:tabs>
          <w:tab w:leader="none" w:pos="523"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HIBOR, such banks as may be designated for such purposes by the Agent in consultation with the Company from time to time; and</w:t>
      </w:r>
    </w:p>
    <w:p>
      <w:pPr>
        <w:spacing w:after="0" w:line="55"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Benchmark Rate for a Loan in an Optional Currency (other than a Term SOFR Loan), such banks and office locations as may be designated for such purposes by the Agent in consultation with the Company from time to time.</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Reference Rate</w:t>
      </w:r>
      <w:r>
        <w:rPr>
          <w:rFonts w:ascii="Times New Roman" w:cs="Times New Roman" w:eastAsia="Times New Roman" w:hAnsi="Times New Roman"/>
          <w:sz w:val="17"/>
          <w:szCs w:val="17"/>
          <w:color w:val="auto"/>
        </w:rPr>
        <w:t>” means, in relation to any Term SOFR Loan:</w:t>
      </w:r>
    </w:p>
    <w:p>
      <w:pPr>
        <w:spacing w:after="0" w:line="133" w:lineRule="exact"/>
        <w:rPr>
          <w:sz w:val="20"/>
          <w:szCs w:val="20"/>
          <w:color w:val="auto"/>
        </w:rPr>
      </w:pPr>
    </w:p>
    <w:p>
      <w:pPr>
        <w:ind w:left="523" w:right="240" w:hanging="523"/>
        <w:spacing w:after="0" w:line="295" w:lineRule="auto"/>
        <w:tabs>
          <w:tab w:leader="none" w:pos="523"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Term SOFR on the Quotation Date for the Term SOFR Loan and for a period equal in length to the Interest Period of that Term SOFR Loan; or</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38" w:name="page339"/>
    <w:bookmarkEnd w:id="338"/>
    <w:p>
      <w:pPr>
        <w:ind w:left="523" w:hanging="523"/>
        <w:spacing w:after="0"/>
        <w:tabs>
          <w:tab w:leader="none" w:pos="523"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otherwise determined pursuant to Clause 14.5 (</w:t>
      </w:r>
      <w:r>
        <w:rPr>
          <w:rFonts w:ascii="Times New Roman" w:cs="Times New Roman" w:eastAsia="Times New Roman" w:hAnsi="Times New Roman"/>
          <w:sz w:val="17"/>
          <w:szCs w:val="17"/>
          <w:i w:val="1"/>
          <w:iCs w:val="1"/>
          <w:color w:val="auto"/>
        </w:rPr>
        <w:t>Unavailability of Term SOFR</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3" w:right="380"/>
        <w:spacing w:after="0" w:line="295" w:lineRule="auto"/>
        <w:rPr>
          <w:sz w:val="20"/>
          <w:szCs w:val="20"/>
          <w:color w:val="auto"/>
        </w:rPr>
      </w:pPr>
      <w:r>
        <w:rPr>
          <w:rFonts w:ascii="Times New Roman" w:cs="Times New Roman" w:eastAsia="Times New Roman" w:hAnsi="Times New Roman"/>
          <w:sz w:val="17"/>
          <w:szCs w:val="17"/>
          <w:color w:val="auto"/>
        </w:rPr>
        <w:t>and if, in either case, the aggregate of that rate and the applicable Credit Adjustment Spread is less than zero, the Reference Rate shall be deemed to be such a rate that the aggregate of the Reference Rate and the applicable Credit Adjustment Spread is zero.</w:t>
      </w:r>
    </w:p>
    <w:p>
      <w:pPr>
        <w:spacing w:after="0" w:line="40" w:lineRule="exact"/>
        <w:rPr>
          <w:sz w:val="20"/>
          <w:szCs w:val="20"/>
          <w:color w:val="auto"/>
        </w:rPr>
      </w:pPr>
    </w:p>
    <w:p>
      <w:pPr>
        <w:ind w:left="3" w:right="4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Fund</w:t>
      </w:r>
      <w:r>
        <w:rPr>
          <w:rFonts w:ascii="Times New Roman" w:cs="Times New Roman" w:eastAsia="Times New Roman" w:hAnsi="Times New Roman"/>
          <w:sz w:val="17"/>
          <w:szCs w:val="17"/>
          <w:color w:val="auto"/>
        </w:rPr>
        <w:t>”, in relation to a fund (the “</w:t>
      </w:r>
      <w:r>
        <w:rPr>
          <w:rFonts w:ascii="Times New Roman" w:cs="Times New Roman" w:eastAsia="Times New Roman" w:hAnsi="Times New Roman"/>
          <w:sz w:val="17"/>
          <w:szCs w:val="17"/>
          <w:b w:val="1"/>
          <w:bCs w:val="1"/>
          <w:color w:val="auto"/>
        </w:rPr>
        <w:t>first fund</w:t>
      </w:r>
      <w:r>
        <w:rPr>
          <w:rFonts w:ascii="Times New Roman" w:cs="Times New Roman" w:eastAsia="Times New Roman" w:hAnsi="Times New Roman"/>
          <w:sz w:val="17"/>
          <w:szCs w:val="17"/>
          <w:color w:val="auto"/>
        </w:rPr>
        <w:t>”), means a fund which is managed or advised by the same investment manager or adviser or an Affiliate thereof as the first fund.</w:t>
      </w:r>
    </w:p>
    <w:p>
      <w:pPr>
        <w:spacing w:after="0" w:line="37" w:lineRule="exact"/>
        <w:rPr>
          <w:sz w:val="20"/>
          <w:szCs w:val="20"/>
          <w:color w:val="auto"/>
        </w:rPr>
      </w:pPr>
    </w:p>
    <w:p>
      <w:pPr>
        <w:ind w:left="3" w:right="12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Interbank Market</w:t>
      </w:r>
      <w:r>
        <w:rPr>
          <w:rFonts w:ascii="Times New Roman" w:cs="Times New Roman" w:eastAsia="Times New Roman" w:hAnsi="Times New Roman"/>
          <w:sz w:val="17"/>
          <w:szCs w:val="17"/>
          <w:color w:val="auto"/>
        </w:rPr>
        <w:t>” means, in relation to HK dollars, the Hong Kong SAR interbank market, in relation to US dollars for a Term SOFR Loan, the market for overnight cash borrowing in USD collateralised by US Government securities and, in relation to any other currency and a Facility, such other interbank market agreed by all of the Lenders with a Commitment in respect of that Facility and the Company.</w:t>
      </w:r>
    </w:p>
    <w:p>
      <w:pPr>
        <w:spacing w:after="0" w:line="27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Jurisdiction</w:t>
      </w:r>
      <w:r>
        <w:rPr>
          <w:rFonts w:ascii="Times New Roman" w:cs="Times New Roman" w:eastAsia="Times New Roman" w:hAnsi="Times New Roman"/>
          <w:sz w:val="17"/>
          <w:szCs w:val="17"/>
          <w:color w:val="auto"/>
        </w:rPr>
        <w:t>” means, in relation to any person:</w:t>
      </w:r>
    </w:p>
    <w:p>
      <w:pPr>
        <w:spacing w:after="0" w:line="133" w:lineRule="exact"/>
        <w:rPr>
          <w:sz w:val="20"/>
          <w:szCs w:val="20"/>
          <w:color w:val="auto"/>
        </w:rPr>
      </w:pPr>
    </w:p>
    <w:p>
      <w:pPr>
        <w:ind w:left="523" w:hanging="523"/>
        <w:spacing w:after="0"/>
        <w:tabs>
          <w:tab w:leader="none" w:pos="523"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jurisdiction of incorporation; and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jurisdiction where it conducts its business.</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right="2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Property</w:t>
      </w:r>
      <w:r>
        <w:rPr>
          <w:rFonts w:ascii="Times New Roman" w:cs="Times New Roman" w:eastAsia="Times New Roman" w:hAnsi="Times New Roman"/>
          <w:sz w:val="17"/>
          <w:szCs w:val="17"/>
          <w:color w:val="auto"/>
        </w:rPr>
        <w:t>” means the City of Dreams Site and, in respect of a “Project” designated under this Agreement, any other property which is designated as a “Relevant Property” by the Company and agreed to by the Agent (acting on instructions of the Majority Lenders).</w:t>
      </w:r>
    </w:p>
    <w:p>
      <w:pPr>
        <w:spacing w:after="0" w:line="37" w:lineRule="exact"/>
        <w:rPr>
          <w:sz w:val="20"/>
          <w:szCs w:val="20"/>
          <w:color w:val="auto"/>
        </w:rPr>
      </w:pPr>
    </w:p>
    <w:p>
      <w:pPr>
        <w:ind w:left="3" w:right="6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Property Easement</w:t>
      </w:r>
      <w:r>
        <w:rPr>
          <w:rFonts w:ascii="Times New Roman" w:cs="Times New Roman" w:eastAsia="Times New Roman" w:hAnsi="Times New Roman"/>
          <w:sz w:val="17"/>
          <w:szCs w:val="17"/>
          <w:color w:val="auto"/>
        </w:rPr>
        <w:t>” means, in relation to any Relevant Property, the easements appurtenant, easements in gross, licence agreements and other rights running for the benefit of the Project Company and/or appurtenant to the Relevant Property.</w:t>
      </w:r>
    </w:p>
    <w:p>
      <w:pPr>
        <w:spacing w:after="0" w:line="37" w:lineRule="exact"/>
        <w:rPr>
          <w:sz w:val="20"/>
          <w:szCs w:val="20"/>
          <w:color w:val="auto"/>
        </w:rPr>
      </w:pPr>
    </w:p>
    <w:p>
      <w:pPr>
        <w:ind w:left="3" w:right="1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Repeating Representations</w:t>
      </w:r>
      <w:r>
        <w:rPr>
          <w:rFonts w:ascii="Times New Roman" w:cs="Times New Roman" w:eastAsia="Times New Roman" w:hAnsi="Times New Roman"/>
          <w:sz w:val="17"/>
          <w:szCs w:val="17"/>
          <w:color w:val="auto"/>
        </w:rPr>
        <w:t>” means each of the representations set out in Clause 21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other than Clause 21.10 (</w:t>
      </w:r>
      <w:r>
        <w:rPr>
          <w:rFonts w:ascii="Times New Roman" w:cs="Times New Roman" w:eastAsia="Times New Roman" w:hAnsi="Times New Roman"/>
          <w:sz w:val="17"/>
          <w:szCs w:val="17"/>
          <w:i w:val="1"/>
          <w:iCs w:val="1"/>
          <w:color w:val="auto"/>
        </w:rPr>
        <w:t>Deduction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Tax</w:t>
      </w:r>
      <w:r>
        <w:rPr>
          <w:rFonts w:ascii="Times New Roman" w:cs="Times New Roman" w:eastAsia="Times New Roman" w:hAnsi="Times New Roman"/>
          <w:sz w:val="17"/>
          <w:szCs w:val="17"/>
          <w:color w:val="auto"/>
        </w:rPr>
        <w:t>), paragraphs (a) to (c) of Clause 21.13 (</w:t>
      </w:r>
      <w:r>
        <w:rPr>
          <w:rFonts w:ascii="Times New Roman" w:cs="Times New Roman" w:eastAsia="Times New Roman" w:hAnsi="Times New Roman"/>
          <w:sz w:val="17"/>
          <w:szCs w:val="17"/>
          <w:i w:val="1"/>
          <w:iCs w:val="1"/>
          <w:color w:val="auto"/>
        </w:rPr>
        <w:t>No misleading information</w:t>
      </w:r>
      <w:r>
        <w:rPr>
          <w:rFonts w:ascii="Times New Roman" w:cs="Times New Roman" w:eastAsia="Times New Roman" w:hAnsi="Times New Roman"/>
          <w:sz w:val="17"/>
          <w:szCs w:val="17"/>
          <w:color w:val="auto"/>
        </w:rPr>
        <w:t>) and Clause 21.14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3" w:right="14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Revenues</w:t>
      </w:r>
      <w:r>
        <w:rPr>
          <w:rFonts w:ascii="Times New Roman" w:cs="Times New Roman" w:eastAsia="Times New Roman" w:hAnsi="Times New Roman"/>
          <w:sz w:val="17"/>
          <w:szCs w:val="17"/>
          <w:color w:val="auto"/>
        </w:rPr>
        <w:t>” means all Group income and receipts, including those derived from the ownership, operation or management of the Projects or any other business of the Melco Group, including payments received by any Group Member under any Material Document, net payments, if any, received under any hedging agreements, Liquidated Damages, insurance proceeds, together with any receipts derived from the sale or disposal of rights of any other property pertaining to the Projects or the business of the Melco Group or incidental to the operation or management of the Projects or the business of the Melco Group, all as determined in conformity with cash accounting principles, and the proceeds of any condemnation awards relating to any Project or the business of the Melco Group.</w:t>
      </w:r>
    </w:p>
    <w:p>
      <w:pPr>
        <w:spacing w:after="0" w:line="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Rollover Loan</w:t>
      </w:r>
      <w:r>
        <w:rPr>
          <w:rFonts w:ascii="Times New Roman" w:cs="Times New Roman" w:eastAsia="Times New Roman" w:hAnsi="Times New Roman"/>
          <w:sz w:val="17"/>
          <w:szCs w:val="17"/>
          <w:color w:val="auto"/>
        </w:rPr>
        <w:t>” means one or more Initial Facility Loans or Incremental Revolving Credit Facility Loans:</w:t>
      </w:r>
    </w:p>
    <w:p>
      <w:pPr>
        <w:spacing w:after="0" w:line="133" w:lineRule="exact"/>
        <w:rPr>
          <w:sz w:val="20"/>
          <w:szCs w:val="20"/>
          <w:color w:val="auto"/>
        </w:rPr>
      </w:pPr>
    </w:p>
    <w:p>
      <w:pPr>
        <w:ind w:left="523" w:hanging="523"/>
        <w:spacing w:after="0"/>
        <w:tabs>
          <w:tab w:leader="none" w:pos="523"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or to be made on the same day that a maturing Loan under the same Facility is due to be repaid;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which is equal to or less than the amount of that maturing Loan;</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same currency as that maturing Loan; and</w:t>
      </w:r>
    </w:p>
    <w:p>
      <w:pPr>
        <w:spacing w:after="0" w:line="131" w:lineRule="exact"/>
        <w:rPr>
          <w:rFonts w:ascii="Times New Roman" w:cs="Times New Roman" w:eastAsia="Times New Roman" w:hAnsi="Times New Roman"/>
          <w:sz w:val="17"/>
          <w:szCs w:val="17"/>
          <w:color w:val="auto"/>
        </w:rPr>
      </w:pPr>
    </w:p>
    <w:p>
      <w:pPr>
        <w:ind w:left="523" w:right="20" w:hanging="523"/>
        <w:spacing w:after="0" w:line="295" w:lineRule="auto"/>
        <w:tabs>
          <w:tab w:leader="none" w:pos="523"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or to be made to the Company for the purpose of refinancing that maturing Loan (as specified in the Utilisation Request for such first-mentioned Loan(s)).</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39" w:name="page340"/>
    <w:bookmarkEnd w:id="339"/>
    <w:p>
      <w:pPr>
        <w:ind w:left="3" w:right="56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Sanctioned Country</w:t>
      </w:r>
      <w:r>
        <w:rPr>
          <w:rFonts w:ascii="Times New Roman" w:cs="Times New Roman" w:eastAsia="Times New Roman" w:hAnsi="Times New Roman"/>
          <w:sz w:val="17"/>
          <w:szCs w:val="17"/>
          <w:color w:val="auto"/>
        </w:rPr>
        <w:t>” means a country or territory that is the subject of country-wide or territory-wide Sanctions (including, without limitation, the Crimea region of the Ukraine, Cuba, Iran, North Korea, Sudan and Syria).</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an individual or entity that is:</w:t>
      </w:r>
    </w:p>
    <w:p>
      <w:pPr>
        <w:spacing w:after="0" w:line="133" w:lineRule="exact"/>
        <w:rPr>
          <w:sz w:val="20"/>
          <w:szCs w:val="20"/>
          <w:color w:val="auto"/>
        </w:rPr>
      </w:pPr>
    </w:p>
    <w:p>
      <w:pPr>
        <w:ind w:left="523" w:hanging="523"/>
        <w:spacing w:after="0"/>
        <w:tabs>
          <w:tab w:leader="none" w:pos="523"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of any Sanction, including anyone who is listed:</w:t>
      </w:r>
    </w:p>
    <w:p>
      <w:pPr>
        <w:spacing w:after="0" w:line="131" w:lineRule="exact"/>
        <w:rPr>
          <w:rFonts w:ascii="Times New Roman" w:cs="Times New Roman" w:eastAsia="Times New Roman" w:hAnsi="Times New Roman"/>
          <w:sz w:val="17"/>
          <w:szCs w:val="17"/>
          <w:color w:val="auto"/>
        </w:rPr>
      </w:pPr>
    </w:p>
    <w:p>
      <w:pPr>
        <w:ind w:left="1143" w:right="300" w:hanging="620"/>
        <w:spacing w:after="0" w:line="295" w:lineRule="auto"/>
        <w:tabs>
          <w:tab w:leader="none" w:pos="1143"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Annex to the “Executive Order No. 13224 of 23 September 2001—Blocking Property and Prohibiting Transactions With Persons Who Commit, Threaten To Commit, or Support Terrorism”;</w:t>
      </w:r>
    </w:p>
    <w:p>
      <w:pPr>
        <w:spacing w:after="0" w:line="55" w:lineRule="exact"/>
        <w:rPr>
          <w:rFonts w:ascii="Times New Roman" w:cs="Times New Roman" w:eastAsia="Times New Roman" w:hAnsi="Times New Roman"/>
          <w:sz w:val="17"/>
          <w:szCs w:val="17"/>
          <w:color w:val="auto"/>
        </w:rPr>
      </w:pPr>
    </w:p>
    <w:p>
      <w:pPr>
        <w:ind w:left="1143" w:right="60" w:hanging="620"/>
        <w:spacing w:after="0" w:line="295" w:lineRule="auto"/>
        <w:tabs>
          <w:tab w:leader="none" w:pos="1143"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“Specially Designated Nationals and Blocked Persons” list maintained by the U.S. Department of Treasury’s Office of Foreign Assets Control; or</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successor list to either of the foregoing; or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Sanctioned Country.</w:t>
      </w:r>
    </w:p>
    <w:p>
      <w:pPr>
        <w:spacing w:after="0" w:line="116" w:lineRule="exact"/>
        <w:rPr>
          <w:sz w:val="20"/>
          <w:szCs w:val="20"/>
          <w:color w:val="auto"/>
        </w:rPr>
      </w:pPr>
    </w:p>
    <w:p>
      <w:pPr>
        <w:ind w:left="3" w:right="3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any sanctions administered or enforced by the U.S. Department of Treasury’s Office of Foreign Assets Control, the United Nations Security Council, the European Union, His Majesty’s Treasury of the United Kingdom, the State Secretariat for Economic Affairs of Switzerland, the Hong Kong Monetary Authority or other relevant sanctions authority.</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Screen Rate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60" w:hanging="523"/>
        <w:spacing w:after="0" w:line="276" w:lineRule="auto"/>
        <w:tabs>
          <w:tab w:leader="none" w:pos="523"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HIBOR, the Hong Kong SAR interbank offered rate administered by the Treasury Markets Association (or any other person which takes over the administration of that rate) for HK dollars for the relevant period displayed on page HKABHIBOR of the Thomson Reuters screen (or any replacement Thomson Reuters page which displays that rate); and</w:t>
      </w:r>
    </w:p>
    <w:p>
      <w:pPr>
        <w:spacing w:after="0" w:line="70" w:lineRule="exact"/>
        <w:rPr>
          <w:rFonts w:ascii="Times New Roman" w:cs="Times New Roman" w:eastAsia="Times New Roman" w:hAnsi="Times New Roman"/>
          <w:sz w:val="17"/>
          <w:szCs w:val="17"/>
          <w:color w:val="auto"/>
        </w:rPr>
      </w:pPr>
    </w:p>
    <w:p>
      <w:pPr>
        <w:jc w:val="both"/>
        <w:ind w:left="523" w:right="180" w:hanging="523"/>
        <w:spacing w:after="0" w:line="295" w:lineRule="auto"/>
        <w:tabs>
          <w:tab w:leader="none" w:pos="523"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Benchmark Rate for a Loan in an Optional Currency (other than US dollars), the rate designated by the Agent (acting on the instructions of all the Lenders under the Facility pursuant to which that Loan was made) and the Company from time to time,</w:t>
      </w:r>
    </w:p>
    <w:p>
      <w:pPr>
        <w:spacing w:after="0" w:line="42" w:lineRule="exact"/>
        <w:rPr>
          <w:sz w:val="20"/>
          <w:szCs w:val="20"/>
          <w:color w:val="auto"/>
        </w:rPr>
      </w:pPr>
    </w:p>
    <w:p>
      <w:pPr>
        <w:jc w:val="both"/>
        <w:ind w:left="3" w:right="240"/>
        <w:spacing w:after="0" w:line="276" w:lineRule="auto"/>
        <w:rPr>
          <w:sz w:val="20"/>
          <w:szCs w:val="20"/>
          <w:color w:val="auto"/>
        </w:rPr>
      </w:pPr>
      <w:r>
        <w:rPr>
          <w:rFonts w:ascii="Times New Roman" w:cs="Times New Roman" w:eastAsia="Times New Roman" w:hAnsi="Times New Roman"/>
          <w:sz w:val="17"/>
          <w:szCs w:val="17"/>
          <w:color w:val="auto"/>
        </w:rPr>
        <w:t>or, in each case, on the appropriate page of such other information service which publishes that rate from time to time in place of Thomson Reuters. If such page or service ceases to be available, the Agent may specify another page or service displaying the appropriate rate after consultation with the Company and the Lenders.</w:t>
      </w:r>
    </w:p>
    <w:p>
      <w:pPr>
        <w:spacing w:after="0" w:line="55" w:lineRule="exact"/>
        <w:rPr>
          <w:sz w:val="20"/>
          <w:szCs w:val="20"/>
          <w:color w:val="auto"/>
        </w:rPr>
      </w:pPr>
    </w:p>
    <w:p>
      <w:pPr>
        <w:ind w:left="3" w:right="1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means a mortgage, charge, pledge, lien or other security interest securing any obligation of any person or any other agreement or arrangement having a similar effect.</w:t>
      </w:r>
    </w:p>
    <w:p>
      <w:pPr>
        <w:spacing w:after="0" w:line="37" w:lineRule="exact"/>
        <w:rPr>
          <w:sz w:val="20"/>
          <w:szCs w:val="20"/>
          <w:color w:val="auto"/>
        </w:rPr>
      </w:pPr>
    </w:p>
    <w:p>
      <w:pPr>
        <w:ind w:left="3" w:right="4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Selection Notice</w:t>
      </w:r>
      <w:r>
        <w:rPr>
          <w:rFonts w:ascii="Times New Roman" w:cs="Times New Roman" w:eastAsia="Times New Roman" w:hAnsi="Times New Roman"/>
          <w:sz w:val="17"/>
          <w:szCs w:val="17"/>
          <w:color w:val="auto"/>
        </w:rPr>
        <w:t>” means a notice substantially in the form set out in Schedule 10 (</w:t>
      </w:r>
      <w:r>
        <w:rPr>
          <w:rFonts w:ascii="Times New Roman" w:cs="Times New Roman" w:eastAsia="Times New Roman" w:hAnsi="Times New Roman"/>
          <w:sz w:val="17"/>
          <w:szCs w:val="17"/>
          <w:i w:val="1"/>
          <w:iCs w:val="1"/>
          <w:color w:val="auto"/>
        </w:rPr>
        <w:t>Form of Selection Notice</w:t>
      </w:r>
      <w:r>
        <w:rPr>
          <w:rFonts w:ascii="Times New Roman" w:cs="Times New Roman" w:eastAsia="Times New Roman" w:hAnsi="Times New Roman"/>
          <w:sz w:val="17"/>
          <w:szCs w:val="17"/>
          <w:color w:val="auto"/>
        </w:rPr>
        <w:t>) given in accordance with Clause 13 (</w:t>
      </w:r>
      <w:r>
        <w:rPr>
          <w:rFonts w:ascii="Times New Roman" w:cs="Times New Roman" w:eastAsia="Times New Roman" w:hAnsi="Times New Roman"/>
          <w:sz w:val="17"/>
          <w:szCs w:val="17"/>
          <w:i w:val="1"/>
          <w:iCs w:val="1"/>
          <w:color w:val="auto"/>
        </w:rPr>
        <w:t>Interest Periods</w:t>
      </w:r>
      <w:r>
        <w:rPr>
          <w:rFonts w:ascii="Times New Roman" w:cs="Times New Roman" w:eastAsia="Times New Roman" w:hAnsi="Times New Roman"/>
          <w:sz w:val="17"/>
          <w:szCs w:val="17"/>
          <w:color w:val="auto"/>
        </w:rPr>
        <w:t>) in relation to an Incremental Term Loan Facility.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Senior Leverage</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Separate Loan</w:t>
      </w:r>
      <w:r>
        <w:rPr>
          <w:rFonts w:ascii="Times New Roman" w:cs="Times New Roman" w:eastAsia="Times New Roman" w:hAnsi="Times New Roman"/>
          <w:sz w:val="17"/>
          <w:szCs w:val="17"/>
          <w:color w:val="auto"/>
        </w:rPr>
        <w:t>” has the meaning given to that term in paragraph (c) of Clause 8.1 (</w:t>
      </w:r>
      <w:r>
        <w:rPr>
          <w:rFonts w:ascii="Times New Roman" w:cs="Times New Roman" w:eastAsia="Times New Roman" w:hAnsi="Times New Roman"/>
          <w:sz w:val="17"/>
          <w:szCs w:val="17"/>
          <w:i w:val="1"/>
          <w:iCs w:val="1"/>
          <w:color w:val="auto"/>
        </w:rPr>
        <w:t>Initial Facility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Agreement</w:t>
      </w:r>
      <w:r>
        <w:rPr>
          <w:rFonts w:ascii="Times New Roman" w:cs="Times New Roman" w:eastAsia="Times New Roman" w:hAnsi="Times New Roman"/>
          <w:sz w:val="17"/>
          <w:szCs w:val="17"/>
          <w:color w:val="auto"/>
        </w:rPr>
        <w:t>” means any of:</w:t>
      </w:r>
    </w:p>
    <w:p>
      <w:pPr>
        <w:spacing w:after="0" w:line="133" w:lineRule="exact"/>
        <w:rPr>
          <w:sz w:val="20"/>
          <w:szCs w:val="20"/>
          <w:color w:val="auto"/>
        </w:rPr>
      </w:pPr>
    </w:p>
    <w:p>
      <w:pPr>
        <w:ind w:left="523" w:right="80" w:hanging="523"/>
        <w:spacing w:after="0" w:line="295" w:lineRule="auto"/>
        <w:tabs>
          <w:tab w:leader="none" w:pos="523"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1 January 2007 and made between Melco Resorts Macau and Melco Resorts Services Limited (formerly named Melco PBL Services Limited);</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40" w:name="page341"/>
    <w:bookmarkEnd w:id="340"/>
    <w:p>
      <w:pPr>
        <w:ind w:left="523" w:right="66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services agreement dated 1 January 2007 and made between Altira Resorts Limited (formerly Great Wonders Investments Limited) and Melco Resorts Services Limited (formerly named Melco PBL Services Limited);</w:t>
      </w:r>
    </w:p>
    <w:p>
      <w:pPr>
        <w:spacing w:after="0" w:line="55" w:lineRule="exact"/>
        <w:rPr>
          <w:rFonts w:ascii="Times New Roman" w:cs="Times New Roman" w:eastAsia="Times New Roman" w:hAnsi="Times New Roman"/>
          <w:sz w:val="17"/>
          <w:szCs w:val="17"/>
          <w:color w:val="auto"/>
        </w:rPr>
      </w:pPr>
    </w:p>
    <w:p>
      <w:pPr>
        <w:ind w:left="523" w:right="18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1 January 2007 and made between COD Resorts Limited (formerly Melco Hotels and Resorts (Macau) Limited) and Melco Resorts Services Limited (formerly Melco PBL Services Limited);</w:t>
      </w:r>
    </w:p>
    <w:p>
      <w:pPr>
        <w:spacing w:after="0" w:line="55" w:lineRule="exact"/>
        <w:rPr>
          <w:rFonts w:ascii="Times New Roman" w:cs="Times New Roman" w:eastAsia="Times New Roman" w:hAnsi="Times New Roman"/>
          <w:sz w:val="17"/>
          <w:szCs w:val="17"/>
          <w:color w:val="auto"/>
        </w:rPr>
      </w:pPr>
    </w:p>
    <w:p>
      <w:pPr>
        <w:ind w:left="523" w:right="28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1 January 2007 and made between MCO Investments Limited (formerly MPEL Investments Limited) and Melco Resorts Services Limited (formerly Melco PBL Services Limited);</w:t>
      </w:r>
    </w:p>
    <w:p>
      <w:pPr>
        <w:spacing w:after="0" w:line="55" w:lineRule="exact"/>
        <w:rPr>
          <w:rFonts w:ascii="Times New Roman" w:cs="Times New Roman" w:eastAsia="Times New Roman" w:hAnsi="Times New Roman"/>
          <w:sz w:val="17"/>
          <w:szCs w:val="17"/>
          <w:color w:val="auto"/>
        </w:rPr>
      </w:pPr>
    </w:p>
    <w:p>
      <w:pPr>
        <w:ind w:left="523" w:right="46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agreements dated 1 January 2007 and made between Melco Resorts &amp; Entertainment Limited (formerly Melco PBL Entertainment (Macau) Limited) and MCO Nominee One Limited;</w:t>
      </w:r>
    </w:p>
    <w:p>
      <w:pPr>
        <w:spacing w:after="0" w:line="55" w:lineRule="exact"/>
        <w:rPr>
          <w:rFonts w:ascii="Times New Roman" w:cs="Times New Roman" w:eastAsia="Times New Roman" w:hAnsi="Times New Roman"/>
          <w:sz w:val="17"/>
          <w:szCs w:val="17"/>
          <w:color w:val="auto"/>
        </w:rPr>
      </w:pPr>
    </w:p>
    <w:p>
      <w:pPr>
        <w:ind w:left="523" w:right="10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29 May 2007 and made between Melco Resorts (Cafe) Limited (formerly Melco Crown (Cafe) Services Limited) and Melco Resorts Services Limited (formerly Melco PBL Services Limited);</w:t>
      </w:r>
    </w:p>
    <w:p>
      <w:pPr>
        <w:spacing w:after="0" w:line="55" w:lineRule="exact"/>
        <w:rPr>
          <w:rFonts w:ascii="Times New Roman" w:cs="Times New Roman" w:eastAsia="Times New Roman" w:hAnsi="Times New Roman"/>
          <w:sz w:val="17"/>
          <w:szCs w:val="17"/>
          <w:color w:val="auto"/>
        </w:rPr>
      </w:pPr>
    </w:p>
    <w:p>
      <w:pPr>
        <w:ind w:left="523" w:right="16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29 May 2007 and made between Golden Future (Management Services) Limited (formerly Melco PBL Services (Macau) Limited) and Melco Resorts Services Limited (formerly Melco PBL Services Limited);</w:t>
      </w:r>
    </w:p>
    <w:p>
      <w:pPr>
        <w:spacing w:after="0" w:line="55" w:lineRule="exact"/>
        <w:rPr>
          <w:rFonts w:ascii="Times New Roman" w:cs="Times New Roman" w:eastAsia="Times New Roman" w:hAnsi="Times New Roman"/>
          <w:sz w:val="17"/>
          <w:szCs w:val="17"/>
          <w:color w:val="auto"/>
        </w:rPr>
      </w:pPr>
    </w:p>
    <w:p>
      <w:pPr>
        <w:ind w:left="523" w:right="6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27 October 2009 and made between Melco Resorts Macau and Melco Resorts Security Services Limited (formerly Melco Crown Security Services Limited);</w:t>
      </w:r>
    </w:p>
    <w:p>
      <w:pPr>
        <w:spacing w:after="0" w:line="55"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27 October 2009 and made between Golden Future (Management Services) Limited and Melco Resorts Security Services Limited (formerly Melco Crown Security Services Limited);</w:t>
      </w:r>
    </w:p>
    <w:p>
      <w:pPr>
        <w:spacing w:after="0" w:line="55" w:lineRule="exact"/>
        <w:rPr>
          <w:rFonts w:ascii="Times New Roman" w:cs="Times New Roman" w:eastAsia="Times New Roman" w:hAnsi="Times New Roman"/>
          <w:sz w:val="17"/>
          <w:szCs w:val="17"/>
          <w:color w:val="auto"/>
        </w:rPr>
      </w:pPr>
    </w:p>
    <w:p>
      <w:pPr>
        <w:ind w:left="523" w:right="40" w:hanging="523"/>
        <w:spacing w:after="0" w:line="295"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agreement dated 25 March 2010 and made between Golden Future (Management Services) Limited and MPEL Properties (Macau) Limited; and</w:t>
      </w:r>
    </w:p>
    <w:p>
      <w:pPr>
        <w:spacing w:after="0" w:line="55" w:lineRule="exact"/>
        <w:rPr>
          <w:rFonts w:ascii="Times New Roman" w:cs="Times New Roman" w:eastAsia="Times New Roman" w:hAnsi="Times New Roman"/>
          <w:sz w:val="17"/>
          <w:szCs w:val="17"/>
          <w:color w:val="auto"/>
        </w:rPr>
      </w:pPr>
    </w:p>
    <w:p>
      <w:pPr>
        <w:ind w:left="523" w:right="220" w:hanging="523"/>
        <w:spacing w:after="0" w:line="266" w:lineRule="auto"/>
        <w:tabs>
          <w:tab w:leader="none" w:pos="52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master services agreement dated 21 December 2015 and made between, amongst others, COD Resorts Limited (formerly Melco Crown (COD) Developments Limited), Altira Resorts Limited (formerly Altira Developments Limited), Melco Resorts Macau, Golden Future (Management Services) Limited (formerly Melco PBL Services (Macau) Limited) and certain other members of the Melco Group, and Studio City International Holdings Limited and certain of its subsidiaries (the “</w:t>
      </w:r>
      <w:r>
        <w:rPr>
          <w:rFonts w:ascii="Times New Roman" w:cs="Times New Roman" w:eastAsia="Times New Roman" w:hAnsi="Times New Roman"/>
          <w:sz w:val="17"/>
          <w:szCs w:val="17"/>
          <w:b w:val="1"/>
          <w:bCs w:val="1"/>
          <w:color w:val="auto"/>
        </w:rPr>
        <w:t>MSA</w:t>
      </w:r>
      <w:r>
        <w:rPr>
          <w:rFonts w:ascii="Times New Roman" w:cs="Times New Roman" w:eastAsia="Times New Roman" w:hAnsi="Times New Roman"/>
          <w:sz w:val="17"/>
          <w:szCs w:val="17"/>
          <w:color w:val="auto"/>
        </w:rPr>
        <w:t>”), and any and all work agreements entered into in conjunction with the MSA,</w:t>
      </w:r>
    </w:p>
    <w:p>
      <w:pPr>
        <w:spacing w:after="0" w:line="67" w:lineRule="exact"/>
        <w:rPr>
          <w:sz w:val="20"/>
          <w:szCs w:val="20"/>
          <w:color w:val="auto"/>
        </w:rPr>
      </w:pPr>
    </w:p>
    <w:p>
      <w:pPr>
        <w:ind w:left="3" w:right="60"/>
        <w:spacing w:after="0" w:line="295" w:lineRule="auto"/>
        <w:rPr>
          <w:sz w:val="20"/>
          <w:szCs w:val="20"/>
          <w:color w:val="auto"/>
        </w:rPr>
      </w:pPr>
      <w:r>
        <w:rPr>
          <w:rFonts w:ascii="Times New Roman" w:cs="Times New Roman" w:eastAsia="Times New Roman" w:hAnsi="Times New Roman"/>
          <w:sz w:val="17"/>
          <w:szCs w:val="17"/>
          <w:color w:val="auto"/>
        </w:rPr>
        <w:t>and any other agreement which a member of the Group may enter into from time to time with an Affiliate outside the Group for the supply of goods or services as permitted pursuant to this Agreement.</w:t>
      </w:r>
    </w:p>
    <w:p>
      <w:pPr>
        <w:spacing w:after="0" w:line="40" w:lineRule="exact"/>
        <w:rPr>
          <w:sz w:val="20"/>
          <w:szCs w:val="20"/>
          <w:color w:val="auto"/>
        </w:rPr>
      </w:pPr>
    </w:p>
    <w:p>
      <w:pPr>
        <w:ind w:left="3"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Affiliate</w:t>
      </w:r>
      <w:r>
        <w:rPr>
          <w:rFonts w:ascii="Times New Roman" w:cs="Times New Roman" w:eastAsia="Times New Roman" w:hAnsi="Times New Roman"/>
          <w:sz w:val="17"/>
          <w:szCs w:val="17"/>
          <w:color w:val="auto"/>
        </w:rPr>
        <w:t>” means each Sponsor and each Sponsor Group Shareholder and each of their respective Affiliates (excluding members of the Group).</w:t>
      </w:r>
    </w:p>
    <w:p>
      <w:pPr>
        <w:spacing w:after="0" w:line="37" w:lineRule="exact"/>
        <w:rPr>
          <w:sz w:val="20"/>
          <w:szCs w:val="20"/>
          <w:color w:val="auto"/>
        </w:rPr>
      </w:pPr>
    </w:p>
    <w:p>
      <w:pPr>
        <w:ind w:left="3" w:right="2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Group Loan</w:t>
      </w:r>
      <w:r>
        <w:rPr>
          <w:rFonts w:ascii="Times New Roman" w:cs="Times New Roman" w:eastAsia="Times New Roman" w:hAnsi="Times New Roman"/>
          <w:sz w:val="17"/>
          <w:szCs w:val="17"/>
          <w:color w:val="auto"/>
        </w:rPr>
        <w:t xml:space="preserve">” means any Financial Indebtedness owed by a Group Member to any Sponsor Group Shareholder,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(other than for the purposes of Clause 25.9 (</w:t>
      </w:r>
      <w:r>
        <w:rPr>
          <w:rFonts w:ascii="Times New Roman" w:cs="Times New Roman" w:eastAsia="Times New Roman" w:hAnsi="Times New Roman"/>
          <w:sz w:val="17"/>
          <w:szCs w:val="17"/>
          <w:i w:val="1"/>
          <w:iCs w:val="1"/>
          <w:color w:val="auto"/>
        </w:rPr>
        <w:t>Unlawfulness and invalidity</w:t>
      </w:r>
      <w:r>
        <w:rPr>
          <w:rFonts w:ascii="Times New Roman" w:cs="Times New Roman" w:eastAsia="Times New Roman" w:hAnsi="Times New Roman"/>
          <w:sz w:val="17"/>
          <w:szCs w:val="17"/>
          <w:color w:val="auto"/>
        </w:rPr>
        <w:t>)) it is subordinated to the Facility Liabilities under the terms of the Subordination Deed.</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Group Shareholder</w:t>
      </w:r>
      <w:r>
        <w:rPr>
          <w:rFonts w:ascii="Times New Roman" w:cs="Times New Roman" w:eastAsia="Times New Roman" w:hAnsi="Times New Roman"/>
          <w:sz w:val="17"/>
          <w:szCs w:val="17"/>
          <w:color w:val="auto"/>
        </w:rPr>
        <w:t>” means any direct or indirect shareholder of the Company which is a Sponsor or a Subsidiary of a Sponsor.</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Sponsors</w:t>
      </w:r>
      <w:r>
        <w:rPr>
          <w:rFonts w:ascii="Times New Roman" w:cs="Times New Roman" w:eastAsia="Times New Roman" w:hAnsi="Times New Roman"/>
          <w:sz w:val="17"/>
          <w:szCs w:val="17"/>
          <w:color w:val="auto"/>
        </w:rPr>
        <w:t>” means Melco International and Melco and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means each of them.</w:t>
      </w:r>
    </w:p>
    <w:p>
      <w:pPr>
        <w:sectPr>
          <w:pgSz w:w="11900" w:h="16838" w:orient="portrait"/>
          <w:cols w:equalWidth="0" w:num="1">
            <w:col w:w="9923"/>
          </w:cols>
          <w:pgMar w:left="1357" w:top="265" w:right="619" w:bottom="1440" w:gutter="0" w:footer="0" w:header="0"/>
        </w:sectPr>
      </w:pPr>
    </w:p>
    <w:p>
      <w:pPr>
        <w:spacing w:after="0" w:line="159" w:lineRule="exact"/>
        <w:rPr>
          <w:sz w:val="20"/>
          <w:szCs w:val="20"/>
          <w:color w:val="auto"/>
        </w:rPr>
      </w:pPr>
    </w:p>
    <w:p>
      <w:pPr>
        <w:ind w:left="4503"/>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203" w:space="720"/>
            <w:col w:w="3000"/>
          </w:cols>
          <w:pgMar w:left="1357" w:top="265" w:right="619" w:bottom="1440" w:gutter="0" w:footer="0" w:header="0"/>
          <w:type w:val="continuous"/>
        </w:sectPr>
      </w:pPr>
    </w:p>
    <w:bookmarkStart w:id="341" w:name="page342"/>
    <w:bookmarkEnd w:id="341"/>
    <w:p>
      <w:pPr>
        <w:ind w:lef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Subordinated Creditor</w:t>
      </w:r>
      <w:r>
        <w:rPr>
          <w:rFonts w:ascii="Times New Roman" w:cs="Times New Roman" w:eastAsia="Times New Roman" w:hAnsi="Times New Roman"/>
          <w:sz w:val="17"/>
          <w:szCs w:val="17"/>
          <w:color w:val="auto"/>
        </w:rPr>
        <w:t>” has the meaning given to it in the Subordination Deed;</w:t>
      </w:r>
    </w:p>
    <w:p>
      <w:pPr>
        <w:spacing w:after="0" w:line="118" w:lineRule="exact"/>
        <w:rPr>
          <w:sz w:val="20"/>
          <w:szCs w:val="20"/>
          <w:color w:val="auto"/>
        </w:rPr>
      </w:pPr>
    </w:p>
    <w:p>
      <w:pPr>
        <w:ind w:left="3"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Subordinated Debt</w:t>
      </w:r>
      <w:r>
        <w:rPr>
          <w:rFonts w:ascii="Times New Roman" w:cs="Times New Roman" w:eastAsia="Times New Roman" w:hAnsi="Times New Roman"/>
          <w:sz w:val="17"/>
          <w:szCs w:val="17"/>
          <w:color w:val="auto"/>
        </w:rPr>
        <w:t>” means any Financial Indebtedness owed by a Group Member to a Subordinated Creditor that is (other than for the purposes of Clause 25.9 (</w:t>
      </w:r>
      <w:r>
        <w:rPr>
          <w:rFonts w:ascii="Times New Roman" w:cs="Times New Roman" w:eastAsia="Times New Roman" w:hAnsi="Times New Roman"/>
          <w:sz w:val="17"/>
          <w:szCs w:val="17"/>
          <w:i w:val="1"/>
          <w:iCs w:val="1"/>
          <w:color w:val="auto"/>
        </w:rPr>
        <w:t>Unlawfulness and invalidity</w:t>
      </w:r>
      <w:r>
        <w:rPr>
          <w:rFonts w:ascii="Times New Roman" w:cs="Times New Roman" w:eastAsia="Times New Roman" w:hAnsi="Times New Roman"/>
          <w:sz w:val="17"/>
          <w:szCs w:val="17"/>
          <w:color w:val="auto"/>
        </w:rPr>
        <w:t>)) subordinated to the Facility Liabilities under the terms of the Subordination Deed, and which includes, as at the date of this Agreement, Financial Indebtedness incurred under the following intercompany loan agreements:</w:t>
      </w:r>
    </w:p>
    <w:p>
      <w:pPr>
        <w:spacing w:after="0" w:line="70" w:lineRule="exact"/>
        <w:rPr>
          <w:sz w:val="20"/>
          <w:szCs w:val="20"/>
          <w:color w:val="auto"/>
        </w:rPr>
      </w:pPr>
    </w:p>
    <w:p>
      <w:pPr>
        <w:ind w:left="523" w:hanging="523"/>
        <w:spacing w:after="0"/>
        <w:tabs>
          <w:tab w:leader="none" w:pos="523"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US$1,000,000,000 loan agreement dated 31 July 2017 between MCO Investments as the borrower and Bondco as the lender;</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US$500,000,000 loan agreement dated 8 July 2019 between MCO Investments as the borrower and Bondco as the lender;</w:t>
      </w:r>
    </w:p>
    <w:p>
      <w:pPr>
        <w:spacing w:after="0" w:line="131" w:lineRule="exact"/>
        <w:rPr>
          <w:rFonts w:ascii="Times New Roman" w:cs="Times New Roman" w:eastAsia="Times New Roman" w:hAnsi="Times New Roman"/>
          <w:sz w:val="17"/>
          <w:szCs w:val="17"/>
          <w:color w:val="auto"/>
        </w:rPr>
      </w:pPr>
    </w:p>
    <w:p>
      <w:pPr>
        <w:ind w:left="523" w:right="120" w:hanging="523"/>
        <w:spacing w:after="0" w:line="295" w:lineRule="auto"/>
        <w:tabs>
          <w:tab w:leader="none" w:pos="523"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US$600,000,000 loan agreement dated 18 November 2019 between MCO Investments as the borrower and Bondco as the lender; and</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US$900,000,000 loan agreement dated 18 December 2019 between MCO Investments as the borrower and Bondco as the lender.</w:t>
      </w:r>
    </w:p>
    <w:p>
      <w:pPr>
        <w:spacing w:after="0" w:line="116" w:lineRule="exact"/>
        <w:rPr>
          <w:sz w:val="20"/>
          <w:szCs w:val="20"/>
          <w:color w:val="auto"/>
        </w:rPr>
      </w:pPr>
    </w:p>
    <w:p>
      <w:pPr>
        <w:jc w:val="both"/>
        <w:ind w:left="3" w:right="1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Subordination Deed</w:t>
      </w:r>
      <w:r>
        <w:rPr>
          <w:rFonts w:ascii="Times New Roman" w:cs="Times New Roman" w:eastAsia="Times New Roman" w:hAnsi="Times New Roman"/>
          <w:sz w:val="17"/>
          <w:szCs w:val="17"/>
          <w:color w:val="auto"/>
        </w:rPr>
        <w:t>” means the subordination deed dated on or about the date of this Agreement between Bondco and MCO International Limited as Subordinated Creditors, the Company and MCO Investments as Debtors and the Agent and acceding parties from time to time (as amended, novated, supplemented, extended, replaced or retained (in each case, however fundamentally) from time to time).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in relation to any company or corporation, a company or corporation:</w:t>
      </w:r>
    </w:p>
    <w:p>
      <w:pPr>
        <w:spacing w:after="0" w:line="133" w:lineRule="exact"/>
        <w:rPr>
          <w:sz w:val="20"/>
          <w:szCs w:val="20"/>
          <w:color w:val="auto"/>
        </w:rPr>
      </w:pPr>
    </w:p>
    <w:p>
      <w:pPr>
        <w:ind w:left="523" w:hanging="523"/>
        <w:spacing w:after="0"/>
        <w:tabs>
          <w:tab w:leader="none" w:pos="523"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is controlled, directly or indirectly, by the first mentioned company or corporation;</w:t>
      </w:r>
    </w:p>
    <w:p>
      <w:pPr>
        <w:spacing w:after="0" w:line="131" w:lineRule="exact"/>
        <w:rPr>
          <w:rFonts w:ascii="Times New Roman" w:cs="Times New Roman" w:eastAsia="Times New Roman" w:hAnsi="Times New Roman"/>
          <w:sz w:val="17"/>
          <w:szCs w:val="17"/>
          <w:color w:val="auto"/>
        </w:rPr>
      </w:pPr>
    </w:p>
    <w:p>
      <w:pPr>
        <w:ind w:left="523" w:right="580" w:hanging="523"/>
        <w:spacing w:after="0" w:line="295" w:lineRule="auto"/>
        <w:tabs>
          <w:tab w:leader="none" w:pos="523"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half the issued share capital of which is beneficially owned, directly or indirectly by the first mentioned company or corporation; or</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is a Subsidiary of another Subsidiary of the first mentioned company or corporation,</w:t>
      </w:r>
    </w:p>
    <w:p>
      <w:pPr>
        <w:spacing w:after="0" w:line="118" w:lineRule="exact"/>
        <w:rPr>
          <w:sz w:val="20"/>
          <w:szCs w:val="20"/>
          <w:color w:val="auto"/>
        </w:rPr>
      </w:pPr>
    </w:p>
    <w:p>
      <w:pPr>
        <w:ind w:left="3" w:right="160"/>
        <w:spacing w:after="0" w:line="295" w:lineRule="auto"/>
        <w:rPr>
          <w:sz w:val="20"/>
          <w:szCs w:val="20"/>
          <w:color w:val="auto"/>
        </w:rPr>
      </w:pPr>
      <w:r>
        <w:rPr>
          <w:rFonts w:ascii="Times New Roman" w:cs="Times New Roman" w:eastAsia="Times New Roman" w:hAnsi="Times New Roman"/>
          <w:sz w:val="17"/>
          <w:szCs w:val="17"/>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 Guarantee</w:t>
      </w:r>
      <w:r>
        <w:rPr>
          <w:rFonts w:ascii="Times New Roman" w:cs="Times New Roman" w:eastAsia="Times New Roman" w:hAnsi="Times New Roman"/>
          <w:sz w:val="17"/>
          <w:szCs w:val="17"/>
          <w:color w:val="auto"/>
        </w:rPr>
        <w:t>” means each of:</w:t>
      </w:r>
    </w:p>
    <w:p>
      <w:pPr>
        <w:spacing w:after="0" w:line="133" w:lineRule="exact"/>
        <w:rPr>
          <w:sz w:val="20"/>
          <w:szCs w:val="20"/>
          <w:color w:val="auto"/>
        </w:rPr>
      </w:pPr>
    </w:p>
    <w:p>
      <w:pPr>
        <w:ind w:left="523" w:right="180" w:hanging="523"/>
        <w:spacing w:after="0" w:line="276" w:lineRule="auto"/>
        <w:tabs>
          <w:tab w:leader="none" w:pos="523"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dated on or about the date of this Agreement between MCO Investments as guarantor, the Company and the Agent (as amended, novated, supplemented, extended, replaced or retained (in each case, however fundamentally) from time to time) (the “</w:t>
      </w:r>
      <w:r>
        <w:rPr>
          <w:rFonts w:ascii="Times New Roman" w:cs="Times New Roman" w:eastAsia="Times New Roman" w:hAnsi="Times New Roman"/>
          <w:sz w:val="17"/>
          <w:szCs w:val="17"/>
          <w:b w:val="1"/>
          <w:bCs w:val="1"/>
          <w:color w:val="auto"/>
        </w:rPr>
        <w:t>MCO Subsidiary Guarantee</w:t>
      </w:r>
      <w:r>
        <w:rPr>
          <w:rFonts w:ascii="Times New Roman" w:cs="Times New Roman" w:eastAsia="Times New Roman" w:hAnsi="Times New Roman"/>
          <w:sz w:val="17"/>
          <w:szCs w:val="17"/>
          <w:color w:val="auto"/>
        </w:rPr>
        <w:t>”); and</w:t>
      </w:r>
    </w:p>
    <w:p>
      <w:pPr>
        <w:spacing w:after="0" w:line="70" w:lineRule="exact"/>
        <w:rPr>
          <w:rFonts w:ascii="Times New Roman" w:cs="Times New Roman" w:eastAsia="Times New Roman" w:hAnsi="Times New Roman"/>
          <w:sz w:val="17"/>
          <w:szCs w:val="17"/>
          <w:color w:val="auto"/>
        </w:rPr>
      </w:pPr>
    </w:p>
    <w:p>
      <w:pPr>
        <w:ind w:left="523" w:right="180" w:hanging="523"/>
        <w:spacing w:after="0" w:line="276" w:lineRule="auto"/>
        <w:tabs>
          <w:tab w:leader="none" w:pos="523"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dated on or about the date of this Agreement between Melco Resorts Macau as guarantor, the Company and the Agent (as amended, novated, supplemented, extended, replaced or retained (in each case, however fundamentally) from time to time) (the “</w:t>
      </w:r>
      <w:r>
        <w:rPr>
          <w:rFonts w:ascii="Times New Roman" w:cs="Times New Roman" w:eastAsia="Times New Roman" w:hAnsi="Times New Roman"/>
          <w:sz w:val="17"/>
          <w:szCs w:val="17"/>
          <w:b w:val="1"/>
          <w:bCs w:val="1"/>
          <w:color w:val="auto"/>
        </w:rPr>
        <w:t>MRM Subsidiary Guarantee</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 Guarantor</w:t>
      </w:r>
      <w:r>
        <w:rPr>
          <w:rFonts w:ascii="Times New Roman" w:cs="Times New Roman" w:eastAsia="Times New Roman" w:hAnsi="Times New Roman"/>
          <w:sz w:val="17"/>
          <w:szCs w:val="17"/>
          <w:color w:val="auto"/>
        </w:rPr>
        <w:t>” means each of (i) Melco Resorts Macau and (ii) MCO Investments.</w:t>
      </w:r>
    </w:p>
    <w:p>
      <w:pPr>
        <w:spacing w:after="0" w:line="118" w:lineRule="exact"/>
        <w:rPr>
          <w:sz w:val="20"/>
          <w:szCs w:val="20"/>
          <w:color w:val="auto"/>
        </w:rPr>
      </w:pPr>
    </w:p>
    <w:p>
      <w:pPr>
        <w:ind w:left="3" w:right="2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Studio City Casino Agreement</w:t>
      </w:r>
      <w:r>
        <w:rPr>
          <w:rFonts w:ascii="Times New Roman" w:cs="Times New Roman" w:eastAsia="Times New Roman" w:hAnsi="Times New Roman"/>
          <w:sz w:val="17"/>
          <w:szCs w:val="17"/>
          <w:color w:val="auto"/>
        </w:rPr>
        <w:t>” means the services and the rights to use agreement dated 11 May 2007 between, amongst others, Melco Resorts Macau and Studio City Entertainment Limited, as amended from time to time.</w:t>
      </w:r>
    </w:p>
    <w:p>
      <w:pPr>
        <w:spacing w:after="0" w:line="78"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39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42" w:name="page343"/>
    <w:bookmarkEnd w:id="342"/>
    <w:p>
      <w:pPr>
        <w:ind w:left="3" w:right="52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means any tax, levy, impost, duty or other charge or withholding of a similar nature (including any penalty or interest payable in connection with any failure to pay or any delay in paying any of the same).</w:t>
      </w:r>
    </w:p>
    <w:p>
      <w:pPr>
        <w:spacing w:after="0" w:line="37" w:lineRule="exact"/>
        <w:rPr>
          <w:sz w:val="20"/>
          <w:szCs w:val="20"/>
          <w:color w:val="auto"/>
        </w:rPr>
      </w:pPr>
    </w:p>
    <w:p>
      <w:pPr>
        <w:ind w:left="3" w:right="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SOFR</w:t>
      </w:r>
      <w:r>
        <w:rPr>
          <w:rFonts w:ascii="Times New Roman" w:cs="Times New Roman" w:eastAsia="Times New Roman" w:hAnsi="Times New Roman"/>
          <w:sz w:val="17"/>
          <w:szCs w:val="17"/>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 (rounded upwards to five decimal places).</w:t>
      </w:r>
    </w:p>
    <w:p>
      <w:pPr>
        <w:spacing w:after="0" w:line="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SOFR Loan</w:t>
      </w:r>
      <w:r>
        <w:rPr>
          <w:rFonts w:ascii="Times New Roman" w:cs="Times New Roman" w:eastAsia="Times New Roman" w:hAnsi="Times New Roman"/>
          <w:sz w:val="17"/>
          <w:szCs w:val="17"/>
          <w:color w:val="auto"/>
        </w:rPr>
        <w:t>” means any Loan or, if applicable, Unpaid Sum in US dollars.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right="80" w:hanging="523"/>
        <w:spacing w:after="0" w:line="295" w:lineRule="auto"/>
        <w:tabs>
          <w:tab w:leader="none" w:pos="523"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Initial Facility, the date falling 60 Months after the date of this Agreement (or, if such date is not a Business Day, the immediately preceding Business Day); and</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 Incremental Facility, the Incremental Facility Termination Date relating to that Incremental Facility.</w:t>
      </w:r>
    </w:p>
    <w:p>
      <w:pPr>
        <w:spacing w:after="0" w:line="116" w:lineRule="exact"/>
        <w:rPr>
          <w:sz w:val="20"/>
          <w:szCs w:val="20"/>
          <w:color w:val="auto"/>
        </w:rPr>
      </w:pPr>
    </w:p>
    <w:p>
      <w:pPr>
        <w:ind w:left="3" w:right="5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Proceeds</w:t>
      </w:r>
      <w:r>
        <w:rPr>
          <w:rFonts w:ascii="Times New Roman" w:cs="Times New Roman" w:eastAsia="Times New Roman" w:hAnsi="Times New Roman"/>
          <w:sz w:val="17"/>
          <w:szCs w:val="17"/>
          <w:color w:val="auto"/>
        </w:rPr>
        <w:t>” means compensation or other proceeds paid by the Macau SAR in relation to the termination, redemption or rescission of the Concession.</w:t>
      </w:r>
    </w:p>
    <w:p>
      <w:pPr>
        <w:spacing w:after="0" w:line="37" w:lineRule="exact"/>
        <w:rPr>
          <w:sz w:val="20"/>
          <w:szCs w:val="20"/>
          <w:color w:val="auto"/>
        </w:rPr>
      </w:pPr>
    </w:p>
    <w:p>
      <w:pPr>
        <w:ind w:left="3" w:right="6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 Creditor Document</w:t>
      </w:r>
      <w:r>
        <w:rPr>
          <w:rFonts w:ascii="Times New Roman" w:cs="Times New Roman" w:eastAsia="Times New Roman" w:hAnsi="Times New Roman"/>
          <w:sz w:val="17"/>
          <w:szCs w:val="17"/>
          <w:color w:val="auto"/>
        </w:rPr>
        <w:t>” means each of (a) the Subordination Deed and (b) any other document designated as such by the Company and the Agent from time to time.</w:t>
      </w:r>
    </w:p>
    <w:p>
      <w:pPr>
        <w:spacing w:after="0" w:line="37" w:lineRule="exact"/>
        <w:rPr>
          <w:sz w:val="20"/>
          <w:szCs w:val="20"/>
          <w:color w:val="auto"/>
        </w:rPr>
      </w:pPr>
    </w:p>
    <w:p>
      <w:pPr>
        <w:ind w:left="3"/>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Commitments</w:t>
      </w:r>
      <w:r>
        <w:rPr>
          <w:rFonts w:ascii="Times New Roman" w:cs="Times New Roman" w:eastAsia="Times New Roman" w:hAnsi="Times New Roman"/>
          <w:sz w:val="17"/>
          <w:szCs w:val="17"/>
          <w:color w:val="auto"/>
        </w:rPr>
        <w:t>” means the aggregate of the Total Initial Facility Commitments and the Total Incremental Facility Commitments, being HKD14,850,000,000 as at the date of this Agreement.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Incremental Facility Commitments</w:t>
      </w:r>
      <w:r>
        <w:rPr>
          <w:rFonts w:ascii="Times New Roman" w:cs="Times New Roman" w:eastAsia="Times New Roman" w:hAnsi="Times New Roman"/>
          <w:sz w:val="17"/>
          <w:szCs w:val="17"/>
          <w:color w:val="auto"/>
        </w:rPr>
        <w:t>” means, at any time, the aggregate of the Incremental Facility Commitments.</w:t>
      </w:r>
    </w:p>
    <w:p>
      <w:pPr>
        <w:spacing w:after="0" w:line="118" w:lineRule="exact"/>
        <w:rPr>
          <w:sz w:val="20"/>
          <w:szCs w:val="20"/>
          <w:color w:val="auto"/>
        </w:rPr>
      </w:pPr>
    </w:p>
    <w:p>
      <w:pPr>
        <w:ind w:left="3" w:right="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Initial Facility Commitments</w:t>
      </w:r>
      <w:r>
        <w:rPr>
          <w:rFonts w:ascii="Times New Roman" w:cs="Times New Roman" w:eastAsia="Times New Roman" w:hAnsi="Times New Roman"/>
          <w:sz w:val="17"/>
          <w:szCs w:val="17"/>
          <w:color w:val="auto"/>
        </w:rPr>
        <w:t>” means the aggregate of the Initial Facility Commitments, being HKD14,850,000,000 as at date of this Agreement.</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Leverage</w:t>
      </w:r>
      <w:r>
        <w:rPr>
          <w:rFonts w:ascii="Times New Roman" w:cs="Times New Roman" w:eastAsia="Times New Roman" w:hAnsi="Times New Roman"/>
          <w:sz w:val="17"/>
          <w:szCs w:val="17"/>
          <w:color w:val="auto"/>
        </w:rPr>
        <w:t>” has the meaning given to that term in Clause 23.1 (</w:t>
      </w:r>
      <w:r>
        <w:rPr>
          <w:rFonts w:ascii="Times New Roman" w:cs="Times New Roman" w:eastAsia="Times New Roman" w:hAnsi="Times New Roman"/>
          <w:sz w:val="17"/>
          <w:szCs w:val="17"/>
          <w:i w:val="1"/>
          <w:iCs w:val="1"/>
          <w:color w:val="auto"/>
        </w:rPr>
        <w:t>Financial definitions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tabs>
          <w:tab w:leader="none" w:pos="523"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Finance Documents;</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Constitutional Documents of the Company and of each Subsidiary Guarantor; and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Excluded Project Operation Agreements (if any).</w:t>
      </w:r>
    </w:p>
    <w:p>
      <w:pPr>
        <w:spacing w:after="0" w:line="116" w:lineRule="exact"/>
        <w:rPr>
          <w:sz w:val="20"/>
          <w:szCs w:val="20"/>
          <w:color w:val="auto"/>
        </w:rPr>
      </w:pPr>
    </w:p>
    <w:p>
      <w:pPr>
        <w:ind w:left="3" w:right="1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Certificate</w:t>
      </w:r>
      <w:r>
        <w:rPr>
          <w:rFonts w:ascii="Times New Roman" w:cs="Times New Roman" w:eastAsia="Times New Roman" w:hAnsi="Times New Roman"/>
          <w:sz w:val="17"/>
          <w:szCs w:val="17"/>
          <w:color w:val="auto"/>
        </w:rPr>
        <w:t>” means an agreement substantially in the form set out in Schedule 4 (</w:t>
      </w:r>
      <w:r>
        <w:rPr>
          <w:rFonts w:ascii="Times New Roman" w:cs="Times New Roman" w:eastAsia="Times New Roman" w:hAnsi="Times New Roman"/>
          <w:sz w:val="17"/>
          <w:szCs w:val="17"/>
          <w:i w:val="1"/>
          <w:iCs w:val="1"/>
          <w:color w:val="auto"/>
        </w:rPr>
        <w:t>Form of Transfer Certificate</w:t>
      </w:r>
      <w:r>
        <w:rPr>
          <w:rFonts w:ascii="Times New Roman" w:cs="Times New Roman" w:eastAsia="Times New Roman" w:hAnsi="Times New Roman"/>
          <w:sz w:val="17"/>
          <w:szCs w:val="17"/>
          <w:color w:val="auto"/>
        </w:rPr>
        <w:t>) or any other form agreed between the Agent and the Company.</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Date</w:t>
      </w:r>
      <w:r>
        <w:rPr>
          <w:rFonts w:ascii="Times New Roman" w:cs="Times New Roman" w:eastAsia="Times New Roman" w:hAnsi="Times New Roman"/>
          <w:sz w:val="17"/>
          <w:szCs w:val="17"/>
          <w:color w:val="auto"/>
        </w:rPr>
        <w:t>” means, in relation to an assignment or transfer by a Lender, the later of:</w:t>
      </w:r>
    </w:p>
    <w:p>
      <w:pPr>
        <w:spacing w:after="0" w:line="133" w:lineRule="exact"/>
        <w:rPr>
          <w:sz w:val="20"/>
          <w:szCs w:val="20"/>
          <w:color w:val="auto"/>
        </w:rPr>
      </w:pPr>
    </w:p>
    <w:p>
      <w:pPr>
        <w:ind w:left="523" w:right="380" w:hanging="523"/>
        <w:spacing w:after="0" w:line="295" w:lineRule="auto"/>
        <w:tabs>
          <w:tab w:leader="none" w:pos="523"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Transfer Date specified in the relevant Assignment Agreement or Transfer Certificate relating to such assignment or transfer; and</w:t>
      </w:r>
    </w:p>
    <w:p>
      <w:pPr>
        <w:spacing w:after="0" w:line="55" w:lineRule="exact"/>
        <w:rPr>
          <w:rFonts w:ascii="Times New Roman" w:cs="Times New Roman" w:eastAsia="Times New Roman" w:hAnsi="Times New Roman"/>
          <w:sz w:val="17"/>
          <w:szCs w:val="17"/>
          <w:color w:val="auto"/>
        </w:rPr>
      </w:pPr>
    </w:p>
    <w:p>
      <w:pPr>
        <w:ind w:left="523" w:right="520" w:hanging="523"/>
        <w:spacing w:after="0" w:line="295" w:lineRule="auto"/>
        <w:tabs>
          <w:tab w:leader="none" w:pos="523"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Agent executes the relevant Assignment Agreement or Transfer Certificate relating to such assignment or transfer.</w:t>
      </w:r>
    </w:p>
    <w:p>
      <w:pPr>
        <w:spacing w:after="0" w:line="40" w:lineRule="exact"/>
        <w:rPr>
          <w:sz w:val="20"/>
          <w:szCs w:val="20"/>
          <w:color w:val="auto"/>
        </w:rPr>
      </w:pPr>
    </w:p>
    <w:p>
      <w:pPr>
        <w:ind w:left="3" w:right="20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Transactions</w:t>
      </w:r>
      <w:r>
        <w:rPr>
          <w:rFonts w:ascii="Times New Roman" w:cs="Times New Roman" w:eastAsia="Times New Roman" w:hAnsi="Times New Roman"/>
          <w:sz w:val="17"/>
          <w:szCs w:val="17"/>
          <w:color w:val="auto"/>
        </w:rPr>
        <w:t>” means any derivative transaction entered into in connection with protection against or benefit from fluctuation in any rate or price.</w:t>
      </w:r>
    </w:p>
    <w:p>
      <w:pPr>
        <w:spacing w:after="0" w:line="78"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3" w:right="619" w:bottom="1440" w:gutter="0" w:footer="0" w:header="0"/>
        </w:sectPr>
      </w:pPr>
    </w:p>
    <w:bookmarkStart w:id="343" w:name="page344"/>
    <w:bookmarkEnd w:id="343"/>
    <w:p>
      <w:pPr>
        <w:ind w:left="7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Unpaid Sum</w:t>
      </w:r>
      <w:r>
        <w:rPr>
          <w:rFonts w:ascii="Times New Roman" w:cs="Times New Roman" w:eastAsia="Times New Roman" w:hAnsi="Times New Roman"/>
          <w:sz w:val="17"/>
          <w:szCs w:val="17"/>
          <w:color w:val="auto"/>
        </w:rPr>
        <w:t>” means any sum due and payable but unpaid by the Company under the Finance Documents.</w:t>
      </w:r>
    </w:p>
    <w:p>
      <w:pPr>
        <w:spacing w:after="0" w:line="118" w:lineRule="exact"/>
        <w:rPr>
          <w:sz w:val="20"/>
          <w:szCs w:val="20"/>
          <w:color w:val="auto"/>
        </w:rPr>
      </w:pPr>
    </w:p>
    <w:p>
      <w:pPr>
        <w:ind w:left="740" w:right="2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United States</w:t>
      </w:r>
      <w:r>
        <w:rPr>
          <w:rFonts w:ascii="Times New Roman" w:cs="Times New Roman" w:eastAsia="Times New Roman" w:hAnsi="Times New Roman"/>
          <w:sz w:val="17"/>
          <w:szCs w:val="17"/>
          <w:color w:val="auto"/>
        </w:rPr>
        <w:t>” means the United States of America, its territories, possessions and other areas subject to the jurisdiction of the United States of America.</w:t>
      </w: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Government Securities Business Day</w:t>
      </w:r>
      <w:r>
        <w:rPr>
          <w:rFonts w:ascii="Times New Roman" w:cs="Times New Roman" w:eastAsia="Times New Roman" w:hAnsi="Times New Roman"/>
          <w:sz w:val="17"/>
          <w:szCs w:val="17"/>
          <w:color w:val="auto"/>
        </w:rPr>
        <w:t>” means any day other than:</w:t>
      </w:r>
    </w:p>
    <w:p>
      <w:pPr>
        <w:spacing w:after="0" w:line="133" w:lineRule="exact"/>
        <w:rPr>
          <w:sz w:val="20"/>
          <w:szCs w:val="20"/>
          <w:color w:val="auto"/>
        </w:rPr>
      </w:pPr>
    </w:p>
    <w:p>
      <w:pPr>
        <w:ind w:left="1260" w:hanging="523"/>
        <w:spacing w:after="0"/>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Saturday or a Sunday; and</w:t>
      </w:r>
    </w:p>
    <w:p>
      <w:pPr>
        <w:spacing w:after="0" w:line="131" w:lineRule="exact"/>
        <w:rPr>
          <w:rFonts w:ascii="Times New Roman" w:cs="Times New Roman" w:eastAsia="Times New Roman" w:hAnsi="Times New Roman"/>
          <w:sz w:val="17"/>
          <w:szCs w:val="17"/>
          <w:color w:val="auto"/>
        </w:rPr>
      </w:pPr>
    </w:p>
    <w:p>
      <w:pPr>
        <w:ind w:left="1260" w:right="160" w:hanging="523"/>
        <w:spacing w:after="0" w:line="295" w:lineRule="auto"/>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40" w:lineRule="exact"/>
        <w:rPr>
          <w:sz w:val="20"/>
          <w:szCs w:val="20"/>
          <w:color w:val="auto"/>
        </w:rPr>
      </w:pPr>
    </w:p>
    <w:p>
      <w:pPr>
        <w:ind w:left="740" w:right="54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Public Law 107-56.</w:t>
      </w: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 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denotes the lawful currency of the United States.</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Utilisation</w:t>
      </w:r>
      <w:r>
        <w:rPr>
          <w:rFonts w:ascii="Times New Roman" w:cs="Times New Roman" w:eastAsia="Times New Roman" w:hAnsi="Times New Roman"/>
          <w:sz w:val="17"/>
          <w:szCs w:val="17"/>
          <w:color w:val="auto"/>
        </w:rPr>
        <w:t>” means any Loan.</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Utilisation Date</w:t>
      </w:r>
      <w:r>
        <w:rPr>
          <w:rFonts w:ascii="Times New Roman" w:cs="Times New Roman" w:eastAsia="Times New Roman" w:hAnsi="Times New Roman"/>
          <w:sz w:val="17"/>
          <w:szCs w:val="17"/>
          <w:color w:val="auto"/>
        </w:rPr>
        <w:t>” means the date on which a Utilisation is made.</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Utilisation Request</w:t>
      </w:r>
      <w:r>
        <w:rPr>
          <w:rFonts w:ascii="Times New Roman" w:cs="Times New Roman" w:eastAsia="Times New Roman" w:hAnsi="Times New Roman"/>
          <w:sz w:val="17"/>
          <w:szCs w:val="17"/>
          <w:color w:val="auto"/>
        </w:rPr>
        <w:t>” means a notice substantially in the form set out in Schedule 3 (</w:t>
      </w:r>
      <w:r>
        <w:rPr>
          <w:rFonts w:ascii="Times New Roman" w:cs="Times New Roman" w:eastAsia="Times New Roman" w:hAnsi="Times New Roman"/>
          <w:sz w:val="17"/>
          <w:szCs w:val="17"/>
          <w:i w:val="1"/>
          <w:iCs w:val="1"/>
          <w:color w:val="auto"/>
        </w:rPr>
        <w:t>Form of Utilisation Request</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740" w:right="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Participation</w:t>
      </w:r>
      <w:r>
        <w:rPr>
          <w:rFonts w:ascii="Times New Roman" w:cs="Times New Roman" w:eastAsia="Times New Roman" w:hAnsi="Times New Roman"/>
          <w:sz w:val="17"/>
          <w:szCs w:val="17"/>
          <w:color w:val="auto"/>
        </w:rPr>
        <w:t>” means a Participation which includes a transfer of any voting rights, directly or indirectly, under, or in relation to, the Finance Documents.</w:t>
      </w:r>
    </w:p>
    <w:p>
      <w:pPr>
        <w:spacing w:after="0" w:line="28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3" w:lineRule="exact"/>
        <w:rPr>
          <w:sz w:val="20"/>
          <w:szCs w:val="20"/>
          <w:color w:val="auto"/>
        </w:rPr>
      </w:pPr>
    </w:p>
    <w:p>
      <w:pPr>
        <w:ind w:left="1260" w:hanging="523"/>
        <w:spacing w:after="0"/>
        <w:tabs>
          <w:tab w:leader="none" w:pos="126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a reference in this Agreement to:</w:t>
      </w:r>
    </w:p>
    <w:p>
      <w:pPr>
        <w:spacing w:after="0" w:line="129" w:lineRule="exact"/>
        <w:rPr>
          <w:rFonts w:ascii="Times New Roman" w:cs="Times New Roman" w:eastAsia="Times New Roman" w:hAnsi="Times New Roman"/>
          <w:sz w:val="17"/>
          <w:szCs w:val="17"/>
          <w:color w:val="auto"/>
        </w:rPr>
      </w:pPr>
    </w:p>
    <w:p>
      <w:pPr>
        <w:ind w:left="1880" w:right="500" w:hanging="620"/>
        <w:spacing w:after="0" w:line="277" w:lineRule="auto"/>
        <w:tabs>
          <w:tab w:leader="none" w:pos="18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b w:val="1"/>
          <w:bCs w:val="1"/>
          <w:color w:val="auto"/>
        </w:rPr>
        <w:t>Arranger</w:t>
      </w:r>
      <w:r>
        <w:rPr>
          <w:rFonts w:ascii="Times New Roman" w:cs="Times New Roman" w:eastAsia="Times New Roman" w:hAnsi="Times New Roman"/>
          <w:sz w:val="17"/>
          <w:szCs w:val="17"/>
          <w:color w:val="auto"/>
        </w:rPr>
        <w:t>”, any “</w:t>
      </w:r>
      <w:r>
        <w:rPr>
          <w:rFonts w:ascii="Times New Roman" w:cs="Times New Roman" w:eastAsia="Times New Roman" w:hAnsi="Times New Roman"/>
          <w:sz w:val="17"/>
          <w:szCs w:val="17"/>
          <w:b w:val="1"/>
          <w:bCs w:val="1"/>
          <w:color w:val="auto"/>
        </w:rPr>
        <w:t>Finance Party</w:t>
      </w:r>
      <w:r>
        <w:rPr>
          <w:rFonts w:ascii="Times New Roman" w:cs="Times New Roman" w:eastAsia="Times New Roman" w:hAnsi="Times New Roman"/>
          <w:sz w:val="17"/>
          <w:szCs w:val="17"/>
          <w:color w:val="auto"/>
        </w:rPr>
        <w:t>”, any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any “</w:t>
      </w:r>
      <w:r>
        <w:rPr>
          <w:rFonts w:ascii="Times New Roman" w:cs="Times New Roman" w:eastAsia="Times New Roman" w:hAnsi="Times New Roman"/>
          <w:sz w:val="17"/>
          <w:szCs w:val="17"/>
          <w:b w:val="1"/>
          <w:bCs w:val="1"/>
          <w:color w:val="auto"/>
        </w:rPr>
        <w:t>Obligor</w:t>
      </w:r>
      <w:r>
        <w:rPr>
          <w:rFonts w:ascii="Times New Roman" w:cs="Times New Roman" w:eastAsia="Times New Roman" w:hAnsi="Times New Roman"/>
          <w:sz w:val="17"/>
          <w:szCs w:val="17"/>
          <w:color w:val="auto"/>
        </w:rPr>
        <w:t>”, any “</w:t>
      </w:r>
      <w:r>
        <w:rPr>
          <w:rFonts w:ascii="Times New Roman" w:cs="Times New Roman" w:eastAsia="Times New Roman" w:hAnsi="Times New Roman"/>
          <w:sz w:val="17"/>
          <w:szCs w:val="17"/>
          <w:b w:val="1"/>
          <w:bCs w:val="1"/>
          <w:color w:val="auto"/>
        </w:rPr>
        <w:t>Subsidiary Guarantor</w:t>
      </w:r>
      <w:r>
        <w:rPr>
          <w:rFonts w:ascii="Times New Roman" w:cs="Times New Roman" w:eastAsia="Times New Roman" w:hAnsi="Times New Roman"/>
          <w:sz w:val="17"/>
          <w:szCs w:val="17"/>
          <w:color w:val="auto"/>
        </w:rPr>
        <w:t>” any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or any other person shall be construed so as to include its successors in title, permitted assigns and permitted transferees;</w:t>
      </w:r>
    </w:p>
    <w:p>
      <w:pPr>
        <w:spacing w:after="0" w:line="68" w:lineRule="exact"/>
        <w:rPr>
          <w:rFonts w:ascii="Times New Roman" w:cs="Times New Roman" w:eastAsia="Times New Roman" w:hAnsi="Times New Roman"/>
          <w:sz w:val="17"/>
          <w:szCs w:val="17"/>
          <w:color w:val="auto"/>
        </w:rPr>
      </w:pPr>
    </w:p>
    <w:p>
      <w:pPr>
        <w:ind w:left="1880" w:right="80" w:hanging="620"/>
        <w:spacing w:after="0" w:line="298" w:lineRule="auto"/>
        <w:tabs>
          <w:tab w:leader="none" w:pos="18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document in “</w:t>
      </w:r>
      <w:r>
        <w:rPr>
          <w:rFonts w:ascii="Times New Roman" w:cs="Times New Roman" w:eastAsia="Times New Roman" w:hAnsi="Times New Roman"/>
          <w:sz w:val="17"/>
          <w:szCs w:val="17"/>
          <w:b w:val="1"/>
          <w:bCs w:val="1"/>
          <w:color w:val="auto"/>
        </w:rPr>
        <w:t>agreed form</w:t>
      </w:r>
      <w:r>
        <w:rPr>
          <w:rFonts w:ascii="Times New Roman" w:cs="Times New Roman" w:eastAsia="Times New Roman" w:hAnsi="Times New Roman"/>
          <w:sz w:val="17"/>
          <w:szCs w:val="17"/>
          <w:color w:val="auto"/>
        </w:rPr>
        <w:t>” is a document which is in a form previously agreed in writing by or on behalf of the Company and the Agent or, if not so agreed, is in the form specified by the Agent;</w:t>
      </w:r>
    </w:p>
    <w:p>
      <w:pPr>
        <w:spacing w:after="0" w:line="50"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assets</w:t>
      </w:r>
      <w:r>
        <w:rPr>
          <w:rFonts w:ascii="Times New Roman" w:cs="Times New Roman" w:eastAsia="Times New Roman" w:hAnsi="Times New Roman"/>
          <w:sz w:val="17"/>
          <w:szCs w:val="17"/>
          <w:color w:val="auto"/>
        </w:rPr>
        <w:t>” includes present and future properties, revenues and rights of every description;</w:t>
      </w:r>
    </w:p>
    <w:p>
      <w:pPr>
        <w:spacing w:after="0" w:line="131" w:lineRule="exact"/>
        <w:rPr>
          <w:rFonts w:ascii="Times New Roman" w:cs="Times New Roman" w:eastAsia="Times New Roman" w:hAnsi="Times New Roman"/>
          <w:sz w:val="17"/>
          <w:szCs w:val="17"/>
          <w:color w:val="auto"/>
        </w:rPr>
      </w:pPr>
    </w:p>
    <w:p>
      <w:pPr>
        <w:ind w:left="1880" w:right="220" w:hanging="620"/>
        <w:spacing w:after="0" w:line="277" w:lineRule="auto"/>
        <w:tabs>
          <w:tab w:leader="none" w:pos="18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Finance Document</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b w:val="1"/>
          <w:bCs w:val="1"/>
          <w:color w:val="auto"/>
        </w:rPr>
        <w:t>Transaction Document</w:t>
      </w:r>
      <w:r>
        <w:rPr>
          <w:rFonts w:ascii="Times New Roman" w:cs="Times New Roman" w:eastAsia="Times New Roman" w:hAnsi="Times New Roman"/>
          <w:sz w:val="17"/>
          <w:szCs w:val="17"/>
          <w:color w:val="auto"/>
        </w:rPr>
        <w:t>” or any other agreement or instrument is a reference to that Finance Document or Transaction Document or other agreement or instrument as amended, novated, supplemented, extended, replaced or restated (in each case, however fundamentally);</w:t>
      </w:r>
    </w:p>
    <w:p>
      <w:pPr>
        <w:spacing w:after="0" w:line="68" w:lineRule="exact"/>
        <w:rPr>
          <w:rFonts w:ascii="Times New Roman" w:cs="Times New Roman" w:eastAsia="Times New Roman" w:hAnsi="Times New Roman"/>
          <w:sz w:val="17"/>
          <w:szCs w:val="17"/>
          <w:color w:val="auto"/>
        </w:rPr>
      </w:pPr>
    </w:p>
    <w:p>
      <w:pPr>
        <w:ind w:left="1880" w:right="20" w:hanging="620"/>
        <w:spacing w:after="0" w:line="270" w:lineRule="auto"/>
        <w:tabs>
          <w:tab w:leader="none" w:pos="18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02"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44" w:name="page345"/>
    <w:bookmarkEnd w:id="344"/>
    <w:p>
      <w:pPr>
        <w:ind w:left="1143" w:right="100" w:hanging="620"/>
        <w:spacing w:after="0" w:line="298" w:lineRule="auto"/>
        <w:tabs>
          <w:tab w:leader="none" w:pos="114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includes any obligation (whether incurred as principal or as surety) for the payment or repayment of money, whether present or future, actual or contingent;</w:t>
      </w:r>
    </w:p>
    <w:p>
      <w:pPr>
        <w:spacing w:after="0" w:line="50" w:lineRule="exact"/>
        <w:rPr>
          <w:rFonts w:ascii="Times New Roman" w:cs="Times New Roman" w:eastAsia="Times New Roman" w:hAnsi="Times New Roman"/>
          <w:sz w:val="17"/>
          <w:szCs w:val="17"/>
          <w:color w:val="auto"/>
        </w:rPr>
      </w:pPr>
    </w:p>
    <w:p>
      <w:pPr>
        <w:ind w:left="1143" w:right="320" w:hanging="620"/>
        <w:spacing w:after="0" w:line="277" w:lineRule="auto"/>
        <w:tabs>
          <w:tab w:leader="none" w:pos="114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Lender’s “</w:t>
      </w:r>
      <w:r>
        <w:rPr>
          <w:rFonts w:ascii="Times New Roman" w:cs="Times New Roman" w:eastAsia="Times New Roman" w:hAnsi="Times New Roman"/>
          <w:sz w:val="17"/>
          <w:szCs w:val="17"/>
          <w:b w:val="1"/>
          <w:bCs w:val="1"/>
          <w:color w:val="auto"/>
        </w:rPr>
        <w:t>participation</w:t>
      </w:r>
      <w:r>
        <w:rPr>
          <w:rFonts w:ascii="Times New Roman" w:cs="Times New Roman" w:eastAsia="Times New Roman" w:hAnsi="Times New Roman"/>
          <w:sz w:val="17"/>
          <w:szCs w:val="17"/>
          <w:color w:val="auto"/>
        </w:rPr>
        <w:t>” in a Loan or Unpaid Sum includes an amount (in the currency of such Loan or Unpaid Sum) representing the fraction or portion (attributable to such Lender by virtue of the provisions of this Agreement) of the total amount of such Loan or Unpaid Sum and the Lender’s rights under this Agreement in respect thereof;</w:t>
      </w:r>
    </w:p>
    <w:p>
      <w:pPr>
        <w:spacing w:after="0" w:line="68" w:lineRule="exact"/>
        <w:rPr>
          <w:rFonts w:ascii="Times New Roman" w:cs="Times New Roman" w:eastAsia="Times New Roman" w:hAnsi="Times New Roman"/>
          <w:sz w:val="17"/>
          <w:szCs w:val="17"/>
          <w:color w:val="auto"/>
        </w:rPr>
      </w:pPr>
    </w:p>
    <w:p>
      <w:pPr>
        <w:ind w:left="1143" w:right="120" w:hanging="620"/>
        <w:spacing w:after="0" w:line="277" w:lineRule="auto"/>
        <w:tabs>
          <w:tab w:leader="none" w:pos="114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any individual, firm, company, corporation, government, state or agency of a state or any association, trust, joint venture, consortium, partnership or other entity (whether or not having separate legal personality) of two or more of the foregoing;</w:t>
      </w:r>
    </w:p>
    <w:p>
      <w:pPr>
        <w:spacing w:after="0" w:line="68" w:lineRule="exact"/>
        <w:rPr>
          <w:rFonts w:ascii="Times New Roman" w:cs="Times New Roman" w:eastAsia="Times New Roman" w:hAnsi="Times New Roman"/>
          <w:sz w:val="17"/>
          <w:szCs w:val="17"/>
          <w:color w:val="auto"/>
        </w:rPr>
      </w:pPr>
    </w:p>
    <w:p>
      <w:pPr>
        <w:ind w:left="1143" w:right="160" w:hanging="620"/>
        <w:spacing w:after="0" w:line="277" w:lineRule="auto"/>
        <w:tabs>
          <w:tab w:leader="none" w:pos="114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regulation</w:t>
      </w:r>
      <w:r>
        <w:rPr>
          <w:rFonts w:ascii="Times New Roman" w:cs="Times New Roman" w:eastAsia="Times New Roman" w:hAnsi="Times New Roman"/>
          <w:sz w:val="17"/>
          <w:szCs w:val="17"/>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68" w:lineRule="exact"/>
        <w:rPr>
          <w:rFonts w:ascii="Times New Roman" w:cs="Times New Roman" w:eastAsia="Times New Roman" w:hAnsi="Times New Roman"/>
          <w:sz w:val="17"/>
          <w:szCs w:val="17"/>
          <w:color w:val="auto"/>
        </w:rPr>
      </w:pPr>
    </w:p>
    <w:p>
      <w:pPr>
        <w:ind w:left="1143" w:right="300" w:hanging="620"/>
        <w:spacing w:after="0" w:line="277" w:lineRule="auto"/>
        <w:tabs>
          <w:tab w:leader="none" w:pos="114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b w:val="1"/>
          <w:bCs w:val="1"/>
          <w:color w:val="auto"/>
        </w:rPr>
        <w:t>equivalent amount in other currencies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equivalent amount in HKD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equivalent amount in USD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equivalent</w:t>
      </w:r>
      <w:r>
        <w:rPr>
          <w:rFonts w:ascii="Times New Roman" w:cs="Times New Roman" w:eastAsia="Times New Roman" w:hAnsi="Times New Roman"/>
          <w:sz w:val="17"/>
          <w:szCs w:val="17"/>
          <w:color w:val="auto"/>
        </w:rPr>
        <w:t>” means, in relation to an amount in one currency, that amount converted on any relevant date into the relevant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currency, HKD or USD (as the case may be) at the Agent’s Spot Rate of Exchange on that date;</w:t>
      </w:r>
    </w:p>
    <w:p>
      <w:pPr>
        <w:spacing w:after="0" w:line="68" w:lineRule="exact"/>
        <w:rPr>
          <w:sz w:val="20"/>
          <w:szCs w:val="20"/>
          <w:color w:val="auto"/>
        </w:rPr>
      </w:pPr>
    </w:p>
    <w:p>
      <w:pPr>
        <w:ind w:left="1143" w:hanging="620"/>
        <w:spacing w:after="0"/>
        <w:tabs>
          <w:tab w:leader="none" w:pos="1143"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group of Lenders</w:t>
      </w:r>
      <w:r>
        <w:rPr>
          <w:rFonts w:ascii="Times New Roman" w:cs="Times New Roman" w:eastAsia="Times New Roman" w:hAnsi="Times New Roman"/>
          <w:sz w:val="17"/>
          <w:szCs w:val="17"/>
          <w:color w:val="auto"/>
        </w:rPr>
        <w:t>” includes all the Lenders;</w:t>
      </w:r>
    </w:p>
    <w:p>
      <w:pPr>
        <w:spacing w:after="0" w:line="133" w:lineRule="exact"/>
        <w:rPr>
          <w:sz w:val="20"/>
          <w:szCs w:val="20"/>
          <w:color w:val="auto"/>
        </w:rPr>
      </w:pPr>
    </w:p>
    <w:p>
      <w:pPr>
        <w:ind w:left="1143" w:hanging="620"/>
        <w:spacing w:after="0"/>
        <w:tabs>
          <w:tab w:leader="none" w:pos="1143"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of law is a reference to that provision as amended or re-enacted from time to time;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time of day is a reference to Hong Kong SAR time.</w:t>
      </w:r>
    </w:p>
    <w:p>
      <w:pPr>
        <w:spacing w:after="0" w:line="129" w:lineRule="exact"/>
        <w:rPr>
          <w:sz w:val="20"/>
          <w:szCs w:val="20"/>
          <w:color w:val="auto"/>
        </w:rPr>
      </w:pPr>
    </w:p>
    <w:p>
      <w:pPr>
        <w:ind w:left="523" w:right="40" w:hanging="523"/>
        <w:spacing w:after="0" w:line="298" w:lineRule="auto"/>
        <w:tabs>
          <w:tab w:leader="none" w:pos="523"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in this Agreement to “</w:t>
      </w:r>
      <w:r>
        <w:rPr>
          <w:rFonts w:ascii="Times New Roman" w:cs="Times New Roman" w:eastAsia="Times New Roman" w:hAnsi="Times New Roman"/>
          <w:sz w:val="17"/>
          <w:szCs w:val="17"/>
          <w:b w:val="1"/>
          <w:bCs w:val="1"/>
          <w:color w:val="auto"/>
        </w:rPr>
        <w:t>the date hereof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the date of this Agreement</w:t>
      </w:r>
      <w:r>
        <w:rPr>
          <w:rFonts w:ascii="Times New Roman" w:cs="Times New Roman" w:eastAsia="Times New Roman" w:hAnsi="Times New Roman"/>
          <w:sz w:val="17"/>
          <w:szCs w:val="17"/>
          <w:color w:val="auto"/>
        </w:rPr>
        <w:t>”, and any other like expressions shall mean 29 April 2020.</w:t>
      </w:r>
    </w:p>
    <w:p>
      <w:pPr>
        <w:spacing w:after="0" w:line="52" w:lineRule="exact"/>
        <w:rPr>
          <w:sz w:val="20"/>
          <w:szCs w:val="20"/>
          <w:color w:val="auto"/>
        </w:rPr>
      </w:pPr>
    </w:p>
    <w:p>
      <w:pPr>
        <w:jc w:val="both"/>
        <w:ind w:left="523" w:right="520" w:hanging="523"/>
        <w:spacing w:after="0" w:line="276" w:lineRule="auto"/>
        <w:tabs>
          <w:tab w:leader="none" w:pos="523"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the Agent “acting reasonably” shall, to the extent that the Agent seeks instructions from the Lenders or all the Lenders in respect of any matter, be construed so as to require the Lenders or all the Lenders to act reasonably in respect of that matter.</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Clause and Schedule headings are for ease of reference only.</w:t>
      </w:r>
    </w:p>
    <w:p>
      <w:pPr>
        <w:spacing w:after="0" w:line="131" w:lineRule="exact"/>
        <w:rPr>
          <w:rFonts w:ascii="Times New Roman" w:cs="Times New Roman" w:eastAsia="Times New Roman" w:hAnsi="Times New Roman"/>
          <w:sz w:val="17"/>
          <w:szCs w:val="17"/>
          <w:color w:val="auto"/>
        </w:rPr>
      </w:pPr>
    </w:p>
    <w:p>
      <w:pPr>
        <w:ind w:left="523" w:right="360" w:hanging="523"/>
        <w:spacing w:after="0" w:line="276" w:lineRule="auto"/>
        <w:tabs>
          <w:tab w:leader="none" w:pos="523"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(i) a term used in any other Finance Document or in any notice given under or in connection with any Finance Document has the same meaning in that Finance Document or notice as in this Agreement; and (ii) the word “including” shall be construed as “including without limitation” (and cognate expressions shall be construed similarly).</w:t>
      </w:r>
    </w:p>
    <w:p>
      <w:pPr>
        <w:spacing w:after="0" w:line="68" w:lineRule="exact"/>
        <w:rPr>
          <w:rFonts w:ascii="Times New Roman" w:cs="Times New Roman" w:eastAsia="Times New Roman" w:hAnsi="Times New Roman"/>
          <w:sz w:val="17"/>
          <w:szCs w:val="17"/>
          <w:color w:val="auto"/>
        </w:rPr>
      </w:pPr>
    </w:p>
    <w:p>
      <w:pPr>
        <w:ind w:left="523" w:right="940" w:hanging="523"/>
        <w:spacing w:after="0" w:line="298" w:lineRule="auto"/>
        <w:tabs>
          <w:tab w:leader="none" w:pos="523"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extent to which a rate is “</w:t>
      </w:r>
      <w:r>
        <w:rPr>
          <w:rFonts w:ascii="Times New Roman" w:cs="Times New Roman" w:eastAsia="Times New Roman" w:hAnsi="Times New Roman"/>
          <w:sz w:val="17"/>
          <w:szCs w:val="17"/>
          <w:b w:val="1"/>
          <w:bCs w:val="1"/>
          <w:color w:val="auto"/>
        </w:rPr>
        <w:t>for a period equal in length</w:t>
      </w:r>
      <w:r>
        <w:rPr>
          <w:rFonts w:ascii="Times New Roman" w:cs="Times New Roman" w:eastAsia="Times New Roman" w:hAnsi="Times New Roman"/>
          <w:sz w:val="17"/>
          <w:szCs w:val="17"/>
          <w:color w:val="auto"/>
        </w:rPr>
        <w:t>” to an Interest Period shall disregard any inconsistency arising from the last day of that Interest Period being determined pursuant to the terms of this Agreement.</w:t>
      </w:r>
    </w:p>
    <w:p>
      <w:pPr>
        <w:spacing w:after="0" w:line="5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(other than an Event of Default) is “</w:t>
      </w:r>
      <w:r>
        <w:rPr>
          <w:rFonts w:ascii="Times New Roman" w:cs="Times New Roman" w:eastAsia="Times New Roman" w:hAnsi="Times New Roman"/>
          <w:sz w:val="17"/>
          <w:szCs w:val="17"/>
          <w:b w:val="1"/>
          <w:bCs w:val="1"/>
          <w:color w:val="auto"/>
        </w:rPr>
        <w:t>continuing</w:t>
      </w:r>
      <w:r>
        <w:rPr>
          <w:rFonts w:ascii="Times New Roman" w:cs="Times New Roman" w:eastAsia="Times New Roman" w:hAnsi="Times New Roman"/>
          <w:sz w:val="17"/>
          <w:szCs w:val="17"/>
          <w:color w:val="auto"/>
        </w:rPr>
        <w:t>” if it has not been remedied or waived and an Event of Default is</w:t>
      </w:r>
    </w:p>
    <w:p>
      <w:pPr>
        <w:spacing w:after="0" w:line="33" w:lineRule="exact"/>
        <w:rPr>
          <w:rFonts w:ascii="Times New Roman" w:cs="Times New Roman" w:eastAsia="Times New Roman" w:hAnsi="Times New Roman"/>
          <w:sz w:val="17"/>
          <w:szCs w:val="17"/>
          <w:color w:val="auto"/>
        </w:rPr>
      </w:pPr>
    </w:p>
    <w:p>
      <w:pPr>
        <w:ind w:left="523"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continuing</w:t>
      </w:r>
      <w:r>
        <w:rPr>
          <w:rFonts w:ascii="Times New Roman" w:cs="Times New Roman" w:eastAsia="Times New Roman" w:hAnsi="Times New Roman"/>
          <w:sz w:val="17"/>
          <w:szCs w:val="17"/>
          <w:color w:val="auto"/>
        </w:rPr>
        <w:t>” if it has not been waived, save that, in respect of an Event of Default under Clause 25.1 (</w:t>
      </w:r>
      <w:r>
        <w:rPr>
          <w:rFonts w:ascii="Times New Roman" w:cs="Times New Roman" w:eastAsia="Times New Roman" w:hAnsi="Times New Roman"/>
          <w:sz w:val="17"/>
          <w:szCs w:val="17"/>
          <w:i w:val="1"/>
          <w:iCs w:val="1"/>
          <w:color w:val="auto"/>
        </w:rPr>
        <w:t>Non-payment</w:t>
      </w:r>
      <w:r>
        <w:rPr>
          <w:rFonts w:ascii="Times New Roman" w:cs="Times New Roman" w:eastAsia="Times New Roman" w:hAnsi="Times New Roman"/>
          <w:sz w:val="17"/>
          <w:szCs w:val="17"/>
          <w:color w:val="auto"/>
        </w:rPr>
        <w:t>) which occurs as a result of a Lender of a maturing Initial Facility Loan or Incremental Revolving Credit Facility Loan not making an equivalent Rollover Loan available on a proposed Utilisation Date pursuant to the operation of Clause 4.2 (</w:t>
      </w:r>
      <w:r>
        <w:rPr>
          <w:rFonts w:ascii="Times New Roman" w:cs="Times New Roman" w:eastAsia="Times New Roman" w:hAnsi="Times New Roman"/>
          <w:sz w:val="17"/>
          <w:szCs w:val="17"/>
          <w:i w:val="1"/>
          <w:iCs w:val="1"/>
          <w:color w:val="auto"/>
        </w:rPr>
        <w:t>Further conditions precedent</w:t>
      </w:r>
      <w:r>
        <w:rPr>
          <w:rFonts w:ascii="Times New Roman" w:cs="Times New Roman" w:eastAsia="Times New Roman" w:hAnsi="Times New Roman"/>
          <w:sz w:val="17"/>
          <w:szCs w:val="17"/>
          <w:color w:val="auto"/>
        </w:rPr>
        <w:t>), such Event of Default is “</w:t>
      </w:r>
      <w:r>
        <w:rPr>
          <w:rFonts w:ascii="Times New Roman" w:cs="Times New Roman" w:eastAsia="Times New Roman" w:hAnsi="Times New Roman"/>
          <w:sz w:val="17"/>
          <w:szCs w:val="17"/>
          <w:b w:val="1"/>
          <w:bCs w:val="1"/>
          <w:color w:val="auto"/>
        </w:rPr>
        <w:t>continuing</w:t>
      </w:r>
      <w:r>
        <w:rPr>
          <w:rFonts w:ascii="Times New Roman" w:cs="Times New Roman" w:eastAsia="Times New Roman" w:hAnsi="Times New Roman"/>
          <w:sz w:val="17"/>
          <w:szCs w:val="17"/>
          <w:color w:val="auto"/>
        </w:rPr>
        <w:t>” if it has not been waived or remedied by that Lender being repaid such Initial Facility Loan or Incremental Revolving Credit Facility Loan in full (together with all accrued interest and other amounts payable to that Lender pursuant to the Finance Documents) by the Company by the date falling no later than three (3) Business Days from that proposed Utilisation Date.</w:t>
      </w:r>
    </w:p>
    <w:p>
      <w:pPr>
        <w:spacing w:after="0" w:line="319"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45" w:name="page346"/>
    <w:bookmarkEnd w:id="345"/>
    <w:p>
      <w:pPr>
        <w:ind w:left="1260" w:right="380" w:hanging="523"/>
        <w:spacing w:after="0" w:line="269" w:lineRule="auto"/>
        <w:tabs>
          <w:tab w:leader="none" w:pos="126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 Lender shall only have rights in respect of any provisions of Clause 21.22 (</w:t>
      </w:r>
      <w:r>
        <w:rPr>
          <w:rFonts w:ascii="Times New Roman" w:cs="Times New Roman" w:eastAsia="Times New Roman" w:hAnsi="Times New Roman"/>
          <w:sz w:val="17"/>
          <w:szCs w:val="17"/>
          <w:i w:val="1"/>
          <w:iCs w:val="1"/>
          <w:color w:val="auto"/>
        </w:rPr>
        <w:t>Sanctions</w:t>
      </w:r>
      <w:r>
        <w:rPr>
          <w:rFonts w:ascii="Times New Roman" w:cs="Times New Roman" w:eastAsia="Times New Roman" w:hAnsi="Times New Roman"/>
          <w:sz w:val="17"/>
          <w:szCs w:val="17"/>
          <w:color w:val="auto"/>
        </w:rPr>
        <w:t>) and Clause 24.8 (</w:t>
      </w:r>
      <w:r>
        <w:rPr>
          <w:rFonts w:ascii="Times New Roman" w:cs="Times New Roman" w:eastAsia="Times New Roman" w:hAnsi="Times New Roman"/>
          <w:sz w:val="17"/>
          <w:szCs w:val="17"/>
          <w:i w:val="1"/>
          <w:iCs w:val="1"/>
          <w:color w:val="auto"/>
        </w:rPr>
        <w:t>Sanctions</w:t>
      </w:r>
      <w:r>
        <w:rPr>
          <w:rFonts w:ascii="Times New Roman" w:cs="Times New Roman" w:eastAsia="Times New Roman" w:hAnsi="Times New Roman"/>
          <w:sz w:val="17"/>
          <w:szCs w:val="17"/>
          <w:color w:val="auto"/>
        </w:rPr>
        <w:t>) if and to the extent such provision does not result in a violation of (if applicable to that Lender) the Council Regulation (EC) No. 2271/96 of</w:t>
      </w:r>
    </w:p>
    <w:p>
      <w:pPr>
        <w:ind w:left="1260" w:right="2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November 1996 as amended by Commission Delegated Regulation (EU) 2018/1100 of 6 June 2018, section 7 of the German Foreign Trade Ordinance (Außenwirtschaftsverordnung—AWV) or any other applicable anti-boycott or similar laws or regulations which is applicable to such Lender.</w:t>
      </w:r>
    </w:p>
    <w:p>
      <w:pPr>
        <w:spacing w:after="0" w:line="79"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in this Agreement to a page or screen of an information service displaying a rate shall include:</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replacement page of that information service which displays that rate; and</w:t>
      </w:r>
    </w:p>
    <w:p>
      <w:pPr>
        <w:spacing w:after="0" w:line="131" w:lineRule="exact"/>
        <w:rPr>
          <w:rFonts w:ascii="Times New Roman" w:cs="Times New Roman" w:eastAsia="Times New Roman" w:hAnsi="Times New Roman"/>
          <w:sz w:val="17"/>
          <w:szCs w:val="17"/>
          <w:color w:val="auto"/>
        </w:rPr>
      </w:pPr>
    </w:p>
    <w:p>
      <w:pPr>
        <w:ind w:left="1880" w:right="80" w:hanging="620"/>
        <w:spacing w:after="0" w:line="295" w:lineRule="auto"/>
        <w:tabs>
          <w:tab w:leader="none" w:pos="1880"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appropriate page of such other information service which displays that rate from time to time in place of that information service,</w:t>
      </w:r>
    </w:p>
    <w:p>
      <w:pPr>
        <w:spacing w:after="0" w:line="42" w:lineRule="exact"/>
        <w:rPr>
          <w:sz w:val="20"/>
          <w:szCs w:val="20"/>
          <w:color w:val="auto"/>
        </w:rPr>
      </w:pPr>
    </w:p>
    <w:p>
      <w:pPr>
        <w:ind w:left="1280" w:right="180"/>
        <w:spacing w:after="0" w:line="295" w:lineRule="auto"/>
        <w:rPr>
          <w:sz w:val="20"/>
          <w:szCs w:val="20"/>
          <w:color w:val="auto"/>
        </w:rPr>
      </w:pPr>
      <w:r>
        <w:rPr>
          <w:rFonts w:ascii="Times New Roman" w:cs="Times New Roman" w:eastAsia="Times New Roman" w:hAnsi="Times New Roman"/>
          <w:sz w:val="17"/>
          <w:szCs w:val="17"/>
          <w:color w:val="auto"/>
        </w:rPr>
        <w:t>and, if such page or service ceases to be available, shall include any other page or service displaying that rate specified by the Agent after consultation with the Company.</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33" w:lineRule="exact"/>
        <w:rPr>
          <w:sz w:val="20"/>
          <w:szCs w:val="20"/>
          <w:color w:val="auto"/>
        </w:rPr>
      </w:pPr>
    </w:p>
    <w:p>
      <w:pPr>
        <w:ind w:left="1260" w:right="40" w:hanging="523"/>
        <w:spacing w:after="0" w:line="295" w:lineRule="auto"/>
        <w:tabs>
          <w:tab w:leader="none" w:pos="126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7"/>
          <w:szCs w:val="17"/>
          <w:b w:val="1"/>
          <w:bCs w:val="1"/>
          <w:color w:val="auto"/>
        </w:rPr>
        <w:t>Third Parties Act</w:t>
      </w:r>
      <w:r>
        <w:rPr>
          <w:rFonts w:ascii="Times New Roman" w:cs="Times New Roman" w:eastAsia="Times New Roman" w:hAnsi="Times New Roman"/>
          <w:sz w:val="17"/>
          <w:szCs w:val="17"/>
          <w:color w:val="auto"/>
        </w:rPr>
        <w:t>”) to enforce or enjoy the benefit of any term of any Finance Document.</w:t>
      </w:r>
    </w:p>
    <w:p>
      <w:pPr>
        <w:spacing w:after="0" w:line="55" w:lineRule="exact"/>
        <w:rPr>
          <w:rFonts w:ascii="Times New Roman" w:cs="Times New Roman" w:eastAsia="Times New Roman" w:hAnsi="Times New Roman"/>
          <w:sz w:val="17"/>
          <w:szCs w:val="17"/>
          <w:color w:val="auto"/>
        </w:rPr>
      </w:pPr>
    </w:p>
    <w:p>
      <w:pPr>
        <w:ind w:left="1260" w:right="240" w:hanging="523"/>
        <w:spacing w:after="0" w:line="295" w:lineRule="auto"/>
        <w:tabs>
          <w:tab w:leader="none" w:pos="126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term of any Finance Document, the consent of any person who is not a Party is not required to rescind or vary any Finance Document at any time.</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346" w:name="page347"/>
    <w:bookmarkEnd w:id="346"/>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2</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The Facilities</w:t>
      </w:r>
    </w:p>
    <w:p>
      <w:pPr>
        <w:spacing w:after="0" w:line="229" w:lineRule="exact"/>
        <w:rPr>
          <w:sz w:val="20"/>
          <w:szCs w:val="20"/>
          <w:color w:val="auto"/>
        </w:rPr>
      </w:pPr>
    </w:p>
    <w:p>
      <w:pPr>
        <w:ind w:left="748" w:hanging="748"/>
        <w:spacing w:after="0"/>
        <w:tabs>
          <w:tab w:leader="none" w:pos="748" w:val="left"/>
        </w:tabs>
        <w:numPr>
          <w:ilvl w:val="0"/>
          <w:numId w:val="3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Facilities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The Initial Facility</w:t>
      </w:r>
    </w:p>
    <w:p>
      <w:pPr>
        <w:spacing w:after="0" w:line="120" w:lineRule="exact"/>
        <w:rPr>
          <w:sz w:val="20"/>
          <w:szCs w:val="20"/>
          <w:color w:val="auto"/>
        </w:rPr>
      </w:pPr>
    </w:p>
    <w:p>
      <w:pPr>
        <w:ind w:left="748" w:right="140"/>
        <w:spacing w:after="0" w:line="295" w:lineRule="auto"/>
        <w:rPr>
          <w:sz w:val="20"/>
          <w:szCs w:val="20"/>
          <w:color w:val="auto"/>
        </w:rPr>
      </w:pPr>
      <w:r>
        <w:rPr>
          <w:rFonts w:ascii="Times New Roman" w:cs="Times New Roman" w:eastAsia="Times New Roman" w:hAnsi="Times New Roman"/>
          <w:sz w:val="17"/>
          <w:szCs w:val="17"/>
          <w:color w:val="auto"/>
        </w:rPr>
        <w:t>Subject to the terms of this Agreement, the Lenders make available to the Company a multicurrency revolving credit facility in an aggregate amount the Base Currency Amount of which is equal to the Total Initial Facility Commitments.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Incremental Facilities</w:t>
      </w:r>
    </w:p>
    <w:p>
      <w:pPr>
        <w:spacing w:after="0" w:line="120" w:lineRule="exact"/>
        <w:rPr>
          <w:sz w:val="20"/>
          <w:szCs w:val="20"/>
          <w:color w:val="auto"/>
        </w:rPr>
      </w:pPr>
    </w:p>
    <w:p>
      <w:pPr>
        <w:ind w:left="748" w:right="100"/>
        <w:spacing w:after="0" w:line="295" w:lineRule="auto"/>
        <w:rPr>
          <w:sz w:val="20"/>
          <w:szCs w:val="20"/>
          <w:color w:val="auto"/>
        </w:rPr>
      </w:pPr>
      <w:r>
        <w:rPr>
          <w:rFonts w:ascii="Times New Roman" w:cs="Times New Roman" w:eastAsia="Times New Roman" w:hAnsi="Times New Roman"/>
          <w:sz w:val="17"/>
          <w:szCs w:val="17"/>
          <w:color w:val="auto"/>
        </w:rPr>
        <w:t>Subject to the terms of this Agreement, the Lenders make available to the Company each Incremental Facility established pursuant to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33" w:lineRule="exact"/>
        <w:rPr>
          <w:sz w:val="20"/>
          <w:szCs w:val="20"/>
          <w:color w:val="auto"/>
        </w:rPr>
      </w:pPr>
    </w:p>
    <w:p>
      <w:pPr>
        <w:ind w:left="1268" w:right="100" w:hanging="523"/>
        <w:spacing w:after="0" w:line="276" w:lineRule="auto"/>
        <w:tabs>
          <w:tab w:leader="none" w:pos="1268"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70" w:lineRule="exact"/>
        <w:rPr>
          <w:rFonts w:ascii="Times New Roman" w:cs="Times New Roman" w:eastAsia="Times New Roman" w:hAnsi="Times New Roman"/>
          <w:sz w:val="17"/>
          <w:szCs w:val="17"/>
          <w:color w:val="auto"/>
        </w:rPr>
      </w:pPr>
    </w:p>
    <w:p>
      <w:pPr>
        <w:ind w:left="1268" w:right="40" w:hanging="523"/>
        <w:spacing w:after="0" w:line="264" w:lineRule="auto"/>
        <w:tabs>
          <w:tab w:leader="none" w:pos="1268"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each Finance Party under or in connection with the Finance Documents are separate and independent rights and any debt arising under the Finance Documents to a Finance Party from the Company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the Company which relates to a Finance Party’s participation in a Facility or its role under a Finance Document (including any such amount payable to the Agent on its behalf) is a debt owing to that Finance Party by the Company.</w:t>
      </w:r>
    </w:p>
    <w:p>
      <w:pPr>
        <w:spacing w:after="0" w:line="82" w:lineRule="exact"/>
        <w:rPr>
          <w:rFonts w:ascii="Times New Roman" w:cs="Times New Roman" w:eastAsia="Times New Roman" w:hAnsi="Times New Roman"/>
          <w:sz w:val="17"/>
          <w:szCs w:val="17"/>
          <w:color w:val="auto"/>
        </w:rPr>
      </w:pPr>
    </w:p>
    <w:p>
      <w:pPr>
        <w:ind w:left="1268" w:right="200" w:hanging="523"/>
        <w:spacing w:after="0" w:line="295" w:lineRule="auto"/>
        <w:tabs>
          <w:tab w:leader="none" w:pos="1268"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Finance Party may, except as specifically provided in the Finance Documents, separately enforce its rights under or in connection with the Finance Documents.</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3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133" w:lineRule="exact"/>
        <w:rPr>
          <w:sz w:val="20"/>
          <w:szCs w:val="20"/>
          <w:color w:val="auto"/>
        </w:rPr>
      </w:pPr>
    </w:p>
    <w:p>
      <w:pPr>
        <w:ind w:left="1268" w:hanging="523"/>
        <w:spacing w:after="0"/>
        <w:tabs>
          <w:tab w:leader="none" w:pos="1268"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the Company shall apply all amounts borrowed by it under the Initial Facility towards:</w:t>
      </w:r>
    </w:p>
    <w:p>
      <w:pPr>
        <w:spacing w:after="0" w:line="131" w:lineRule="exact"/>
        <w:rPr>
          <w:rFonts w:ascii="Times New Roman" w:cs="Times New Roman" w:eastAsia="Times New Roman" w:hAnsi="Times New Roman"/>
          <w:sz w:val="17"/>
          <w:szCs w:val="17"/>
          <w:color w:val="auto"/>
        </w:rPr>
      </w:pPr>
    </w:p>
    <w:p>
      <w:pPr>
        <w:ind w:left="1888" w:right="220" w:hanging="620"/>
        <w:spacing w:after="0" w:line="295" w:lineRule="auto"/>
        <w:tabs>
          <w:tab w:leader="none" w:pos="1888"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refinancing (in whole or in part) the existing Financial Indebtedness of the Group (including but not limited to the Existing OpCo Facilities);</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the payment of agreed fees, costs and other expenses associated with the Facility; and/or</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corporate and working capital purposes of the Melco Group.</w:t>
      </w:r>
    </w:p>
    <w:p>
      <w:pPr>
        <w:spacing w:after="0" w:line="131" w:lineRule="exact"/>
        <w:rPr>
          <w:rFonts w:ascii="Times New Roman" w:cs="Times New Roman" w:eastAsia="Times New Roman" w:hAnsi="Times New Roman"/>
          <w:sz w:val="17"/>
          <w:szCs w:val="17"/>
          <w:color w:val="auto"/>
        </w:rPr>
      </w:pPr>
    </w:p>
    <w:p>
      <w:pPr>
        <w:ind w:left="1268" w:right="560" w:hanging="523"/>
        <w:spacing w:after="0" w:line="295" w:lineRule="auto"/>
        <w:tabs>
          <w:tab w:leader="none" w:pos="1268"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the Company shall apply all amounts borrowed by it under an Incremental Facility towards the purpose(s) specified in the Incremental Facility Notice relating to such Incremental Facility.</w:t>
      </w:r>
    </w:p>
    <w:p>
      <w:pPr>
        <w:spacing w:after="0" w:line="81"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47" w:name="page348"/>
    <w:bookmarkEnd w:id="347"/>
    <w:p>
      <w:pPr>
        <w:ind w:left="1268" w:right="340" w:hanging="523"/>
        <w:spacing w:after="0" w:line="276" w:lineRule="auto"/>
        <w:tabs>
          <w:tab w:leader="none" w:pos="1268"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shall not apply any proceeds of any Loan towards any purposes connected with the operation of casino games of chance or other forms of gaming (including, without limitation, financing the acquisition, maintenance or repair of equipment and utensils used in the operation of casino games of chance or other forms of gaming or fitting out any casino).</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No Finance Party is bound to monitor or verify the application of any amount borrowed pursuant to this Agreement.</w:t>
      </w:r>
    </w:p>
    <w:p>
      <w:pPr>
        <w:spacing w:after="0" w:line="364" w:lineRule="exact"/>
        <w:rPr>
          <w:sz w:val="20"/>
          <w:szCs w:val="20"/>
          <w:color w:val="auto"/>
        </w:rPr>
      </w:pPr>
    </w:p>
    <w:p>
      <w:pPr>
        <w:ind w:left="748" w:hanging="748"/>
        <w:spacing w:after="0"/>
        <w:tabs>
          <w:tab w:leader="none" w:pos="748" w:val="left"/>
        </w:tabs>
        <w:numPr>
          <w:ilvl w:val="0"/>
          <w:numId w:val="3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utilisation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133" w:lineRule="exact"/>
        <w:rPr>
          <w:sz w:val="20"/>
          <w:szCs w:val="20"/>
          <w:color w:val="auto"/>
        </w:rPr>
      </w:pPr>
    </w:p>
    <w:p>
      <w:pPr>
        <w:ind w:left="1268" w:right="20" w:hanging="523"/>
        <w:spacing w:after="0" w:line="259" w:lineRule="auto"/>
        <w:tabs>
          <w:tab w:leader="none" w:pos="1268"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not deliver a Utilisation Request unless and until the Agent has received (or the Arrangers or the Agent has waived the requirement to receive) all of the documents and other evidence listed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in form and substance satisfactory to the Arrangers (acting reasonably) (except where such documents and other evidence are stated to be for information purposes only in which case such documents and other evidence shall be satisfied upon receipt without the Arrangers making any determination or otherwise being satisfied as to form or substance) (the “</w:t>
      </w:r>
      <w:r>
        <w:rPr>
          <w:rFonts w:ascii="Times New Roman" w:cs="Times New Roman" w:eastAsia="Times New Roman" w:hAnsi="Times New Roman"/>
          <w:sz w:val="17"/>
          <w:szCs w:val="17"/>
          <w:b w:val="1"/>
          <w:bCs w:val="1"/>
          <w:color w:val="auto"/>
        </w:rPr>
        <w:t>Condition</w:t>
      </w:r>
      <w:r>
        <w:rPr>
          <w:rFonts w:ascii="Times New Roman" w:cs="Times New Roman" w:eastAsia="Times New Roman" w:hAnsi="Times New Roman"/>
          <w:sz w:val="17"/>
          <w:szCs w:val="17"/>
          <w:color w:val="auto"/>
        </w:rPr>
        <w:t>”). The Arrangers shall notify the Agent, the Company and the Lenders promptly upon being so satisfied. Lenders will only be obliged to comply with Clause 5.4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participation</w:t>
      </w:r>
      <w:r>
        <w:rPr>
          <w:rFonts w:ascii="Times New Roman" w:cs="Times New Roman" w:eastAsia="Times New Roman" w:hAnsi="Times New Roman"/>
          <w:sz w:val="17"/>
          <w:szCs w:val="17"/>
          <w:color w:val="auto"/>
        </w:rPr>
        <w:t>) in relation to any Utilisation if the Condition has been satisfied on or before 11.00 a.m. on the date falling three</w:t>
      </w:r>
    </w:p>
    <w:p>
      <w:pPr>
        <w:spacing w:after="0" w:line="5" w:lineRule="exact"/>
        <w:rPr>
          <w:rFonts w:ascii="Times New Roman" w:cs="Times New Roman" w:eastAsia="Times New Roman" w:hAnsi="Times New Roman"/>
          <w:sz w:val="17"/>
          <w:szCs w:val="17"/>
          <w:color w:val="auto"/>
        </w:rPr>
      </w:pPr>
    </w:p>
    <w:p>
      <w:pPr>
        <w:ind w:left="12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Business Days prior to the Initial Utilisation Date (or by such later date as the Agent may agree).</w:t>
      </w:r>
    </w:p>
    <w:p>
      <w:pPr>
        <w:spacing w:after="0" w:line="113" w:lineRule="exact"/>
        <w:rPr>
          <w:rFonts w:ascii="Times New Roman" w:cs="Times New Roman" w:eastAsia="Times New Roman" w:hAnsi="Times New Roman"/>
          <w:sz w:val="17"/>
          <w:szCs w:val="17"/>
          <w:color w:val="auto"/>
        </w:rPr>
      </w:pPr>
    </w:p>
    <w:p>
      <w:pPr>
        <w:ind w:left="1268" w:right="140" w:hanging="523"/>
        <w:spacing w:after="0" w:line="269" w:lineRule="auto"/>
        <w:tabs>
          <w:tab w:leader="none" w:pos="1268"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to the extent that the Majority Lenders notify the Arrangers in writing to the contrary before the Arrangers give the notification described in paragraph (a) above, the Lenders authorise (but do not require) the Arrangers to give that notification. None of the Arrangers, nor the Coordinators nor the Agent shall be liable for any damages, costs or losses whatsoever as a result of the Arrangers giving any such notification.</w:t>
      </w:r>
    </w:p>
    <w:p>
      <w:pPr>
        <w:spacing w:after="0" w:line="75" w:lineRule="exact"/>
        <w:rPr>
          <w:rFonts w:ascii="Times New Roman" w:cs="Times New Roman" w:eastAsia="Times New Roman" w:hAnsi="Times New Roman"/>
          <w:sz w:val="17"/>
          <w:szCs w:val="17"/>
          <w:color w:val="auto"/>
        </w:rPr>
      </w:pPr>
    </w:p>
    <w:p>
      <w:pPr>
        <w:ind w:left="1268" w:right="20" w:hanging="523"/>
        <w:spacing w:after="0" w:line="270" w:lineRule="auto"/>
        <w:tabs>
          <w:tab w:leader="none" w:pos="1268"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will only be obliged to comply with Clause 5.4 (</w:t>
      </w:r>
      <w:r>
        <w:rPr>
          <w:rFonts w:ascii="Times New Roman" w:cs="Times New Roman" w:eastAsia="Times New Roman" w:hAnsi="Times New Roman"/>
          <w:sz w:val="17"/>
          <w:szCs w:val="17"/>
          <w:i w:val="1"/>
          <w:iCs w:val="1"/>
          <w:color w:val="auto"/>
        </w:rPr>
        <w:t>Lenders’ participation</w:t>
      </w:r>
      <w:r>
        <w:rPr>
          <w:rFonts w:ascii="Times New Roman" w:cs="Times New Roman" w:eastAsia="Times New Roman" w:hAnsi="Times New Roman"/>
          <w:sz w:val="17"/>
          <w:szCs w:val="17"/>
          <w:color w:val="auto"/>
        </w:rPr>
        <w:t>) in relation to any Incremental Facility Loan if on or before the Utilisation Date for that Loan, the Agent has received all of the documents and other evidence specified as initial conditions precedent in the Incremental Facility Notice relating to the relevant Incremental Facility (if any) in form and substance satisfactory to the Agent. The Agent shall notify the Company and the Lenders promptly upon being so satisfied.</w:t>
      </w:r>
    </w:p>
    <w:p>
      <w:pPr>
        <w:spacing w:after="0" w:line="76" w:lineRule="exact"/>
        <w:rPr>
          <w:rFonts w:ascii="Times New Roman" w:cs="Times New Roman" w:eastAsia="Times New Roman" w:hAnsi="Times New Roman"/>
          <w:sz w:val="17"/>
          <w:szCs w:val="17"/>
          <w:color w:val="auto"/>
        </w:rPr>
      </w:pPr>
    </w:p>
    <w:p>
      <w:pPr>
        <w:ind w:left="1268" w:hanging="523"/>
        <w:spacing w:after="0" w:line="269" w:lineRule="auto"/>
        <w:tabs>
          <w:tab w:leader="none" w:pos="1268"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to the extent that the Majority Facility Lenders under the relevant Incremental Facility notify the Agent in writing to the contrary before the Agent gives a notification described in paragraph (c) above, the Lenders authorise (but do not require) the Agent to give that notification. The Agent shall not be liable for any damages, costs or losses whatsoever as a result of giving any such notification.</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118" w:lineRule="exact"/>
        <w:rPr>
          <w:sz w:val="20"/>
          <w:szCs w:val="20"/>
          <w:color w:val="auto"/>
        </w:rPr>
      </w:pPr>
    </w:p>
    <w:p>
      <w:pPr>
        <w:ind w:left="748" w:right="220"/>
        <w:spacing w:after="0" w:line="298" w:lineRule="auto"/>
        <w:rPr>
          <w:sz w:val="20"/>
          <w:szCs w:val="20"/>
          <w:color w:val="auto"/>
        </w:rPr>
      </w:pPr>
      <w:r>
        <w:rPr>
          <w:rFonts w:ascii="Times New Roman" w:cs="Times New Roman" w:eastAsia="Times New Roman" w:hAnsi="Times New Roman"/>
          <w:sz w:val="17"/>
          <w:szCs w:val="17"/>
          <w:color w:val="auto"/>
        </w:rPr>
        <w:t>Subject to Clause 4.1 (</w:t>
      </w:r>
      <w:r>
        <w:rPr>
          <w:rFonts w:ascii="Times New Roman" w:cs="Times New Roman" w:eastAsia="Times New Roman" w:hAnsi="Times New Roman"/>
          <w:sz w:val="17"/>
          <w:szCs w:val="17"/>
          <w:i w:val="1"/>
          <w:iCs w:val="1"/>
          <w:color w:val="auto"/>
        </w:rPr>
        <w:t>Initial conditions precedent</w:t>
      </w:r>
      <w:r>
        <w:rPr>
          <w:rFonts w:ascii="Times New Roman" w:cs="Times New Roman" w:eastAsia="Times New Roman" w:hAnsi="Times New Roman"/>
          <w:sz w:val="17"/>
          <w:szCs w:val="17"/>
          <w:color w:val="auto"/>
        </w:rPr>
        <w:t>), the Lenders will only be obliged to comply with Clause 5.4 (</w:t>
      </w:r>
      <w:r>
        <w:rPr>
          <w:rFonts w:ascii="Times New Roman" w:cs="Times New Roman" w:eastAsia="Times New Roman" w:hAnsi="Times New Roman"/>
          <w:sz w:val="17"/>
          <w:szCs w:val="17"/>
          <w:i w:val="1"/>
          <w:iCs w:val="1"/>
          <w:color w:val="auto"/>
        </w:rPr>
        <w:t>Lenders’ participation</w:t>
      </w:r>
      <w:r>
        <w:rPr>
          <w:rFonts w:ascii="Times New Roman" w:cs="Times New Roman" w:eastAsia="Times New Roman" w:hAnsi="Times New Roman"/>
          <w:sz w:val="17"/>
          <w:szCs w:val="17"/>
          <w:color w:val="auto"/>
        </w:rPr>
        <w:t xml:space="preserve"> ) in relation to a Utilisation if on the date of the Utilisation Request and on the proposed Utilisation Date relating to that Utilisation:</w:t>
      </w:r>
    </w:p>
    <w:p>
      <w:pPr>
        <w:spacing w:after="0" w:line="52" w:lineRule="exact"/>
        <w:rPr>
          <w:sz w:val="20"/>
          <w:szCs w:val="20"/>
          <w:color w:val="auto"/>
        </w:rPr>
      </w:pPr>
    </w:p>
    <w:p>
      <w:pPr>
        <w:ind w:left="1268" w:right="120" w:hanging="523"/>
        <w:spacing w:after="0" w:line="295" w:lineRule="auto"/>
        <w:tabs>
          <w:tab w:leader="none" w:pos="1268"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Rollover Loan, no Event of Default has occurred and is continuing or would result from the proposed Utilisation and, in the case of any other Utilisation, no Default has occurred and is continuing or would result from the proposed Utilisation; and</w:t>
      </w:r>
    </w:p>
    <w:p>
      <w:pPr>
        <w:spacing w:after="0" w:line="81"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348" w:name="page349"/>
    <w:bookmarkEnd w:id="348"/>
    <w:p>
      <w:pPr>
        <w:ind w:left="1260" w:hanging="523"/>
        <w:spacing w:after="0"/>
        <w:tabs>
          <w:tab w:leader="none" w:pos="126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all the Repeating Representations are true and correct in all respects.</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Conditions relating to Optional Currencies</w:t>
      </w:r>
    </w:p>
    <w:p>
      <w:pPr>
        <w:spacing w:after="0" w:line="133" w:lineRule="exact"/>
        <w:rPr>
          <w:sz w:val="20"/>
          <w:szCs w:val="20"/>
          <w:color w:val="auto"/>
        </w:rPr>
      </w:pPr>
    </w:p>
    <w:p>
      <w:pPr>
        <w:ind w:left="1260" w:hanging="523"/>
        <w:spacing w:after="0"/>
        <w:tabs>
          <w:tab w:leader="none" w:pos="126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currency will constitute an Optional Currency in relation to a Utilisation if:</w:t>
      </w:r>
    </w:p>
    <w:p>
      <w:pPr>
        <w:spacing w:after="0" w:line="131" w:lineRule="exact"/>
        <w:rPr>
          <w:rFonts w:ascii="Times New Roman" w:cs="Times New Roman" w:eastAsia="Times New Roman" w:hAnsi="Times New Roman"/>
          <w:sz w:val="17"/>
          <w:szCs w:val="17"/>
          <w:color w:val="auto"/>
        </w:rPr>
      </w:pPr>
    </w:p>
    <w:p>
      <w:pPr>
        <w:ind w:left="1880" w:right="220" w:hanging="620"/>
        <w:spacing w:after="0" w:line="295" w:lineRule="auto"/>
        <w:tabs>
          <w:tab w:leader="none" w:pos="188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readily available in the amount required and freely convertible into the Base Currency in the wholesale market for that currency on the Quotation Date and the Utilisation Date for that Utilisation; and</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it is US dollars ; or</w:t>
      </w:r>
    </w:p>
    <w:p>
      <w:pPr>
        <w:spacing w:after="0" w:line="131" w:lineRule="exact"/>
        <w:rPr>
          <w:rFonts w:ascii="Times New Roman" w:cs="Times New Roman" w:eastAsia="Times New Roman" w:hAnsi="Times New Roman"/>
          <w:sz w:val="17"/>
          <w:szCs w:val="17"/>
          <w:color w:val="auto"/>
        </w:rPr>
      </w:pPr>
    </w:p>
    <w:p>
      <w:pPr>
        <w:ind w:left="2420" w:right="580" w:hanging="520"/>
        <w:spacing w:after="0" w:line="295" w:lineRule="auto"/>
        <w:tabs>
          <w:tab w:leader="none" w:pos="2420" w:val="left"/>
        </w:tabs>
        <w:numPr>
          <w:ilvl w:val="2"/>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any other currency which has been approved by the Agent (acting on the instructions of all Lenders in the relevant Facility) on or prior to receipt by the Agent of the relevant Utilisation Request for that Utilisation.</w:t>
      </w:r>
    </w:p>
    <w:p>
      <w:pPr>
        <w:spacing w:after="0" w:line="55" w:lineRule="exact"/>
        <w:rPr>
          <w:rFonts w:ascii="Times New Roman" w:cs="Times New Roman" w:eastAsia="Times New Roman" w:hAnsi="Times New Roman"/>
          <w:sz w:val="17"/>
          <w:szCs w:val="17"/>
          <w:color w:val="auto"/>
        </w:rPr>
      </w:pPr>
    </w:p>
    <w:p>
      <w:pPr>
        <w:ind w:left="1260" w:right="360" w:hanging="523"/>
        <w:spacing w:after="0" w:line="295" w:lineRule="auto"/>
        <w:tabs>
          <w:tab w:leader="none" w:pos="126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has received a written request from the Company for a currency to be approved under paragraph (a)(ii)(B) above, the Agent will confirm to the Company within five (5) Business Days of receipt of the relevant written request from the Company:</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relevant Lenders have granted their approval; and</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approval has been granted, the minimum amount for any subsequent Utilisation in that currency.</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Maximum number of Utilisations</w:t>
      </w:r>
    </w:p>
    <w:p>
      <w:pPr>
        <w:spacing w:after="0" w:line="133" w:lineRule="exact"/>
        <w:rPr>
          <w:sz w:val="20"/>
          <w:szCs w:val="20"/>
          <w:color w:val="auto"/>
        </w:rPr>
      </w:pPr>
    </w:p>
    <w:p>
      <w:pPr>
        <w:ind w:left="1260" w:hanging="523"/>
        <w:spacing w:after="0"/>
        <w:tabs>
          <w:tab w:leader="none" w:pos="126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not deliver a Utilisation Request if as a result of the proposed Utilisation:</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20 Initial Facility Loans would be outstanding; or</w:t>
      </w:r>
    </w:p>
    <w:p>
      <w:pPr>
        <w:spacing w:after="0" w:line="131" w:lineRule="exact"/>
        <w:rPr>
          <w:rFonts w:ascii="Times New Roman" w:cs="Times New Roman" w:eastAsia="Times New Roman" w:hAnsi="Times New Roman"/>
          <w:sz w:val="17"/>
          <w:szCs w:val="17"/>
          <w:color w:val="auto"/>
        </w:rPr>
      </w:pPr>
    </w:p>
    <w:p>
      <w:pPr>
        <w:ind w:left="1880" w:right="300" w:hanging="620"/>
        <w:spacing w:after="0" w:line="295" w:lineRule="auto"/>
        <w:tabs>
          <w:tab w:leader="none" w:pos="188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Loan to be made under an Incremental Facility, any agreed limit on the number of Loans relating to that Facility would be breached.</w:t>
      </w:r>
    </w:p>
    <w:p>
      <w:pPr>
        <w:spacing w:after="0" w:line="53"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Loan made by a single Lender under Clause 6.2 (</w:t>
      </w:r>
      <w:r>
        <w:rPr>
          <w:rFonts w:ascii="Times New Roman" w:cs="Times New Roman" w:eastAsia="Times New Roman" w:hAnsi="Times New Roman"/>
          <w:sz w:val="17"/>
          <w:szCs w:val="17"/>
          <w:i w:val="1"/>
          <w:iCs w:val="1"/>
          <w:color w:val="auto"/>
        </w:rPr>
        <w:t>Unavailability of a currency</w:t>
      </w:r>
      <w:r>
        <w:rPr>
          <w:rFonts w:ascii="Times New Roman" w:cs="Times New Roman" w:eastAsia="Times New Roman" w:hAnsi="Times New Roman"/>
          <w:sz w:val="17"/>
          <w:szCs w:val="17"/>
          <w:color w:val="auto"/>
        </w:rPr>
        <w:t>) shall not be taken into account in this Clause 4.4.</w:t>
      </w:r>
    </w:p>
    <w:p>
      <w:pPr>
        <w:spacing w:after="0" w:line="133"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Separate Loan or Extended Loan shall be taken into account in this Clause 4.4.</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349" w:name="page350"/>
    <w:bookmarkEnd w:id="349"/>
    <w:p>
      <w:pPr>
        <w:ind w:left="498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3</w:t>
      </w:r>
    </w:p>
    <w:p>
      <w:pPr>
        <w:spacing w:after="0" w:line="34" w:lineRule="exact"/>
        <w:rPr>
          <w:sz w:val="20"/>
          <w:szCs w:val="20"/>
          <w:color w:val="auto"/>
        </w:rPr>
      </w:pPr>
    </w:p>
    <w:p>
      <w:pPr>
        <w:ind w:left="4948"/>
        <w:spacing w:after="0"/>
        <w:rPr>
          <w:sz w:val="20"/>
          <w:szCs w:val="20"/>
          <w:color w:val="auto"/>
        </w:rPr>
      </w:pPr>
      <w:r>
        <w:rPr>
          <w:rFonts w:ascii="Times New Roman" w:cs="Times New Roman" w:eastAsia="Times New Roman" w:hAnsi="Times New Roman"/>
          <w:sz w:val="17"/>
          <w:szCs w:val="17"/>
          <w:b w:val="1"/>
          <w:bCs w:val="1"/>
          <w:color w:val="auto"/>
        </w:rPr>
        <w:t>Utilisation</w:t>
      </w:r>
    </w:p>
    <w:p>
      <w:pPr>
        <w:spacing w:after="0" w:line="229" w:lineRule="exact"/>
        <w:rPr>
          <w:sz w:val="20"/>
          <w:szCs w:val="20"/>
          <w:color w:val="auto"/>
        </w:rPr>
      </w:pPr>
    </w:p>
    <w:p>
      <w:pPr>
        <w:ind w:left="748" w:hanging="748"/>
        <w:spacing w:after="0"/>
        <w:tabs>
          <w:tab w:leader="none" w:pos="748" w:val="left"/>
        </w:tabs>
        <w:numPr>
          <w:ilvl w:val="0"/>
          <w:numId w:val="3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Utilisation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120" w:lineRule="exact"/>
        <w:rPr>
          <w:sz w:val="20"/>
          <w:szCs w:val="20"/>
          <w:color w:val="auto"/>
        </w:rPr>
      </w:pPr>
    </w:p>
    <w:p>
      <w:pPr>
        <w:ind w:left="748" w:right="40"/>
        <w:spacing w:after="0" w:line="288" w:lineRule="auto"/>
        <w:rPr>
          <w:sz w:val="20"/>
          <w:szCs w:val="20"/>
          <w:color w:val="auto"/>
        </w:rPr>
      </w:pPr>
      <w:r>
        <w:rPr>
          <w:rFonts w:ascii="Times New Roman" w:cs="Times New Roman" w:eastAsia="Times New Roman" w:hAnsi="Times New Roman"/>
          <w:sz w:val="17"/>
          <w:szCs w:val="17"/>
          <w:color w:val="auto"/>
        </w:rPr>
        <w:t>The Company may utilise a Facility by delivery to the Agent of a duly completed Utilisation Request signed by an authorised signatory of the Company, not later than 11.00 a.m. on the third Business Day prior to the proposed Utilisation Date (or such later time as the Agent may agree).</w:t>
      </w:r>
    </w:p>
    <w:p>
      <w:pPr>
        <w:spacing w:after="0" w:line="200" w:lineRule="exact"/>
        <w:rPr>
          <w:sz w:val="20"/>
          <w:szCs w:val="20"/>
          <w:color w:val="auto"/>
        </w:rPr>
      </w:pPr>
    </w:p>
    <w:p>
      <w:pPr>
        <w:spacing w:after="0" w:line="309"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33" w:lineRule="exact"/>
        <w:rPr>
          <w:sz w:val="20"/>
          <w:szCs w:val="20"/>
          <w:color w:val="auto"/>
        </w:rPr>
      </w:pPr>
    </w:p>
    <w:p>
      <w:pPr>
        <w:ind w:left="1268" w:hanging="523"/>
        <w:spacing w:after="0"/>
        <w:tabs>
          <w:tab w:leader="none" w:pos="1268"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Utilisation Request for a Loan is irrevocable and will not be regarded as having been duly completed unless:</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identifies the Facility to be utilised;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Utilisation Date is a Business Day within the Availability Period applicable to that Facility;</w:t>
      </w:r>
    </w:p>
    <w:p>
      <w:pPr>
        <w:spacing w:after="0" w:line="129" w:lineRule="exact"/>
        <w:rPr>
          <w:rFonts w:ascii="Times New Roman" w:cs="Times New Roman" w:eastAsia="Times New Roman" w:hAnsi="Times New Roman"/>
          <w:sz w:val="17"/>
          <w:szCs w:val="17"/>
          <w:color w:val="auto"/>
        </w:rPr>
      </w:pPr>
    </w:p>
    <w:p>
      <w:pPr>
        <w:ind w:left="1888" w:right="620" w:hanging="620"/>
        <w:spacing w:after="0" w:line="298" w:lineRule="auto"/>
        <w:tabs>
          <w:tab w:leader="none" w:pos="1888"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and amount of the Utilisation comply with Clauses 5.3 (</w:t>
      </w:r>
      <w:r>
        <w:rPr>
          <w:rFonts w:ascii="Times New Roman" w:cs="Times New Roman" w:eastAsia="Times New Roman" w:hAnsi="Times New Roman"/>
          <w:sz w:val="17"/>
          <w:szCs w:val="17"/>
          <w:i w:val="1"/>
          <w:iCs w:val="1"/>
          <w:color w:val="auto"/>
        </w:rPr>
        <w:t>Currency and amount</w:t>
      </w:r>
      <w:r>
        <w:rPr>
          <w:rFonts w:ascii="Times New Roman" w:cs="Times New Roman" w:eastAsia="Times New Roman" w:hAnsi="Times New Roman"/>
          <w:sz w:val="17"/>
          <w:szCs w:val="17"/>
          <w:color w:val="auto"/>
        </w:rPr>
        <w:t>) and 5.5 (</w:t>
      </w:r>
      <w:r>
        <w:rPr>
          <w:rFonts w:ascii="Times New Roman" w:cs="Times New Roman" w:eastAsia="Times New Roman" w:hAnsi="Times New Roman"/>
          <w:sz w:val="17"/>
          <w:szCs w:val="17"/>
          <w:i w:val="1"/>
          <w:iCs w:val="1"/>
          <w:color w:val="auto"/>
        </w:rPr>
        <w:t>Special limit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Utilisations</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Interest Period complies with Clause 13 (</w:t>
      </w:r>
      <w:r>
        <w:rPr>
          <w:rFonts w:ascii="Times New Roman" w:cs="Times New Roman" w:eastAsia="Times New Roman" w:hAnsi="Times New Roman"/>
          <w:sz w:val="17"/>
          <w:szCs w:val="17"/>
          <w:i w:val="1"/>
          <w:iCs w:val="1"/>
          <w:color w:val="auto"/>
        </w:rPr>
        <w:t>Interest Periods</w:t>
      </w:r>
      <w:r>
        <w:rPr>
          <w:rFonts w:ascii="Times New Roman" w:cs="Times New Roman" w:eastAsia="Times New Roman" w:hAnsi="Times New Roman"/>
          <w:sz w:val="17"/>
          <w:szCs w:val="17"/>
          <w:color w:val="auto"/>
        </w:rPr>
        <w:t>); and</w:t>
      </w:r>
    </w:p>
    <w:p>
      <w:pPr>
        <w:spacing w:after="0" w:line="133" w:lineRule="exact"/>
        <w:rPr>
          <w:rFonts w:ascii="Times New Roman" w:cs="Times New Roman" w:eastAsia="Times New Roman" w:hAnsi="Times New Roman"/>
          <w:sz w:val="17"/>
          <w:szCs w:val="17"/>
          <w:color w:val="auto"/>
        </w:rPr>
      </w:pPr>
    </w:p>
    <w:p>
      <w:pPr>
        <w:ind w:left="1888" w:right="60" w:hanging="620"/>
        <w:spacing w:after="0" w:line="295" w:lineRule="auto"/>
        <w:tabs>
          <w:tab w:leader="none" w:pos="1888"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case of any Rollover Loan) it specifies the account(s) and bank(s) to which the proceeds of that Loan are to be credited.</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one Utilisation may be requested in each Utilisation Request.</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33" w:lineRule="exact"/>
        <w:rPr>
          <w:sz w:val="20"/>
          <w:szCs w:val="20"/>
          <w:color w:val="auto"/>
        </w:rPr>
      </w:pPr>
    </w:p>
    <w:p>
      <w:pPr>
        <w:ind w:left="1268" w:hanging="523"/>
        <w:spacing w:after="0"/>
        <w:tabs>
          <w:tab w:leader="none" w:pos="1268"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specified in a Utilisation Request in relation to the Initial Facility must be the Base Currency or an Optional Currency.</w:t>
      </w:r>
    </w:p>
    <w:p>
      <w:pPr>
        <w:spacing w:after="0" w:line="131" w:lineRule="exact"/>
        <w:rPr>
          <w:rFonts w:ascii="Times New Roman" w:cs="Times New Roman" w:eastAsia="Times New Roman" w:hAnsi="Times New Roman"/>
          <w:sz w:val="17"/>
          <w:szCs w:val="17"/>
          <w:color w:val="auto"/>
        </w:rPr>
      </w:pPr>
    </w:p>
    <w:p>
      <w:pPr>
        <w:ind w:left="1268" w:right="40" w:hanging="523"/>
        <w:spacing w:after="0" w:line="276" w:lineRule="auto"/>
        <w:tabs>
          <w:tab w:leader="none" w:pos="1268"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specified in a Utilisation Request in relation to an Incremental Facility must be the Base Currency (or, if agreed between the Company and all of the Lenders under that Incremental Facility, whether in the applicable Incremental Facility Notice or other Incremental Facility Document applicable to that Incremental Facility, any Optional Currency so agreed).</w:t>
      </w:r>
    </w:p>
    <w:p>
      <w:pPr>
        <w:spacing w:after="0" w:line="68"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5.5 (</w:t>
      </w:r>
      <w:r>
        <w:rPr>
          <w:rFonts w:ascii="Times New Roman" w:cs="Times New Roman" w:eastAsia="Times New Roman" w:hAnsi="Times New Roman"/>
          <w:sz w:val="17"/>
          <w:szCs w:val="17"/>
          <w:i w:val="1"/>
          <w:iCs w:val="1"/>
          <w:color w:val="auto"/>
        </w:rPr>
        <w:t>Special limit on Utilisations</w:t>
      </w:r>
      <w:r>
        <w:rPr>
          <w:rFonts w:ascii="Times New Roman" w:cs="Times New Roman" w:eastAsia="Times New Roman" w:hAnsi="Times New Roman"/>
          <w:sz w:val="17"/>
          <w:szCs w:val="17"/>
          <w:color w:val="auto"/>
        </w:rPr>
        <w:t>), the amount of the proposed Utilisation in respect of the Initial Facility must be:</w:t>
      </w:r>
    </w:p>
    <w:p>
      <w:pPr>
        <w:spacing w:after="0" w:line="133" w:lineRule="exact"/>
        <w:rPr>
          <w:rFonts w:ascii="Times New Roman" w:cs="Times New Roman" w:eastAsia="Times New Roman" w:hAnsi="Times New Roman"/>
          <w:sz w:val="17"/>
          <w:szCs w:val="17"/>
          <w:color w:val="auto"/>
        </w:rPr>
      </w:pPr>
    </w:p>
    <w:p>
      <w:pPr>
        <w:ind w:left="1888" w:right="200" w:hanging="620"/>
        <w:spacing w:after="0" w:line="295" w:lineRule="auto"/>
        <w:tabs>
          <w:tab w:leader="none" w:pos="1888"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currency selected is the Base Currency, a minimum of HKD40,000,000 or, if less, the Available Facility applicable to that Facility;</w:t>
      </w:r>
    </w:p>
    <w:p>
      <w:pPr>
        <w:spacing w:after="0" w:line="55" w:lineRule="exact"/>
        <w:rPr>
          <w:rFonts w:ascii="Times New Roman" w:cs="Times New Roman" w:eastAsia="Times New Roman" w:hAnsi="Times New Roman"/>
          <w:sz w:val="17"/>
          <w:szCs w:val="17"/>
          <w:color w:val="auto"/>
        </w:rPr>
      </w:pPr>
    </w:p>
    <w:p>
      <w:pPr>
        <w:ind w:left="1888" w:right="540" w:hanging="620"/>
        <w:spacing w:after="0" w:line="295" w:lineRule="auto"/>
        <w:tabs>
          <w:tab w:leader="none" w:pos="1888"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currency selected is US dollars, a minimum of USD5,000,000 or, if less, the Available Facility applicable to that Facility; and</w:t>
      </w:r>
    </w:p>
    <w:p>
      <w:pPr>
        <w:spacing w:after="0" w:line="55" w:lineRule="exact"/>
        <w:rPr>
          <w:rFonts w:ascii="Times New Roman" w:cs="Times New Roman" w:eastAsia="Times New Roman" w:hAnsi="Times New Roman"/>
          <w:sz w:val="17"/>
          <w:szCs w:val="17"/>
          <w:color w:val="auto"/>
        </w:rPr>
      </w:pPr>
    </w:p>
    <w:p>
      <w:pPr>
        <w:jc w:val="both"/>
        <w:ind w:left="1888" w:right="80" w:hanging="620"/>
        <w:spacing w:after="0" w:line="276" w:lineRule="auto"/>
        <w:tabs>
          <w:tab w:leader="none" w:pos="1888"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currency selected is an Optional Currency other than US dollars, the minimum amount specified by the Agent pursuant to paragraph (b)(ii) of Clause 4.3 (</w:t>
      </w:r>
      <w:r>
        <w:rPr>
          <w:rFonts w:ascii="Times New Roman" w:cs="Times New Roman" w:eastAsia="Times New Roman" w:hAnsi="Times New Roman"/>
          <w:sz w:val="17"/>
          <w:szCs w:val="17"/>
          <w:i w:val="1"/>
          <w:iCs w:val="1"/>
          <w:color w:val="auto"/>
        </w:rPr>
        <w:t>Conditions relating to Optional Currencies</w:t>
      </w:r>
      <w:r>
        <w:rPr>
          <w:rFonts w:ascii="Times New Roman" w:cs="Times New Roman" w:eastAsia="Times New Roman" w:hAnsi="Times New Roman"/>
          <w:sz w:val="17"/>
          <w:szCs w:val="17"/>
          <w:color w:val="auto"/>
        </w:rPr>
        <w:t>) or, if less, the Available Facility applicable to that Facility.</w:t>
      </w:r>
    </w:p>
    <w:p>
      <w:pPr>
        <w:spacing w:after="0" w:line="70" w:lineRule="exact"/>
        <w:rPr>
          <w:rFonts w:ascii="Times New Roman" w:cs="Times New Roman" w:eastAsia="Times New Roman" w:hAnsi="Times New Roman"/>
          <w:sz w:val="17"/>
          <w:szCs w:val="17"/>
          <w:color w:val="auto"/>
        </w:rPr>
      </w:pPr>
    </w:p>
    <w:p>
      <w:pPr>
        <w:ind w:left="1268" w:right="60" w:hanging="523"/>
        <w:spacing w:after="0" w:line="276" w:lineRule="auto"/>
        <w:tabs>
          <w:tab w:leader="none" w:pos="1268"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minimum proposed Utilisation in relation to an Incremental Facility shall be agreed between the Company and the Lenders under that Incremental Facility in the Incremental Facility Notice or Incremental Facility Document applicable to that Incremental Facility.</w:t>
      </w:r>
    </w:p>
    <w:p>
      <w:pPr>
        <w:spacing w:after="0" w:line="9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50" w:name="page351"/>
    <w:bookmarkEnd w:id="350"/>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color w:val="auto"/>
        </w:rPr>
        <w:t>Lenders’ participation</w:t>
      </w:r>
    </w:p>
    <w:p>
      <w:pPr>
        <w:spacing w:after="0" w:line="131" w:lineRule="exact"/>
        <w:rPr>
          <w:sz w:val="20"/>
          <w:szCs w:val="20"/>
          <w:color w:val="auto"/>
        </w:rPr>
      </w:pPr>
    </w:p>
    <w:p>
      <w:pPr>
        <w:ind w:left="1268" w:right="80" w:hanging="523"/>
        <w:spacing w:after="0" w:line="298" w:lineRule="auto"/>
        <w:tabs>
          <w:tab w:leader="none" w:pos="1268"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8 (</w:t>
      </w:r>
      <w:r>
        <w:rPr>
          <w:rFonts w:ascii="Times New Roman" w:cs="Times New Roman" w:eastAsia="Times New Roman" w:hAnsi="Times New Roman"/>
          <w:sz w:val="17"/>
          <w:szCs w:val="17"/>
          <w:i w:val="1"/>
          <w:iCs w:val="1"/>
          <w:color w:val="auto"/>
        </w:rPr>
        <w:t>Repayment of Initial Facility</w:t>
      </w:r>
      <w:r>
        <w:rPr>
          <w:rFonts w:ascii="Times New Roman" w:cs="Times New Roman" w:eastAsia="Times New Roman" w:hAnsi="Times New Roman"/>
          <w:sz w:val="17"/>
          <w:szCs w:val="17"/>
          <w:color w:val="auto"/>
        </w:rPr>
        <w:t>), if the conditions set out in this Agreement have been met, each Lender shall make its participation in each Loan available by the Utilisation Date for such Loan through its Facility Office.</w:t>
      </w:r>
    </w:p>
    <w:p>
      <w:pPr>
        <w:spacing w:after="0" w:line="52" w:lineRule="exact"/>
        <w:rPr>
          <w:rFonts w:ascii="Times New Roman" w:cs="Times New Roman" w:eastAsia="Times New Roman" w:hAnsi="Times New Roman"/>
          <w:sz w:val="17"/>
          <w:szCs w:val="17"/>
          <w:color w:val="auto"/>
        </w:rPr>
      </w:pPr>
    </w:p>
    <w:p>
      <w:pPr>
        <w:jc w:val="both"/>
        <w:ind w:left="1268" w:right="400" w:hanging="523"/>
        <w:spacing w:after="0" w:line="276" w:lineRule="auto"/>
        <w:tabs>
          <w:tab w:leader="none" w:pos="1268"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each Lender’s participation in each Loan under a Facility will be equal to the proportion of that Loan borne by its Available Commitment (in respect of such Facility) to the Available Facility (in respect of such Facility) immediately prior to the making of that Loan.</w:t>
      </w:r>
    </w:p>
    <w:p>
      <w:pPr>
        <w:spacing w:after="0" w:line="70" w:lineRule="exact"/>
        <w:rPr>
          <w:rFonts w:ascii="Times New Roman" w:cs="Times New Roman" w:eastAsia="Times New Roman" w:hAnsi="Times New Roman"/>
          <w:sz w:val="17"/>
          <w:szCs w:val="17"/>
          <w:color w:val="auto"/>
        </w:rPr>
      </w:pPr>
    </w:p>
    <w:p>
      <w:pPr>
        <w:ind w:left="1268" w:right="360" w:hanging="523"/>
        <w:spacing w:after="0" w:line="269" w:lineRule="auto"/>
        <w:tabs>
          <w:tab w:leader="none" w:pos="1268"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determine the Base Currency Amount of each Loan which is to be made in an Optional Currency and notify each Lender of the amount, currency and the Base Currency Amount of each Loan, the amount of its participation in that Loan and, if different, the amount of that participation to be made available by 2.00 p.m. on the third Business Day prior to the proposed Utilisation Date.</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Special limit on Utilisations</w:t>
      </w:r>
    </w:p>
    <w:p>
      <w:pPr>
        <w:spacing w:after="0" w:line="120" w:lineRule="exact"/>
        <w:rPr>
          <w:sz w:val="20"/>
          <w:szCs w:val="20"/>
          <w:color w:val="auto"/>
        </w:rPr>
      </w:pPr>
    </w:p>
    <w:p>
      <w:pPr>
        <w:ind w:left="748" w:right="20"/>
        <w:spacing w:after="0" w:line="262" w:lineRule="auto"/>
        <w:rPr>
          <w:sz w:val="20"/>
          <w:szCs w:val="20"/>
          <w:color w:val="auto"/>
        </w:rPr>
      </w:pPr>
      <w:r>
        <w:rPr>
          <w:rFonts w:ascii="Times New Roman" w:cs="Times New Roman" w:eastAsia="Times New Roman" w:hAnsi="Times New Roman"/>
          <w:sz w:val="17"/>
          <w:szCs w:val="17"/>
          <w:color w:val="auto"/>
        </w:rPr>
        <w:t>Unless and until the Agent has received (or, acting on the instructions of all the Lenders under the Initial Facility, has waived the requirement to receive) evidence in form and substance satisfactory to it that the Existing OpCo Facilities have been fully repaid and/or prepaid and permanently cancelled (save as otherwise specified in the Existing OpCo Facility Continuing Lender Waiver) and no amount in respect of any Existing OpCo Loan remains outstanding (save as otherwise specified in the Existing OpCo Facility Continuing Lender Waiver and provided that a written confirmation from the Existing OpCo Facility Agent to this effect (absent manifest error) shall be conclusive evidence of such repayment, prepayment and/or cancellation), the amount of any proposed Utilisation in respect of the Initial Facility must not be an amount that would result in the aggregate principal amount of outstanding Initial Facility Loans exceeding HKD2,730,000,000 (or its equivalent in other currencies).</w:t>
      </w:r>
    </w:p>
    <w:p>
      <w:pPr>
        <w:spacing w:after="0" w:line="31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Cancellation of Commitments</w:t>
      </w:r>
    </w:p>
    <w:p>
      <w:pPr>
        <w:spacing w:after="0" w:line="120" w:lineRule="exact"/>
        <w:rPr>
          <w:sz w:val="20"/>
          <w:szCs w:val="20"/>
          <w:color w:val="auto"/>
        </w:rPr>
      </w:pPr>
    </w:p>
    <w:p>
      <w:pPr>
        <w:jc w:val="both"/>
        <w:ind w:left="748" w:right="20"/>
        <w:spacing w:after="0" w:line="276" w:lineRule="auto"/>
        <w:rPr>
          <w:sz w:val="20"/>
          <w:szCs w:val="20"/>
          <w:color w:val="auto"/>
        </w:rPr>
      </w:pPr>
      <w:r>
        <w:rPr>
          <w:rFonts w:ascii="Times New Roman" w:cs="Times New Roman" w:eastAsia="Times New Roman" w:hAnsi="Times New Roman"/>
          <w:sz w:val="17"/>
          <w:szCs w:val="17"/>
          <w:color w:val="auto"/>
        </w:rPr>
        <w:t>Upon the expiry of the Availability Period relating to a Facility, the Commitment of each Lender in respect of that Facility shall be reduced by the amount of its Available Commitment in respect of that Facility, and then such Available Commitment (in respect of that Facility) shall be immediately reduced to zero.</w:t>
      </w:r>
    </w:p>
    <w:p>
      <w:pPr>
        <w:spacing w:after="0" w:line="304" w:lineRule="exact"/>
        <w:rPr>
          <w:sz w:val="20"/>
          <w:szCs w:val="20"/>
          <w:color w:val="auto"/>
        </w:rPr>
      </w:pPr>
    </w:p>
    <w:p>
      <w:pPr>
        <w:ind w:left="748" w:hanging="748"/>
        <w:spacing w:after="0"/>
        <w:tabs>
          <w:tab w:leader="none" w:pos="748" w:val="left"/>
        </w:tabs>
        <w:numPr>
          <w:ilvl w:val="0"/>
          <w:numId w:val="3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Optional Currencies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6.1Selection of currency</w:t>
      </w:r>
    </w:p>
    <w:p>
      <w:pPr>
        <w:spacing w:after="0" w:line="133"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select the currency of a Utilisation in a Utilisation Request.</w:t>
      </w:r>
    </w:p>
    <w:p>
      <w:pPr>
        <w:spacing w:after="0" w:line="131" w:lineRule="exact"/>
        <w:rPr>
          <w:rFonts w:ascii="Times New Roman" w:cs="Times New Roman" w:eastAsia="Times New Roman" w:hAnsi="Times New Roman"/>
          <w:sz w:val="17"/>
          <w:szCs w:val="17"/>
          <w:color w:val="auto"/>
        </w:rPr>
      </w:pPr>
    </w:p>
    <w:p>
      <w:pPr>
        <w:ind w:left="1268" w:right="160" w:hanging="523"/>
        <w:spacing w:after="0" w:line="276" w:lineRule="auto"/>
        <w:tabs>
          <w:tab w:leader="none" w:pos="1268"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agree with the Agent and all of the Original Incremental Facility Lenders under an Incremental Facility any provisions in relation to the selection of currencies in relation to that Incremental Facility in any Incremental Facility Notice or other Incremental Facility Document applicable to that Incremental Facility.</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Unavailability of a currency</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If before 10:00 a.m. on any Quotation Date:</w:t>
      </w:r>
    </w:p>
    <w:p>
      <w:pPr>
        <w:spacing w:after="0" w:line="131" w:lineRule="exact"/>
        <w:rPr>
          <w:sz w:val="20"/>
          <w:szCs w:val="20"/>
          <w:color w:val="auto"/>
        </w:rPr>
      </w:pPr>
    </w:p>
    <w:p>
      <w:pPr>
        <w:ind w:left="1268" w:hanging="523"/>
        <w:spacing w:after="0"/>
        <w:tabs>
          <w:tab w:leader="none" w:pos="126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Lender notifies the Agent that the Optional Currency requested is not readily available to it in the amount required; or</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51" w:name="page352"/>
    <w:bookmarkEnd w:id="351"/>
    <w:p>
      <w:pPr>
        <w:ind w:left="1268" w:right="440" w:hanging="523"/>
        <w:spacing w:after="0" w:line="295" w:lineRule="auto"/>
        <w:tabs>
          <w:tab w:leader="none" w:pos="1268"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Lender notifies the Agent that compliance with its obligation to participate in a Loan in the proposed Optional Currency would contravene a law or regulation applicable to it,</w:t>
      </w:r>
    </w:p>
    <w:p>
      <w:pPr>
        <w:spacing w:after="0" w:line="42" w:lineRule="exact"/>
        <w:rPr>
          <w:sz w:val="20"/>
          <w:szCs w:val="20"/>
          <w:color w:val="auto"/>
        </w:rPr>
      </w:pPr>
    </w:p>
    <w:p>
      <w:pPr>
        <w:ind w:left="748" w:right="40"/>
        <w:spacing w:after="0" w:line="269" w:lineRule="auto"/>
        <w:rPr>
          <w:sz w:val="20"/>
          <w:szCs w:val="20"/>
          <w:color w:val="auto"/>
        </w:rPr>
      </w:pPr>
      <w:r>
        <w:rPr>
          <w:rFonts w:ascii="Times New Roman" w:cs="Times New Roman" w:eastAsia="Times New Roman" w:hAnsi="Times New Roman"/>
          <w:sz w:val="17"/>
          <w:szCs w:val="17"/>
          <w:color w:val="auto"/>
        </w:rPr>
        <w:t>the Agent shall give notice to the Company to that effect by 12:00 p.m. on that day. In this event, any Lender that gives notice pursuant to this Clause 6.2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Agent’s calculations</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Each Lender’s participation in a Loan will be determined in accordance with paragraph (b) of Clause 5.4 (</w:t>
      </w:r>
      <w:r>
        <w:rPr>
          <w:rFonts w:ascii="Times New Roman" w:cs="Times New Roman" w:eastAsia="Times New Roman" w:hAnsi="Times New Roman"/>
          <w:sz w:val="17"/>
          <w:szCs w:val="17"/>
          <w:i w:val="1"/>
          <w:iCs w:val="1"/>
          <w:color w:val="auto"/>
        </w:rPr>
        <w:t>Lenders’ participation</w:t>
      </w:r>
      <w:r>
        <w:rPr>
          <w:rFonts w:ascii="Times New Roman" w:cs="Times New Roman" w:eastAsia="Times New Roman" w:hAnsi="Times New Roman"/>
          <w:sz w:val="17"/>
          <w:szCs w:val="17"/>
          <w:color w:val="auto"/>
        </w:rPr>
        <w:t xml:space="preserve"> ).</w:t>
      </w:r>
    </w:p>
    <w:p>
      <w:pPr>
        <w:spacing w:after="0" w:line="366" w:lineRule="exact"/>
        <w:rPr>
          <w:sz w:val="20"/>
          <w:szCs w:val="20"/>
          <w:color w:val="auto"/>
        </w:rPr>
      </w:pPr>
    </w:p>
    <w:p>
      <w:pPr>
        <w:ind w:left="748" w:hanging="748"/>
        <w:spacing w:after="0"/>
        <w:tabs>
          <w:tab w:leader="none" w:pos="748" w:val="left"/>
        </w:tabs>
        <w:numPr>
          <w:ilvl w:val="0"/>
          <w:numId w:val="3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Incremental Facilities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7.1Type of Facility</w:t>
      </w:r>
    </w:p>
    <w:p>
      <w:pPr>
        <w:spacing w:after="0" w:line="120" w:lineRule="exact"/>
        <w:rPr>
          <w:rFonts w:ascii="Times New Roman" w:cs="Times New Roman" w:eastAsia="Times New Roman" w:hAnsi="Times New Roman"/>
          <w:sz w:val="17"/>
          <w:szCs w:val="17"/>
          <w:b w:val="1"/>
          <w:bCs w:val="1"/>
          <w:color w:val="auto"/>
        </w:rPr>
      </w:pPr>
    </w:p>
    <w:p>
      <w:pPr>
        <w:ind w:left="74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Incremental Facility may be by way of:</w:t>
      </w:r>
    </w:p>
    <w:p>
      <w:pPr>
        <w:spacing w:after="0" w:line="129"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 loan facility (each such term loan facility, an “</w:t>
      </w:r>
      <w:r>
        <w:rPr>
          <w:rFonts w:ascii="Times New Roman" w:cs="Times New Roman" w:eastAsia="Times New Roman" w:hAnsi="Times New Roman"/>
          <w:sz w:val="17"/>
          <w:szCs w:val="17"/>
          <w:b w:val="1"/>
          <w:bCs w:val="1"/>
          <w:color w:val="auto"/>
        </w:rPr>
        <w:t>Incremental Term Loan Facility</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revolving credit facility (each such revolving credit facility, an “</w:t>
      </w:r>
      <w:r>
        <w:rPr>
          <w:rFonts w:ascii="Times New Roman" w:cs="Times New Roman" w:eastAsia="Times New Roman" w:hAnsi="Times New Roman"/>
          <w:sz w:val="17"/>
          <w:szCs w:val="17"/>
          <w:b w:val="1"/>
          <w:bCs w:val="1"/>
          <w:color w:val="auto"/>
        </w:rPr>
        <w:t>Incremental Revolving Credit Facility</w:t>
      </w:r>
      <w:r>
        <w:rPr>
          <w:rFonts w:ascii="Times New Roman" w:cs="Times New Roman" w:eastAsia="Times New Roman" w:hAnsi="Times New Roman"/>
          <w:sz w:val="17"/>
          <w:szCs w:val="17"/>
          <w:color w:val="auto"/>
        </w:rPr>
        <w:t>”); or</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Commitments under an existing Facility (each such increase, an “</w:t>
      </w:r>
      <w:r>
        <w:rPr>
          <w:rFonts w:ascii="Times New Roman" w:cs="Times New Roman" w:eastAsia="Times New Roman" w:hAnsi="Times New Roman"/>
          <w:sz w:val="17"/>
          <w:szCs w:val="17"/>
          <w:b w:val="1"/>
          <w:bCs w:val="1"/>
          <w:color w:val="auto"/>
        </w:rPr>
        <w:t>Incremental Facility Increase</w:t>
      </w:r>
      <w:r>
        <w:rPr>
          <w:rFonts w:ascii="Times New Roman" w:cs="Times New Roman" w:eastAsia="Times New Roman" w:hAnsi="Times New Roman"/>
          <w:sz w:val="17"/>
          <w:szCs w:val="17"/>
          <w:color w:val="auto"/>
        </w:rPr>
        <w:t>”).</w:t>
      </w:r>
    </w:p>
    <w:p>
      <w:pPr>
        <w:spacing w:after="0" w:line="36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Availability and establishment of Incremental Facilities</w:t>
      </w:r>
    </w:p>
    <w:p>
      <w:pPr>
        <w:spacing w:after="0" w:line="133" w:lineRule="exact"/>
        <w:rPr>
          <w:sz w:val="20"/>
          <w:szCs w:val="20"/>
          <w:color w:val="auto"/>
        </w:rPr>
      </w:pPr>
    </w:p>
    <w:p>
      <w:pPr>
        <w:ind w:left="1268" w:right="80" w:hanging="523"/>
        <w:spacing w:after="0" w:line="266" w:lineRule="auto"/>
        <w:tabs>
          <w:tab w:leader="none" w:pos="1268"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and one or more Lenders or other entities (being such other banks, financial institutions, trusts, funds or other entities which are regularly engaged in or established for the purpose of making, purchasing or investing in loans, securities or other financial assets and which are not Lenders, the “</w:t>
      </w:r>
      <w:r>
        <w:rPr>
          <w:rFonts w:ascii="Times New Roman" w:cs="Times New Roman" w:eastAsia="Times New Roman" w:hAnsi="Times New Roman"/>
          <w:sz w:val="17"/>
          <w:szCs w:val="17"/>
          <w:b w:val="1"/>
          <w:bCs w:val="1"/>
          <w:color w:val="auto"/>
        </w:rPr>
        <w:t>Non-Lenders</w:t>
      </w:r>
      <w:r>
        <w:rPr>
          <w:rFonts w:ascii="Times New Roman" w:cs="Times New Roman" w:eastAsia="Times New Roman" w:hAnsi="Times New Roman"/>
          <w:sz w:val="17"/>
          <w:szCs w:val="17"/>
          <w:color w:val="auto"/>
        </w:rPr>
        <w:t>”) agree, except as otherwise provided in this Agreement, such Lenders and Non-Lenders may make available Commitments in respect of Incremental Facilities in an aggregate amount not exceeding HKD7,750,000,000 (the “</w:t>
      </w:r>
      <w:r>
        <w:rPr>
          <w:rFonts w:ascii="Times New Roman" w:cs="Times New Roman" w:eastAsia="Times New Roman" w:hAnsi="Times New Roman"/>
          <w:sz w:val="17"/>
          <w:szCs w:val="17"/>
          <w:b w:val="1"/>
          <w:bCs w:val="1"/>
          <w:color w:val="auto"/>
        </w:rPr>
        <w:t>Incremental Facility Limit</w:t>
      </w:r>
      <w:r>
        <w:rPr>
          <w:rFonts w:ascii="Times New Roman" w:cs="Times New Roman" w:eastAsia="Times New Roman" w:hAnsi="Times New Roman"/>
          <w:sz w:val="17"/>
          <w:szCs w:val="17"/>
          <w:color w:val="auto"/>
        </w:rPr>
        <w:t>”).</w:t>
      </w:r>
    </w:p>
    <w:p>
      <w:pPr>
        <w:spacing w:after="0" w:line="79" w:lineRule="exact"/>
        <w:rPr>
          <w:rFonts w:ascii="Times New Roman" w:cs="Times New Roman" w:eastAsia="Times New Roman" w:hAnsi="Times New Roman"/>
          <w:sz w:val="17"/>
          <w:szCs w:val="17"/>
          <w:color w:val="auto"/>
        </w:rPr>
      </w:pPr>
    </w:p>
    <w:p>
      <w:pPr>
        <w:ind w:left="1268" w:right="140" w:hanging="523"/>
        <w:spacing w:after="0" w:line="269" w:lineRule="auto"/>
        <w:tabs>
          <w:tab w:leader="none" w:pos="1268"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request the establishment of an Incremental Facility by delivering to the Agent a valid and duly completed notice substantially in the form set out in Schedule 8 (</w:t>
      </w:r>
      <w:r>
        <w:rPr>
          <w:rFonts w:ascii="Times New Roman" w:cs="Times New Roman" w:eastAsia="Times New Roman" w:hAnsi="Times New Roman"/>
          <w:sz w:val="17"/>
          <w:szCs w:val="17"/>
          <w:i w:val="1"/>
          <w:iCs w:val="1"/>
          <w:color w:val="auto"/>
        </w:rPr>
        <w:t>Form of Incremental Facility Notice</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b w:val="1"/>
          <w:bCs w:val="1"/>
          <w:color w:val="auto"/>
        </w:rPr>
        <w:t>Incremental Facility Notice</w:t>
      </w:r>
      <w:r>
        <w:rPr>
          <w:rFonts w:ascii="Times New Roman" w:cs="Times New Roman" w:eastAsia="Times New Roman" w:hAnsi="Times New Roman"/>
          <w:sz w:val="17"/>
          <w:szCs w:val="17"/>
          <w:color w:val="auto"/>
        </w:rPr>
        <w:t>”) prior to the Termination Date in respect of the Initial Facility requesting that such Lenders and Non-Lenders make available an Incremental Facility.</w:t>
      </w:r>
    </w:p>
    <w:p>
      <w:pPr>
        <w:spacing w:after="0" w:line="77" w:lineRule="exact"/>
        <w:rPr>
          <w:rFonts w:ascii="Times New Roman" w:cs="Times New Roman" w:eastAsia="Times New Roman" w:hAnsi="Times New Roman"/>
          <w:sz w:val="17"/>
          <w:szCs w:val="17"/>
          <w:color w:val="auto"/>
        </w:rPr>
      </w:pPr>
    </w:p>
    <w:p>
      <w:pPr>
        <w:ind w:left="1268" w:right="20" w:hanging="523"/>
        <w:spacing w:after="0" w:line="295" w:lineRule="auto"/>
        <w:tabs>
          <w:tab w:leader="none" w:pos="1268"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Incremental Facility Notice shall not be duly completed unless it (save where not necessary in the case of an Incremental Facility Increase):</w:t>
      </w:r>
    </w:p>
    <w:p>
      <w:pPr>
        <w:spacing w:after="0" w:line="53" w:lineRule="exact"/>
        <w:rPr>
          <w:rFonts w:ascii="Times New Roman" w:cs="Times New Roman" w:eastAsia="Times New Roman" w:hAnsi="Times New Roman"/>
          <w:sz w:val="17"/>
          <w:szCs w:val="17"/>
          <w:color w:val="auto"/>
        </w:rPr>
      </w:pPr>
    </w:p>
    <w:p>
      <w:pPr>
        <w:jc w:val="both"/>
        <w:ind w:left="1888" w:right="120" w:hanging="620"/>
        <w:spacing w:after="0" w:line="277" w:lineRule="auto"/>
        <w:tabs>
          <w:tab w:leader="none" w:pos="1888"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sets out the termination date and any repayment schedule, amount (the “</w:t>
      </w:r>
      <w:r>
        <w:rPr>
          <w:rFonts w:ascii="Times New Roman" w:cs="Times New Roman" w:eastAsia="Times New Roman" w:hAnsi="Times New Roman"/>
          <w:sz w:val="17"/>
          <w:szCs w:val="17"/>
          <w:b w:val="1"/>
          <w:bCs w:val="1"/>
          <w:color w:val="auto"/>
        </w:rPr>
        <w:t>Requested Facility Amount</w:t>
      </w:r>
      <w:r>
        <w:rPr>
          <w:rFonts w:ascii="Times New Roman" w:cs="Times New Roman" w:eastAsia="Times New Roman" w:hAnsi="Times New Roman"/>
          <w:sz w:val="17"/>
          <w:szCs w:val="17"/>
          <w:color w:val="auto"/>
        </w:rPr>
        <w:t>”), availability period, interest rate and (if applicable) margin and commitment fees (if any) of or with respect to the Incremental Facility that is the subject of such Incremental Facility Notice (the “</w:t>
      </w:r>
      <w:r>
        <w:rPr>
          <w:rFonts w:ascii="Times New Roman" w:cs="Times New Roman" w:eastAsia="Times New Roman" w:hAnsi="Times New Roman"/>
          <w:sz w:val="17"/>
          <w:szCs w:val="17"/>
          <w:b w:val="1"/>
          <w:bCs w:val="1"/>
          <w:color w:val="auto"/>
        </w:rPr>
        <w:t>Relevant Incremental Facility</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the borrower of the Relevant Incremental Facility, which shall be the Company;</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49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352" w:name="page353"/>
    <w:bookmarkEnd w:id="352"/>
    <w:p>
      <w:pPr>
        <w:ind w:left="1143" w:right="40" w:hanging="620"/>
        <w:spacing w:after="0" w:line="295"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specifies whether the Relevant Incremental Facility will be an Incremental Term Loan Facility, Incremental Revolving Credit Facility or Incremental Facility Increase;</w:t>
      </w:r>
    </w:p>
    <w:p>
      <w:pPr>
        <w:spacing w:after="0" w:line="55" w:lineRule="exact"/>
        <w:rPr>
          <w:rFonts w:ascii="Times New Roman" w:cs="Times New Roman" w:eastAsia="Times New Roman" w:hAnsi="Times New Roman"/>
          <w:sz w:val="17"/>
          <w:szCs w:val="17"/>
          <w:color w:val="auto"/>
        </w:rPr>
      </w:pPr>
    </w:p>
    <w:p>
      <w:pPr>
        <w:ind w:left="1143" w:right="120" w:hanging="620"/>
        <w:spacing w:after="0" w:line="276"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the currency in which the Commitments for the Relevant Incremental Facility will be denominated (which shall be limited to the Base Currency) and the currency or currencies in which the Relevant Incremental Facility may be utilised (which shall be limited to the Base Currency and any Optional Currency);</w:t>
      </w:r>
    </w:p>
    <w:p>
      <w:pPr>
        <w:spacing w:after="0" w:line="70" w:lineRule="exact"/>
        <w:rPr>
          <w:rFonts w:ascii="Times New Roman" w:cs="Times New Roman" w:eastAsia="Times New Roman" w:hAnsi="Times New Roman"/>
          <w:sz w:val="17"/>
          <w:szCs w:val="17"/>
          <w:color w:val="auto"/>
        </w:rPr>
      </w:pPr>
    </w:p>
    <w:p>
      <w:pPr>
        <w:ind w:left="1143" w:right="120" w:hanging="620"/>
        <w:spacing w:after="0" w:line="295"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the purpose for which the proceeds of the Relevant Incremental Facility may be used (which shall not conflict with paragraph (c) of Clause 3.1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the maximum number of Loans that may be outstanding under the Relevant Incremental Facility at any time;</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any other relevant terms relating to the Relevant Incremental Facility;</w:t>
      </w:r>
    </w:p>
    <w:p>
      <w:pPr>
        <w:spacing w:after="0" w:line="131" w:lineRule="exact"/>
        <w:rPr>
          <w:rFonts w:ascii="Times New Roman" w:cs="Times New Roman" w:eastAsia="Times New Roman" w:hAnsi="Times New Roman"/>
          <w:sz w:val="17"/>
          <w:szCs w:val="17"/>
          <w:color w:val="auto"/>
        </w:rPr>
      </w:pPr>
    </w:p>
    <w:p>
      <w:pPr>
        <w:ind w:left="1143" w:right="120" w:hanging="620"/>
        <w:spacing w:after="0" w:line="266"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so chooses, at its discretion, to invite any Lender to participate in the Relevant Incremental Facility) invites each Lender to participate in the Relevant Incremental Facility in an amount up to that Lender’s Pro Rata Share (for such purposes, “</w:t>
      </w:r>
      <w:r>
        <w:rPr>
          <w:rFonts w:ascii="Times New Roman" w:cs="Times New Roman" w:eastAsia="Times New Roman" w:hAnsi="Times New Roman"/>
          <w:sz w:val="17"/>
          <w:szCs w:val="17"/>
          <w:b w:val="1"/>
          <w:bCs w:val="1"/>
          <w:color w:val="auto"/>
        </w:rPr>
        <w:t>Pro Rata Share</w:t>
      </w:r>
      <w:r>
        <w:rPr>
          <w:rFonts w:ascii="Times New Roman" w:cs="Times New Roman" w:eastAsia="Times New Roman" w:hAnsi="Times New Roman"/>
          <w:sz w:val="17"/>
          <w:szCs w:val="17"/>
          <w:color w:val="auto"/>
        </w:rPr>
        <w:t>” means, in relation to a Lender, the percentage of the aggregate amount of the Relevant Incremental Facility that such Lender’s existing Commitments (in aggregate across the Facilities) bear to the existing Total Commitments on the date of the Incremental Facility Notice);</w:t>
      </w:r>
    </w:p>
    <w:p>
      <w:pPr>
        <w:spacing w:after="0" w:line="79" w:lineRule="exact"/>
        <w:rPr>
          <w:rFonts w:ascii="Times New Roman" w:cs="Times New Roman" w:eastAsia="Times New Roman" w:hAnsi="Times New Roman"/>
          <w:sz w:val="17"/>
          <w:szCs w:val="17"/>
          <w:color w:val="auto"/>
        </w:rPr>
      </w:pPr>
    </w:p>
    <w:p>
      <w:pPr>
        <w:ind w:left="1143" w:right="680" w:hanging="620"/>
        <w:spacing w:after="0" w:line="295"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that the Repeating Representations are true and accurate in all material (or, to the extent that the Repeating Representation is subject to any materiality qualifier, all) respects as at the date of the Incremental Facility Notice;</w:t>
      </w:r>
    </w:p>
    <w:p>
      <w:pPr>
        <w:spacing w:after="0" w:line="55" w:lineRule="exact"/>
        <w:rPr>
          <w:rFonts w:ascii="Times New Roman" w:cs="Times New Roman" w:eastAsia="Times New Roman" w:hAnsi="Times New Roman"/>
          <w:sz w:val="17"/>
          <w:szCs w:val="17"/>
          <w:color w:val="auto"/>
        </w:rPr>
      </w:pPr>
    </w:p>
    <w:p>
      <w:pPr>
        <w:ind w:left="1143" w:right="160" w:hanging="620"/>
        <w:spacing w:after="0" w:line="295" w:lineRule="auto"/>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that no Event of Default is continuing at the time of, or would arise as a result of, the establishment and utilisation of the Relevant Incremental Facility; and</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signed by the Company.</w:t>
      </w:r>
    </w:p>
    <w:p>
      <w:pPr>
        <w:spacing w:after="0" w:line="131" w:lineRule="exact"/>
        <w:rPr>
          <w:rFonts w:ascii="Times New Roman" w:cs="Times New Roman" w:eastAsia="Times New Roman" w:hAnsi="Times New Roman"/>
          <w:sz w:val="17"/>
          <w:szCs w:val="17"/>
          <w:color w:val="auto"/>
        </w:rPr>
      </w:pPr>
    </w:p>
    <w:p>
      <w:pPr>
        <w:ind w:left="523" w:right="120" w:hanging="523"/>
        <w:spacing w:after="0" w:line="269" w:lineRule="auto"/>
        <w:tabs>
          <w:tab w:leader="none" w:pos="523"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an Incremental Facility Notice, the Agent shall promptly and in any case within three (3) Business Days forward that Incremental Facility Notice to all Lenders and each Lender (if applicable) shall have ten (10) Business Days (or such longer time as the Agent and the Company may agree) from the date of the Incremental Facility Notice to accept any invitation made by the Company as contemplated by paragraph (c)(viii) above (the</w:t>
      </w:r>
    </w:p>
    <w:p>
      <w:pPr>
        <w:spacing w:after="0" w:line="63" w:lineRule="exact"/>
        <w:rPr>
          <w:sz w:val="20"/>
          <w:szCs w:val="20"/>
          <w:color w:val="auto"/>
        </w:rPr>
      </w:pPr>
    </w:p>
    <w:p>
      <w:pPr>
        <w:jc w:val="both"/>
        <w:ind w:left="643" w:right="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Lender Invitation Period</w:t>
      </w:r>
      <w:r>
        <w:rPr>
          <w:rFonts w:ascii="Times New Roman" w:cs="Times New Roman" w:eastAsia="Times New Roman" w:hAnsi="Times New Roman"/>
          <w:sz w:val="17"/>
          <w:szCs w:val="17"/>
          <w:color w:val="auto"/>
        </w:rPr>
        <w:t>”). Following the expiry of the Lender Invitation Period, any Lender that has not responded to the Company in relation to the Incremental Facility Notice (or has declined the invitation to participate) shall not participate in the Relevant Incremental Facility (other than as a result of an assignment or transfer in accordance with Clause 26 (</w:t>
      </w:r>
      <w:r>
        <w:rPr>
          <w:rFonts w:ascii="Times New Roman" w:cs="Times New Roman" w:eastAsia="Times New Roman" w:hAnsi="Times New Roman"/>
          <w:sz w:val="17"/>
          <w:szCs w:val="17"/>
          <w:i w:val="1"/>
          <w:iCs w:val="1"/>
          <w:color w:val="auto"/>
        </w:rPr>
        <w:t>Changes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ind w:left="523" w:hanging="523"/>
        <w:spacing w:after="0"/>
        <w:tabs>
          <w:tab w:leader="none" w:pos="523"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Lender shall be obliged to participate in any Incremental Facility.</w:t>
      </w:r>
    </w:p>
    <w:p>
      <w:pPr>
        <w:spacing w:after="0" w:line="131" w:lineRule="exact"/>
        <w:rPr>
          <w:rFonts w:ascii="Times New Roman" w:cs="Times New Roman" w:eastAsia="Times New Roman" w:hAnsi="Times New Roman"/>
          <w:sz w:val="17"/>
          <w:szCs w:val="17"/>
          <w:color w:val="auto"/>
        </w:rPr>
      </w:pPr>
    </w:p>
    <w:p>
      <w:pPr>
        <w:ind w:left="523" w:right="100" w:hanging="523"/>
        <w:spacing w:after="0" w:line="266" w:lineRule="auto"/>
        <w:tabs>
          <w:tab w:leader="none" w:pos="523"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permitted to invite Non-Lenders to provide commitments for and to become Lenders under the Relevant Incremental Facility (and each such entity that agrees to provide a commitment in relation to a Relevant Incremental Facility will be an “</w:t>
      </w:r>
      <w:r>
        <w:rPr>
          <w:rFonts w:ascii="Times New Roman" w:cs="Times New Roman" w:eastAsia="Times New Roman" w:hAnsi="Times New Roman"/>
          <w:sz w:val="17"/>
          <w:szCs w:val="17"/>
          <w:b w:val="1"/>
          <w:bCs w:val="1"/>
          <w:color w:val="auto"/>
        </w:rPr>
        <w:t>Additional Lender</w:t>
      </w:r>
      <w:r>
        <w:rPr>
          <w:rFonts w:ascii="Times New Roman" w:cs="Times New Roman" w:eastAsia="Times New Roman" w:hAnsi="Times New Roman"/>
          <w:sz w:val="17"/>
          <w:szCs w:val="17"/>
          <w:color w:val="auto"/>
        </w:rPr>
        <w:t xml:space="preserve">”) subject to paragraphs (g) and (h) below,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Company has invited Lenders to provide any commitments in the Relevant Incremental Facility, its invitation to Non-Lenders shall not prejudice the right of Lenders to participate in an amount up to its Pro Rata Share.</w:t>
      </w:r>
    </w:p>
    <w:p>
      <w:pPr>
        <w:spacing w:after="0" w:line="106"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53" w:name="page354"/>
    <w:bookmarkEnd w:id="353"/>
    <w:p>
      <w:pPr>
        <w:ind w:left="523" w:right="100" w:hanging="523"/>
        <w:spacing w:after="0" w:line="269" w:lineRule="auto"/>
        <w:tabs>
          <w:tab w:leader="none" w:pos="523"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sufficient Lenders and Additional Lenders have provided acceptances to the Company to make available commitments (of an aggregate amount not less than the Requested Facility Amount, or, subject to paragraph (a) above, such other amount agreed between the Company, the Lenders and the Additional Lenders) in respect of the Relevant Incremental Facility, the Company shall notify the Agent and each Subsidiary Guarantor of:</w:t>
      </w:r>
    </w:p>
    <w:p>
      <w:pPr>
        <w:spacing w:after="0" w:line="77" w:lineRule="exact"/>
        <w:rPr>
          <w:rFonts w:ascii="Times New Roman" w:cs="Times New Roman" w:eastAsia="Times New Roman" w:hAnsi="Times New Roman"/>
          <w:sz w:val="17"/>
          <w:szCs w:val="17"/>
          <w:color w:val="auto"/>
        </w:rPr>
      </w:pPr>
    </w:p>
    <w:p>
      <w:pPr>
        <w:ind w:left="1143" w:right="20" w:hanging="620"/>
        <w:spacing w:after="0" w:line="266" w:lineRule="auto"/>
        <w:tabs>
          <w:tab w:leader="none" w:pos="1143" w:val="left"/>
        </w:tabs>
        <w:numPr>
          <w:ilvl w:val="1"/>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the commitments that have been agreed to be made available by the Lenders and/or Additional Lenders in respect of the Relevant Incremental Facility (such commitments in relation to an Incremental Term Loan Facility being “</w:t>
      </w:r>
      <w:r>
        <w:rPr>
          <w:rFonts w:ascii="Times New Roman" w:cs="Times New Roman" w:eastAsia="Times New Roman" w:hAnsi="Times New Roman"/>
          <w:sz w:val="17"/>
          <w:szCs w:val="17"/>
          <w:b w:val="1"/>
          <w:bCs w:val="1"/>
          <w:color w:val="auto"/>
        </w:rPr>
        <w:t>Incremental Term Loan Facility Commitments</w:t>
      </w:r>
      <w:r>
        <w:rPr>
          <w:rFonts w:ascii="Times New Roman" w:cs="Times New Roman" w:eastAsia="Times New Roman" w:hAnsi="Times New Roman"/>
          <w:sz w:val="17"/>
          <w:szCs w:val="17"/>
          <w:color w:val="auto"/>
        </w:rPr>
        <w:t>”, such commitments in relation to an Incremental Revolving Credit Facility being “</w:t>
      </w:r>
      <w:r>
        <w:rPr>
          <w:rFonts w:ascii="Times New Roman" w:cs="Times New Roman" w:eastAsia="Times New Roman" w:hAnsi="Times New Roman"/>
          <w:sz w:val="17"/>
          <w:szCs w:val="17"/>
          <w:b w:val="1"/>
          <w:bCs w:val="1"/>
          <w:color w:val="auto"/>
        </w:rPr>
        <w:t>Incremental Revolving Credit Facility Commitments</w:t>
      </w:r>
      <w:r>
        <w:rPr>
          <w:rFonts w:ascii="Times New Roman" w:cs="Times New Roman" w:eastAsia="Times New Roman" w:hAnsi="Times New Roman"/>
          <w:sz w:val="17"/>
          <w:szCs w:val="17"/>
          <w:color w:val="auto"/>
        </w:rPr>
        <w:t>” and such commitments in relation to an Incremental Facility Increase being “</w:t>
      </w:r>
      <w:r>
        <w:rPr>
          <w:rFonts w:ascii="Times New Roman" w:cs="Times New Roman" w:eastAsia="Times New Roman" w:hAnsi="Times New Roman"/>
          <w:sz w:val="17"/>
          <w:szCs w:val="17"/>
          <w:b w:val="1"/>
          <w:bCs w:val="1"/>
          <w:color w:val="auto"/>
        </w:rPr>
        <w:t>Incremental Facility Increase Commitments</w:t>
      </w:r>
      <w:r>
        <w:rPr>
          <w:rFonts w:ascii="Times New Roman" w:cs="Times New Roman" w:eastAsia="Times New Roman" w:hAnsi="Times New Roman"/>
          <w:sz w:val="17"/>
          <w:szCs w:val="17"/>
          <w:color w:val="auto"/>
        </w:rPr>
        <w:t>”); and</w:t>
      </w:r>
    </w:p>
    <w:p>
      <w:pPr>
        <w:spacing w:after="0" w:line="77" w:lineRule="exact"/>
        <w:rPr>
          <w:rFonts w:ascii="Times New Roman" w:cs="Times New Roman" w:eastAsia="Times New Roman" w:hAnsi="Times New Roman"/>
          <w:sz w:val="17"/>
          <w:szCs w:val="17"/>
          <w:color w:val="auto"/>
        </w:rPr>
      </w:pPr>
    </w:p>
    <w:p>
      <w:pPr>
        <w:ind w:left="1143" w:right="280" w:hanging="620"/>
        <w:spacing w:after="0" w:line="298" w:lineRule="auto"/>
        <w:tabs>
          <w:tab w:leader="none" w:pos="1143" w:val="left"/>
        </w:tabs>
        <w:numPr>
          <w:ilvl w:val="1"/>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and notice details of the Lenders and Additional Lenders (the “</w:t>
      </w:r>
      <w:r>
        <w:rPr>
          <w:rFonts w:ascii="Times New Roman" w:cs="Times New Roman" w:eastAsia="Times New Roman" w:hAnsi="Times New Roman"/>
          <w:sz w:val="17"/>
          <w:szCs w:val="17"/>
          <w:b w:val="1"/>
          <w:bCs w:val="1"/>
          <w:color w:val="auto"/>
        </w:rPr>
        <w:t>Original Incremental Facility Lenders</w:t>
      </w:r>
      <w:r>
        <w:rPr>
          <w:rFonts w:ascii="Times New Roman" w:cs="Times New Roman" w:eastAsia="Times New Roman" w:hAnsi="Times New Roman"/>
          <w:sz w:val="17"/>
          <w:szCs w:val="17"/>
          <w:color w:val="auto"/>
        </w:rPr>
        <w:t>”) that have agreed to provide the Relevant Incremental Facility,</w:t>
      </w:r>
    </w:p>
    <w:p>
      <w:pPr>
        <w:spacing w:after="0" w:line="39"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7"/>
          <w:szCs w:val="17"/>
          <w:color w:val="auto"/>
        </w:rPr>
        <w:t>and the Agent shall promptly notify all of the Lenders and such Additional Lenders of the same.</w:t>
      </w:r>
    </w:p>
    <w:p>
      <w:pPr>
        <w:spacing w:after="0" w:line="131" w:lineRule="exact"/>
        <w:rPr>
          <w:sz w:val="20"/>
          <w:szCs w:val="20"/>
          <w:color w:val="auto"/>
        </w:rPr>
      </w:pPr>
    </w:p>
    <w:p>
      <w:pPr>
        <w:ind w:left="523" w:right="80" w:hanging="523"/>
        <w:spacing w:after="0" w:line="259" w:lineRule="auto"/>
        <w:tabs>
          <w:tab w:leader="none" w:pos="523"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Additional Lender which has been selected by the Company to be an Original Incremental Facility Lender may accede to this Agreement as a Lender by duly completing and signing an Incremental Lender Accession Deed prior to making available its Incremental Facility Commitments and the Agent shall only be obliged to execute the relevant Incremental Lender Accession Deed delivered to it by an Additional Lender once it is satisfied that it has complied with all necessary “know-your-customer” checks or other similar checks under all applicable laws and regulations in relation to such Additional Lender and at any time thereafter such Additional Lender shall be treated as a Lender for the purposes of this Agreement. Each Party irrevocably authorises and instructs the Agent to execute any Incremental Lender Accession Deed on its behalf. By executing an Incremental Lender Accession Deed, the Additional Lender agrees to become a Lender and a Party to this Agreement. On the date that the Agent executes an Incremental Lender Accession Deed, the relevant Additional Lender, each Finance Party and the Company shall assume obligations towards one another and acquire rights against one another as that Additional Lender, the Finance Parties and the Company would have acquired and assumed had that Additional Lender been an Original Lender with the rights and obligations acquired or assumed by it as a result of its accession and the relevant Additional Lender shall become a Party as a Lender. Clause 26.4 (</w:t>
      </w:r>
      <w:r>
        <w:rPr>
          <w:rFonts w:ascii="Times New Roman" w:cs="Times New Roman" w:eastAsia="Times New Roman" w:hAnsi="Times New Roman"/>
          <w:sz w:val="17"/>
          <w:szCs w:val="17"/>
          <w:i w:val="1"/>
          <w:iCs w:val="1"/>
          <w:color w:val="auto"/>
        </w:rPr>
        <w:t>Limitation of responsibility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Existing Lenders</w:t>
      </w:r>
      <w:r>
        <w:rPr>
          <w:rFonts w:ascii="Times New Roman" w:cs="Times New Roman" w:eastAsia="Times New Roman" w:hAnsi="Times New Roman"/>
          <w:sz w:val="17"/>
          <w:szCs w:val="17"/>
          <w:color w:val="auto"/>
        </w:rPr>
        <w:t>) shall apply</w:t>
      </w:r>
      <w:r>
        <w:rPr>
          <w:rFonts w:ascii="Times New Roman" w:cs="Times New Roman" w:eastAsia="Times New Roman" w:hAnsi="Times New Roman"/>
          <w:sz w:val="17"/>
          <w:szCs w:val="17"/>
          <w:i w:val="1"/>
          <w:iCs w:val="1"/>
          <w:color w:val="auto"/>
        </w:rPr>
        <w:t xml:space="preserve"> mutatis mutandis </w:t>
      </w:r>
      <w:r>
        <w:rPr>
          <w:rFonts w:ascii="Times New Roman" w:cs="Times New Roman" w:eastAsia="Times New Roman" w:hAnsi="Times New Roman"/>
          <w:sz w:val="17"/>
          <w:szCs w:val="17"/>
          <w:color w:val="auto"/>
        </w:rPr>
        <w:t>in this Clause 7 in relation to an Additional Lender as if references in that Clause to:</w:t>
      </w:r>
    </w:p>
    <w:p>
      <w:pPr>
        <w:spacing w:after="0" w:line="9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were references to all the Lenders immediately prior to the relevant increase;</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 were references to that Additional Lender; and</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re-transfer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re-assignment</w:t>
      </w:r>
      <w:r>
        <w:rPr>
          <w:rFonts w:ascii="Times New Roman" w:cs="Times New Roman" w:eastAsia="Times New Roman" w:hAnsi="Times New Roman"/>
          <w:sz w:val="17"/>
          <w:szCs w:val="17"/>
          <w:color w:val="auto"/>
        </w:rPr>
        <w:t>” were references to, respectively,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w:t>
      </w:r>
    </w:p>
    <w:p>
      <w:pPr>
        <w:spacing w:after="0" w:line="159"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54" w:name="page355"/>
    <w:bookmarkEnd w:id="354"/>
    <w:p>
      <w:pPr>
        <w:ind w:left="523" w:right="480" w:hanging="523"/>
        <w:spacing w:after="0" w:line="295" w:lineRule="auto"/>
        <w:tabs>
          <w:tab w:leader="none" w:pos="523"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making available of any Incremental Facility will not require the consent of any Lender other than the Original Incremental Facility Lenders that are participating in such Incremental Facility.</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Incremental Facility shall not be established under this Clause 7 and made available unless:</w:t>
      </w:r>
    </w:p>
    <w:p>
      <w:pPr>
        <w:spacing w:after="0" w:line="131" w:lineRule="exact"/>
        <w:rPr>
          <w:rFonts w:ascii="Times New Roman" w:cs="Times New Roman" w:eastAsia="Times New Roman" w:hAnsi="Times New Roman"/>
          <w:sz w:val="17"/>
          <w:szCs w:val="17"/>
          <w:color w:val="auto"/>
        </w:rPr>
      </w:pPr>
    </w:p>
    <w:p>
      <w:pPr>
        <w:ind w:left="1143" w:right="380" w:hanging="620"/>
        <w:spacing w:after="0" w:line="295" w:lineRule="auto"/>
        <w:tabs>
          <w:tab w:leader="none" w:pos="1143"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and each Subsidiary Guarantor has received a notice in respect of that Incremental Facility from the Company pursuant to paragraph (g) above;</w:t>
      </w:r>
    </w:p>
    <w:p>
      <w:pPr>
        <w:spacing w:after="0" w:line="55" w:lineRule="exact"/>
        <w:rPr>
          <w:rFonts w:ascii="Times New Roman" w:cs="Times New Roman" w:eastAsia="Times New Roman" w:hAnsi="Times New Roman"/>
          <w:sz w:val="17"/>
          <w:szCs w:val="17"/>
          <w:color w:val="auto"/>
        </w:rPr>
      </w:pPr>
    </w:p>
    <w:p>
      <w:pPr>
        <w:ind w:left="1143" w:right="740" w:hanging="620"/>
        <w:spacing w:after="0" w:line="295" w:lineRule="auto"/>
        <w:tabs>
          <w:tab w:leader="none" w:pos="1143"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executed an Incremental Lender Accession Deed respect of each Additional Lender in respect of that Incremental Facility;</w:t>
      </w:r>
    </w:p>
    <w:p>
      <w:pPr>
        <w:spacing w:after="0" w:line="53"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that Incremental Facility do not conflict with Clause 7.3 (</w:t>
      </w:r>
      <w:r>
        <w:rPr>
          <w:rFonts w:ascii="Times New Roman" w:cs="Times New Roman" w:eastAsia="Times New Roman" w:hAnsi="Times New Roman"/>
          <w:sz w:val="17"/>
          <w:szCs w:val="17"/>
          <w:i w:val="1"/>
          <w:iCs w:val="1"/>
          <w:color w:val="auto"/>
        </w:rPr>
        <w:t>Terms of Incremental Facilities</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1143" w:right="400" w:hanging="620"/>
        <w:spacing w:after="0" w:line="276" w:lineRule="auto"/>
        <w:tabs>
          <w:tab w:leader="none" w:pos="1143"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of (I) the principal amount of such Incremental Facility and (II) the principal amounts of such other Incremental Facilities established from time to time (and without regard to any cancellations of any Incremental Facility Commitments) under this Clause 7.2 does not exceed the Incremental Facility Limit;</w:t>
      </w:r>
    </w:p>
    <w:p>
      <w:pPr>
        <w:spacing w:after="0" w:line="70"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w:t>
      </w:r>
    </w:p>
    <w:p>
      <w:pPr>
        <w:spacing w:after="0" w:line="131"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from the Company confirming that:</w:t>
      </w:r>
    </w:p>
    <w:p>
      <w:pPr>
        <w:spacing w:after="0" w:line="131" w:lineRule="exact"/>
        <w:rPr>
          <w:rFonts w:ascii="Times New Roman" w:cs="Times New Roman" w:eastAsia="Times New Roman" w:hAnsi="Times New Roman"/>
          <w:sz w:val="17"/>
          <w:szCs w:val="17"/>
          <w:color w:val="auto"/>
        </w:rPr>
      </w:pPr>
    </w:p>
    <w:p>
      <w:pPr>
        <w:ind w:left="2323" w:right="60" w:hanging="624"/>
        <w:spacing w:after="0" w:line="263" w:lineRule="auto"/>
        <w:tabs>
          <w:tab w:leader="none" w:pos="2323" w:val="left"/>
        </w:tabs>
        <w:numPr>
          <w:ilvl w:val="4"/>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satisfaction of the Majority Lenders, acting reasonably) Senior Leverage, Total Leverage and Interest Cover for the Most Recent Relevant Period (in respect of the anticipated Incremental Facility Establishment Date), in each case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giving effect to the incurrence and utilisation of the Initial Facility and such Incremental Facility in full, would not exceed (or in the case of Interest Cover, would not be less than) the applicable ratio set forth opposite the Test Date for that Most Recent Relevant Period in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setting out (in reasonable detail) computations of such compliance and signed by and Authorised Representative; and</w:t>
      </w:r>
    </w:p>
    <w:p>
      <w:pPr>
        <w:spacing w:after="0" w:line="81" w:lineRule="exact"/>
        <w:rPr>
          <w:rFonts w:ascii="Times New Roman" w:cs="Times New Roman" w:eastAsia="Times New Roman" w:hAnsi="Times New Roman"/>
          <w:sz w:val="17"/>
          <w:szCs w:val="17"/>
          <w:color w:val="auto"/>
        </w:rPr>
      </w:pPr>
    </w:p>
    <w:p>
      <w:pPr>
        <w:ind w:left="2323" w:right="60" w:hanging="624"/>
        <w:spacing w:after="0" w:line="288" w:lineRule="auto"/>
        <w:tabs>
          <w:tab w:leader="none" w:pos="2323" w:val="left"/>
        </w:tabs>
        <w:numPr>
          <w:ilvl w:val="4"/>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(including without limitation any upfront or arrangement fees), costs and expenses due to the Original Incremental Facility Lenders in connection with the relevant Incremental Facility have been or will be paid;</w:t>
      </w:r>
    </w:p>
    <w:p>
      <w:pPr>
        <w:spacing w:after="0" w:line="275" w:lineRule="exact"/>
        <w:rPr>
          <w:rFonts w:ascii="Times New Roman" w:cs="Times New Roman" w:eastAsia="Times New Roman" w:hAnsi="Times New Roman"/>
          <w:sz w:val="17"/>
          <w:szCs w:val="17"/>
          <w:color w:val="auto"/>
        </w:rPr>
      </w:pPr>
    </w:p>
    <w:p>
      <w:pPr>
        <w:ind w:left="1683" w:right="40" w:hanging="520"/>
        <w:spacing w:after="0" w:line="267" w:lineRule="auto"/>
        <w:tabs>
          <w:tab w:leader="none" w:pos="1683" w:val="left"/>
        </w:tabs>
        <w:numPr>
          <w:ilvl w:val="2"/>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authorisation from each Original Incremental Facility Lender confirming (x) the Commitments it agrees to provide under the Incremental Facility on the terms of the applicable Incremental Facility Notice and this Agreement,</w:t>
      </w:r>
    </w:p>
    <w:p>
      <w:pPr>
        <w:spacing w:after="0" w:line="1" w:lineRule="exact"/>
        <w:rPr>
          <w:rFonts w:ascii="Times New Roman" w:cs="Times New Roman" w:eastAsia="Times New Roman" w:hAnsi="Times New Roman"/>
          <w:sz w:val="17"/>
          <w:szCs w:val="17"/>
          <w:color w:val="auto"/>
        </w:rPr>
      </w:pPr>
    </w:p>
    <w:p>
      <w:pPr>
        <w:ind w:left="1683" w:right="520" w:firstLine="3"/>
        <w:spacing w:after="0" w:line="273" w:lineRule="auto"/>
        <w:tabs>
          <w:tab w:leader="none" w:pos="1930" w:val="left"/>
        </w:tabs>
        <w:numPr>
          <w:ilvl w:val="3"/>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is not a member of the Group or a Sponsor Affiliate and (z) that the Agent may establish the relevant Incremental Facility and its Commitments under that Incremental Facility on its behalf;</w:t>
      </w:r>
    </w:p>
    <w:p>
      <w:pPr>
        <w:spacing w:after="0" w:line="72" w:lineRule="exact"/>
        <w:rPr>
          <w:rFonts w:ascii="Times New Roman" w:cs="Times New Roman" w:eastAsia="Times New Roman" w:hAnsi="Times New Roman"/>
          <w:sz w:val="17"/>
          <w:szCs w:val="17"/>
          <w:color w:val="auto"/>
        </w:rPr>
      </w:pPr>
    </w:p>
    <w:p>
      <w:pPr>
        <w:ind w:left="1683" w:right="240" w:hanging="520"/>
        <w:spacing w:after="0" w:line="295" w:lineRule="auto"/>
        <w:tabs>
          <w:tab w:leader="none" w:pos="1683" w:val="left"/>
        </w:tabs>
        <w:numPr>
          <w:ilvl w:val="2"/>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customary legal opinions (at the cost of the Company) in form and substance satisfactory to the Agent (acting reasonably on the instructions of the Majority Lenders) and any documents required in connection therewith;</w:t>
      </w:r>
    </w:p>
    <w:p>
      <w:pPr>
        <w:spacing w:after="0" w:line="81"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55" w:name="page356"/>
    <w:bookmarkEnd w:id="355"/>
    <w:p>
      <w:pPr>
        <w:ind w:left="2420" w:right="580" w:hanging="520"/>
        <w:spacing w:after="0" w:line="269" w:lineRule="auto"/>
        <w:tabs>
          <w:tab w:leader="none" w:pos="2420" w:val="left"/>
        </w:tabs>
        <w:numPr>
          <w:ilvl w:val="2"/>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(at the cost of the Company) all agreements, deeds, acknowledgements, confirmations, amendments or other instruments required for the maintenance of the guarantees provided by Melco Resorts Macau, in each case in connection with the relevant Incremental Facility and in form and substance satisfactory to the Agent (acting reasonably);</w:t>
      </w:r>
    </w:p>
    <w:p>
      <w:pPr>
        <w:spacing w:after="0" w:line="77" w:lineRule="exact"/>
        <w:rPr>
          <w:rFonts w:ascii="Times New Roman" w:cs="Times New Roman" w:eastAsia="Times New Roman" w:hAnsi="Times New Roman"/>
          <w:sz w:val="17"/>
          <w:szCs w:val="17"/>
          <w:color w:val="auto"/>
        </w:rPr>
      </w:pPr>
    </w:p>
    <w:p>
      <w:pPr>
        <w:ind w:left="2420" w:right="60" w:hanging="520"/>
        <w:spacing w:after="0" w:line="266" w:lineRule="auto"/>
        <w:tabs>
          <w:tab w:leader="none" w:pos="2420" w:val="left"/>
        </w:tabs>
        <w:numPr>
          <w:ilvl w:val="2"/>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evidence in form and substance satisfactory to the Agent (acting reasonably) that any Authorisation required from a Governmental Authority (including of the government of Macau SAR) for the purposes of incurring Financial Indebtedness under an Incremental Facility or the extension of any Subsidiary Guarantee in connection with such Financial Indebtedness has been obtained or (y) advice from Macanese counsel that no such Authorisations are required from any Governmental Authority;</w:t>
      </w:r>
    </w:p>
    <w:p>
      <w:pPr>
        <w:spacing w:after="0" w:line="79" w:lineRule="exact"/>
        <w:rPr>
          <w:rFonts w:ascii="Times New Roman" w:cs="Times New Roman" w:eastAsia="Times New Roman" w:hAnsi="Times New Roman"/>
          <w:sz w:val="17"/>
          <w:szCs w:val="17"/>
          <w:color w:val="auto"/>
        </w:rPr>
      </w:pPr>
    </w:p>
    <w:p>
      <w:pPr>
        <w:ind w:left="1880" w:right="400" w:hanging="620"/>
        <w:spacing w:after="0" w:line="295" w:lineRule="auto"/>
        <w:tabs>
          <w:tab w:leader="none" w:pos="1880"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specified maximum number of Loans that may be outstanding under the Relevant Incremental Facility at any time is acceptable to the Agent (acting reasonably); and</w:t>
      </w:r>
    </w:p>
    <w:p>
      <w:pPr>
        <w:spacing w:after="0" w:line="55" w:lineRule="exact"/>
        <w:rPr>
          <w:rFonts w:ascii="Times New Roman" w:cs="Times New Roman" w:eastAsia="Times New Roman" w:hAnsi="Times New Roman"/>
          <w:sz w:val="17"/>
          <w:szCs w:val="17"/>
          <w:color w:val="auto"/>
        </w:rPr>
      </w:pPr>
    </w:p>
    <w:p>
      <w:pPr>
        <w:ind w:left="1880" w:right="20" w:hanging="620"/>
        <w:spacing w:after="0" w:line="295" w:lineRule="auto"/>
        <w:tabs>
          <w:tab w:leader="none" w:pos="1880"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is continuing at the time of, or would arise as a result of, the establishment and utilisation of the Relevant Incremental Facility.</w:t>
      </w:r>
    </w:p>
    <w:p>
      <w:pPr>
        <w:spacing w:after="0" w:line="55" w:lineRule="exact"/>
        <w:rPr>
          <w:rFonts w:ascii="Times New Roman" w:cs="Times New Roman" w:eastAsia="Times New Roman" w:hAnsi="Times New Roman"/>
          <w:sz w:val="17"/>
          <w:szCs w:val="17"/>
          <w:color w:val="auto"/>
        </w:rPr>
      </w:pPr>
    </w:p>
    <w:p>
      <w:pPr>
        <w:ind w:left="1260" w:right="160" w:hanging="523"/>
        <w:spacing w:after="0" w:line="262" w:lineRule="auto"/>
        <w:tabs>
          <w:tab w:leader="none" w:pos="1260"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conditions of this Clause 7.2 being met in respect of an Incremental Facility, the Agent shall (at the cost of the Company) establish that Incremental Facility and the Commitments of each Original Incremental Facility Lender in respect of that Incremental Facility by way of written notice to the Company, which Incremental Facility and Commitments shall commence on the Agent’s receipt of the Company’s written countersignature to such notice (the date of such receipt by the Agent, the “</w:t>
      </w:r>
      <w:r>
        <w:rPr>
          <w:rFonts w:ascii="Times New Roman" w:cs="Times New Roman" w:eastAsia="Times New Roman" w:hAnsi="Times New Roman"/>
          <w:sz w:val="17"/>
          <w:szCs w:val="17"/>
          <w:b w:val="1"/>
          <w:bCs w:val="1"/>
          <w:color w:val="auto"/>
        </w:rPr>
        <w:t>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Facility Establishment Date</w:t>
      </w:r>
      <w:r>
        <w:rPr>
          <w:rFonts w:ascii="Times New Roman" w:cs="Times New Roman" w:eastAsia="Times New Roman" w:hAnsi="Times New Roman"/>
          <w:sz w:val="17"/>
          <w:szCs w:val="17"/>
          <w:color w:val="auto"/>
        </w:rPr>
        <w:t>” in respect of that Incremental Facility). Each Original Incremental Facility Lender in respect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Incremental Facility shall make available its Commitments under the Incremental Facility on and from the Incremental Facility Establishment Date for that Incremental Facility on the terms of this Agreement and any Incremental Facility Document relating to that Incremental Facility. The Commitments of the other Lenders shall continue in full force and effect.</w:t>
      </w:r>
    </w:p>
    <w:p>
      <w:pPr>
        <w:spacing w:after="0" w:line="31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Terms of Incremental Facilities</w:t>
      </w:r>
    </w:p>
    <w:p>
      <w:pPr>
        <w:spacing w:after="0" w:line="133" w:lineRule="exact"/>
        <w:rPr>
          <w:sz w:val="20"/>
          <w:szCs w:val="20"/>
          <w:color w:val="auto"/>
        </w:rPr>
      </w:pPr>
    </w:p>
    <w:p>
      <w:pPr>
        <w:ind w:left="1260" w:right="60" w:hanging="523"/>
        <w:spacing w:after="0" w:line="295" w:lineRule="auto"/>
        <w:tabs>
          <w:tab w:leader="none" w:pos="126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the terms of any Incremental Facility will be those agreed by the Original Incremental Facility Lenders and the Company.</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Term Loan Facility:</w:t>
      </w:r>
    </w:p>
    <w:p>
      <w:pPr>
        <w:spacing w:after="0" w:line="131" w:lineRule="exact"/>
        <w:rPr>
          <w:rFonts w:ascii="Times New Roman" w:cs="Times New Roman" w:eastAsia="Times New Roman" w:hAnsi="Times New Roman"/>
          <w:sz w:val="17"/>
          <w:szCs w:val="17"/>
          <w:color w:val="auto"/>
        </w:rPr>
      </w:pPr>
    </w:p>
    <w:p>
      <w:pPr>
        <w:ind w:left="1880" w:right="260" w:hanging="620"/>
        <w:spacing w:after="0" w:line="295" w:lineRule="auto"/>
        <w:tabs>
          <w:tab w:leader="none" w:pos="188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have Incremental Term Loan Facility Commitments of a minimum Base Currency Amount of HKD1,000,000 and an integral multiple of HKD1,000,000;</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have a Termination Date that is earlier than the Termination Date in relation to the Initial Facility;</w:t>
      </w:r>
    </w:p>
    <w:p>
      <w:pPr>
        <w:spacing w:after="0" w:line="131" w:lineRule="exact"/>
        <w:rPr>
          <w:rFonts w:ascii="Times New Roman" w:cs="Times New Roman" w:eastAsia="Times New Roman" w:hAnsi="Times New Roman"/>
          <w:sz w:val="17"/>
          <w:szCs w:val="17"/>
          <w:color w:val="auto"/>
        </w:rPr>
      </w:pPr>
    </w:p>
    <w:p>
      <w:pPr>
        <w:ind w:left="1880" w:right="40" w:hanging="620"/>
        <w:spacing w:after="0" w:line="295" w:lineRule="auto"/>
        <w:tabs>
          <w:tab w:leader="none" w:pos="188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amortising, the weighted average life of such Incremental Term Loan Facility may not be shorter than the remaining period to the Termination Date in relation to the Initial Facility;</w:t>
      </w:r>
    </w:p>
    <w:p>
      <w:pPr>
        <w:spacing w:after="0" w:line="5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and priority of payment with the Initial Facility;</w:t>
      </w:r>
    </w:p>
    <w:p>
      <w:pPr>
        <w:spacing w:after="0" w:line="133" w:lineRule="exact"/>
        <w:rPr>
          <w:rFonts w:ascii="Times New Roman" w:cs="Times New Roman" w:eastAsia="Times New Roman" w:hAnsi="Times New Roman"/>
          <w:sz w:val="17"/>
          <w:szCs w:val="17"/>
          <w:color w:val="auto"/>
        </w:rPr>
      </w:pPr>
    </w:p>
    <w:p>
      <w:pPr>
        <w:ind w:left="1880" w:right="240" w:hanging="620"/>
        <w:spacing w:after="0" w:line="295" w:lineRule="auto"/>
        <w:tabs>
          <w:tab w:leader="none" w:pos="188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have the benefit of any guarantee or Security which is not extended rateably and equally to the Lenders under the Initial Facility;</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56" w:name="page357"/>
    <w:bookmarkEnd w:id="356"/>
    <w:p>
      <w:pPr>
        <w:ind w:left="1143" w:right="340" w:hanging="620"/>
        <w:spacing w:after="0" w:line="276" w:lineRule="auto"/>
        <w:tabs>
          <w:tab w:leader="none" w:pos="1143"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shall not contain more onerous financial or other undertakings, representations, events of default and terms of mandatory prepayment than those applicable to the Initial Facility,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shall not restrict any additional availability conditions being imposed under the relevant Incremental Facility; and</w:t>
      </w:r>
    </w:p>
    <w:p>
      <w:pPr>
        <w:spacing w:after="0" w:line="70" w:lineRule="exact"/>
        <w:rPr>
          <w:rFonts w:ascii="Times New Roman" w:cs="Times New Roman" w:eastAsia="Times New Roman" w:hAnsi="Times New Roman"/>
          <w:sz w:val="17"/>
          <w:szCs w:val="17"/>
          <w:color w:val="auto"/>
        </w:rPr>
      </w:pPr>
    </w:p>
    <w:p>
      <w:pPr>
        <w:ind w:left="1143" w:right="40" w:hanging="620"/>
        <w:spacing w:after="0" w:line="266" w:lineRule="auto"/>
        <w:tabs>
          <w:tab w:leader="none" w:pos="1143"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Incremental Term Loan Facility established on or before the date falling 12 Months after the date of this Agreement) shall not have a Yield higher than the Yield then applicable to the Initial Facility, unless the Margin applicable to the Initial Facility (at each ratchet level) is adjusted (or the Company agrees to pay such other amounts and at such other times agreeable to all of the Initial Facility Lenders, acting reasonably) by an amount to remove any difference between such Yields (a “</w:t>
      </w:r>
      <w:r>
        <w:rPr>
          <w:rFonts w:ascii="Times New Roman" w:cs="Times New Roman" w:eastAsia="Times New Roman" w:hAnsi="Times New Roman"/>
          <w:sz w:val="17"/>
          <w:szCs w:val="17"/>
          <w:b w:val="1"/>
          <w:bCs w:val="1"/>
          <w:color w:val="auto"/>
        </w:rPr>
        <w:t>Margin Increase</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543" w:right="160"/>
        <w:spacing w:after="0" w:line="269" w:lineRule="auto"/>
        <w:rPr>
          <w:sz w:val="20"/>
          <w:szCs w:val="20"/>
          <w:color w:val="auto"/>
        </w:rPr>
      </w:pPr>
      <w:r>
        <w:rPr>
          <w:rFonts w:ascii="Times New Roman" w:cs="Times New Roman" w:eastAsia="Times New Roman" w:hAnsi="Times New Roman"/>
          <w:sz w:val="17"/>
          <w:szCs w:val="17"/>
          <w:color w:val="auto"/>
        </w:rPr>
        <w:t>except (A) with the consent of all the Lenders under the Initial Facility (B) (in the case of paragraphs (v) to (vii) above) where the additional benefit of such term is also extended to the Initial Facility Lenders and the Agent is hereby authorised by the Lenders to execute such documents the Agent reasonably considers necessary or appropriate to effect such amendments to extend the benefit of such terms to such Lenders.</w:t>
      </w:r>
    </w:p>
    <w:p>
      <w:pPr>
        <w:spacing w:after="0" w:line="78" w:lineRule="exact"/>
        <w:rPr>
          <w:sz w:val="20"/>
          <w:szCs w:val="20"/>
          <w:color w:val="auto"/>
        </w:rPr>
      </w:pPr>
    </w:p>
    <w:p>
      <w:pPr>
        <w:ind w:left="523" w:hanging="523"/>
        <w:spacing w:after="0"/>
        <w:tabs>
          <w:tab w:leader="none" w:pos="523"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Revolving Credit Facility:</w:t>
      </w:r>
    </w:p>
    <w:p>
      <w:pPr>
        <w:spacing w:after="0" w:line="131" w:lineRule="exact"/>
        <w:rPr>
          <w:rFonts w:ascii="Times New Roman" w:cs="Times New Roman" w:eastAsia="Times New Roman" w:hAnsi="Times New Roman"/>
          <w:sz w:val="17"/>
          <w:szCs w:val="17"/>
          <w:color w:val="auto"/>
        </w:rPr>
      </w:pPr>
    </w:p>
    <w:p>
      <w:pPr>
        <w:ind w:left="1143" w:right="20" w:hanging="620"/>
        <w:spacing w:after="0" w:line="295" w:lineRule="auto"/>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have Incremental Revolving Credit Facility Commitments of a minimum Base Currency Amount of HKD1,000,000 and an integral multiple of HKD1,000,000;</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have a Termination Date that is earlier than the Termination Date in relation to the Initial Facility;</w:t>
      </w:r>
    </w:p>
    <w:p>
      <w:pPr>
        <w:spacing w:after="0" w:line="129"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and priority of payment with the Initial Facility;</w:t>
      </w:r>
    </w:p>
    <w:p>
      <w:pPr>
        <w:spacing w:after="0" w:line="133" w:lineRule="exact"/>
        <w:rPr>
          <w:rFonts w:ascii="Times New Roman" w:cs="Times New Roman" w:eastAsia="Times New Roman" w:hAnsi="Times New Roman"/>
          <w:sz w:val="17"/>
          <w:szCs w:val="17"/>
          <w:color w:val="auto"/>
        </w:rPr>
      </w:pPr>
    </w:p>
    <w:p>
      <w:pPr>
        <w:ind w:left="1143" w:right="240" w:hanging="620"/>
        <w:spacing w:after="0" w:line="295" w:lineRule="auto"/>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have the benefit of any guarantee or Security which is not extended rateably and equally to the Lenders under the Initial Facility;</w:t>
      </w:r>
    </w:p>
    <w:p>
      <w:pPr>
        <w:spacing w:after="0" w:line="55" w:lineRule="exact"/>
        <w:rPr>
          <w:rFonts w:ascii="Times New Roman" w:cs="Times New Roman" w:eastAsia="Times New Roman" w:hAnsi="Times New Roman"/>
          <w:sz w:val="17"/>
          <w:szCs w:val="17"/>
          <w:color w:val="auto"/>
        </w:rPr>
      </w:pPr>
    </w:p>
    <w:p>
      <w:pPr>
        <w:ind w:left="1143" w:right="340" w:hanging="620"/>
        <w:spacing w:after="0" w:line="276" w:lineRule="auto"/>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contain more onerous financial or other undertakings, representations, events of default and terms of mandatory prepayment than those applicable to the Initial Facility,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shall not restrict any additional availability conditions being imposed under the relevant Incremental Facility;</w:t>
      </w:r>
    </w:p>
    <w:p>
      <w:pPr>
        <w:spacing w:after="0" w:line="70" w:lineRule="exact"/>
        <w:rPr>
          <w:rFonts w:ascii="Times New Roman" w:cs="Times New Roman" w:eastAsia="Times New Roman" w:hAnsi="Times New Roman"/>
          <w:sz w:val="17"/>
          <w:szCs w:val="17"/>
          <w:color w:val="auto"/>
        </w:rPr>
      </w:pPr>
    </w:p>
    <w:p>
      <w:pPr>
        <w:ind w:left="1143" w:right="20" w:hanging="620"/>
        <w:spacing w:after="0" w:line="266" w:lineRule="auto"/>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Incremental Revolving Credit Facility established on or before the date falling 12 Months after the date of this Agreement) shall not have a Yield higher than the Yield then applicable to the Initial Facility, unless the Margin applicable to the Initial Facility (at each ratchet level) is adjusted (or the Company agrees to pay such other amounts and at such other times agreeable to all of the Initial Facility Lenders, acting reasonably) by an amount to remove any difference between such Yields (a “</w:t>
      </w:r>
      <w:r>
        <w:rPr>
          <w:rFonts w:ascii="Times New Roman" w:cs="Times New Roman" w:eastAsia="Times New Roman" w:hAnsi="Times New Roman"/>
          <w:sz w:val="17"/>
          <w:szCs w:val="17"/>
          <w:b w:val="1"/>
          <w:bCs w:val="1"/>
          <w:color w:val="auto"/>
        </w:rPr>
        <w:t>Margin Increase</w:t>
      </w:r>
      <w:r>
        <w:rPr>
          <w:rFonts w:ascii="Times New Roman" w:cs="Times New Roman" w:eastAsia="Times New Roman" w:hAnsi="Times New Roman"/>
          <w:sz w:val="17"/>
          <w:szCs w:val="17"/>
          <w:color w:val="auto"/>
        </w:rPr>
        <w:t>”); and</w:t>
      </w:r>
    </w:p>
    <w:p>
      <w:pPr>
        <w:spacing w:after="0" w:line="79" w:lineRule="exact"/>
        <w:rPr>
          <w:rFonts w:ascii="Times New Roman" w:cs="Times New Roman" w:eastAsia="Times New Roman" w:hAnsi="Times New Roman"/>
          <w:sz w:val="17"/>
          <w:szCs w:val="17"/>
          <w:color w:val="auto"/>
        </w:rPr>
      </w:pPr>
    </w:p>
    <w:p>
      <w:pPr>
        <w:ind w:left="1143" w:right="120" w:hanging="620"/>
        <w:spacing w:after="0" w:line="261" w:lineRule="auto"/>
        <w:tabs>
          <w:tab w:leader="none" w:pos="1143"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may provide for fees applicable to such Incremental Revolving Credit Facility as agreed by the Company and the relevant Lenders thereunder,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percentage that such fees represent as a proportion of the relevant Incremental Revolving Credit Facility exceeds the percentage used to calculate the corresponding fees payable to the Lenders in respect of the Initial Facility (such excess being the “</w:t>
      </w:r>
      <w:r>
        <w:rPr>
          <w:rFonts w:ascii="Times New Roman" w:cs="Times New Roman" w:eastAsia="Times New Roman" w:hAnsi="Times New Roman"/>
          <w:sz w:val="17"/>
          <w:szCs w:val="17"/>
          <w:b w:val="1"/>
          <w:bCs w:val="1"/>
          <w:color w:val="auto"/>
        </w:rPr>
        <w:t>Applicable Rate</w:t>
      </w:r>
      <w:r>
        <w:rPr>
          <w:rFonts w:ascii="Times New Roman" w:cs="Times New Roman" w:eastAsia="Times New Roman" w:hAnsi="Times New Roman"/>
          <w:sz w:val="17"/>
          <w:szCs w:val="17"/>
          <w:color w:val="auto"/>
        </w:rPr>
        <w:t xml:space="preserve">”), the Company shall prior to the establishment of such Incremental Revolving Credit Facility agree to pay to the Agent for the account of the Lenders under the Initial Facility on a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basis, amounts from time to time (as applicable) equal to the Applicable Rate of the Initial Facility Commitments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that such fees shall exclude arrangement fees, structuring fees or underwriting or similar fees paid to arrangers for such Incremental Revolving Credit Facility Commitments that are not generally shared with the relevant Lenders and any customary consent fees paid generally to consenting Original Incremental Facility Lenders),</w:t>
      </w:r>
    </w:p>
    <w:p>
      <w:pPr>
        <w:spacing w:after="0" w:line="112"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357" w:name="page358"/>
    <w:bookmarkEnd w:id="357"/>
    <w:p>
      <w:pPr>
        <w:ind w:left="1280"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except (A) with the consent of all the Lenders under the Initial Facility or (B) (in the case of paragraph (iii) to (vii) above), where the additional benefit of such term is also extended to the Lenders under the Initial Facility and the Agent is hereby authorised by the Lenders and to execute such documents the Agent reasonably considers necessary to effect such amendments to extend the benefit of such terms to such Lenders.</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133" w:lineRule="exact"/>
        <w:rPr>
          <w:sz w:val="20"/>
          <w:szCs w:val="20"/>
          <w:color w:val="auto"/>
        </w:rPr>
      </w:pPr>
    </w:p>
    <w:p>
      <w:pPr>
        <w:ind w:left="1260" w:right="80" w:hanging="523"/>
        <w:spacing w:after="0" w:line="266" w:lineRule="auto"/>
        <w:tabs>
          <w:tab w:leader="none" w:pos="126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but is not obliged to, for and on behalf of the Finance Parties, together with the Guarantors’ Agent, effect such amendments to this Agreement and the other Finance Documents as may be necessary or appropriate, in the reasonable opinion of the Agent, to give effect to the provisions of this Clause 7. Without prejudice to the foregoing, the Agent shall promptly upon the request of the Company enter into any amendment to any Finance Document to give effect to any Margin Increase (without any need for any further consent or instruction from any Finance Party).</w:t>
      </w:r>
    </w:p>
    <w:p>
      <w:pPr>
        <w:spacing w:after="0" w:line="79" w:lineRule="exact"/>
        <w:rPr>
          <w:rFonts w:ascii="Times New Roman" w:cs="Times New Roman" w:eastAsia="Times New Roman" w:hAnsi="Times New Roman"/>
          <w:sz w:val="17"/>
          <w:szCs w:val="17"/>
          <w:color w:val="auto"/>
        </w:rPr>
      </w:pPr>
    </w:p>
    <w:p>
      <w:pPr>
        <w:ind w:left="1260" w:right="280" w:hanging="523"/>
        <w:spacing w:after="0" w:line="269" w:lineRule="auto"/>
        <w:tabs>
          <w:tab w:leader="none" w:pos="126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Finance Party agrees and empowers the Agent to (and the Company shall promptly upon request by the Agent (acting reasonably)) execute (and procure that each Subsidiary Guarantor executes) any amendments to the Finance Documents as may be required or appropriate in order to ensure that any Incremental Facility Loans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Initial Facility and that each Subsidiary Guarantee extends to the Incremental Facilities.</w:t>
      </w:r>
    </w:p>
    <w:p>
      <w:pPr>
        <w:spacing w:after="0" w:line="77" w:lineRule="exact"/>
        <w:rPr>
          <w:rFonts w:ascii="Times New Roman" w:cs="Times New Roman" w:eastAsia="Times New Roman" w:hAnsi="Times New Roman"/>
          <w:sz w:val="17"/>
          <w:szCs w:val="17"/>
          <w:color w:val="auto"/>
        </w:rPr>
      </w:pPr>
    </w:p>
    <w:p>
      <w:pPr>
        <w:ind w:left="1260" w:right="80" w:hanging="523"/>
        <w:spacing w:after="0" w:line="295" w:lineRule="auto"/>
        <w:tabs>
          <w:tab w:leader="none" w:pos="126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is authorised by the Group to disclose the terms of any Incremental Facility Notice to any of the other Finance Parties and, upon request by the other Finance Parties, will promptly disclose such terms to the other Finance Parties.</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Agreement will apply to each Incremental Facility and the Incremental Facility Commitments.</w:t>
      </w:r>
    </w:p>
    <w:p>
      <w:pPr>
        <w:spacing w:after="0" w:line="131" w:lineRule="exact"/>
        <w:rPr>
          <w:rFonts w:ascii="Times New Roman" w:cs="Times New Roman" w:eastAsia="Times New Roman" w:hAnsi="Times New Roman"/>
          <w:sz w:val="17"/>
          <w:szCs w:val="17"/>
          <w:color w:val="auto"/>
        </w:rPr>
      </w:pPr>
    </w:p>
    <w:p>
      <w:pPr>
        <w:ind w:left="1260" w:right="120" w:hanging="523"/>
        <w:spacing w:after="0" w:line="266" w:lineRule="auto"/>
        <w:tabs>
          <w:tab w:leader="none" w:pos="126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Incremental Facility Notice containing conditions precedent or conditions subsequent in relation to the relevant Incremental Facility or any covenants relating to the purpose of such relevant Incremental Facility shall not, solely by virtue of such terms and conditions, be treated as not being substantially in the form set out in Schedule 8 (</w:t>
      </w:r>
      <w:r>
        <w:rPr>
          <w:rFonts w:ascii="Times New Roman" w:cs="Times New Roman" w:eastAsia="Times New Roman" w:hAnsi="Times New Roman"/>
          <w:sz w:val="17"/>
          <w:szCs w:val="17"/>
          <w:i w:val="1"/>
          <w:iCs w:val="1"/>
          <w:color w:val="auto"/>
        </w:rPr>
        <w:t>Form of Incremental Facility Notice</w:t>
      </w:r>
      <w:r>
        <w:rPr>
          <w:rFonts w:ascii="Times New Roman" w:cs="Times New Roman" w:eastAsia="Times New Roman" w:hAnsi="Times New Roman"/>
          <w:sz w:val="17"/>
          <w:szCs w:val="17"/>
          <w:color w:val="auto"/>
        </w:rPr>
        <w:t>) and any amendment or waiver of such terms shall require the consent of the requisite Lenders as specified in the relevant Incremental Facility Notice only.</w:t>
      </w:r>
    </w:p>
    <w:p>
      <w:pPr>
        <w:spacing w:after="0" w:line="78" w:lineRule="exact"/>
        <w:rPr>
          <w:sz w:val="20"/>
          <w:szCs w:val="20"/>
          <w:color w:val="auto"/>
        </w:rPr>
      </w:pPr>
    </w:p>
    <w:p>
      <w:pPr>
        <w:ind w:left="1260" w:right="80" w:hanging="523"/>
        <w:spacing w:after="0" w:line="261" w:lineRule="auto"/>
        <w:tabs>
          <w:tab w:leader="none" w:pos="1260"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Clause 7, “</w:t>
      </w:r>
      <w:r>
        <w:rPr>
          <w:rFonts w:ascii="Times New Roman" w:cs="Times New Roman" w:eastAsia="Times New Roman" w:hAnsi="Times New Roman"/>
          <w:sz w:val="17"/>
          <w:szCs w:val="17"/>
          <w:b w:val="1"/>
          <w:bCs w:val="1"/>
          <w:color w:val="auto"/>
        </w:rPr>
        <w:t>Yield</w:t>
      </w:r>
      <w:r>
        <w:rPr>
          <w:rFonts w:ascii="Times New Roman" w:cs="Times New Roman" w:eastAsia="Times New Roman" w:hAnsi="Times New Roman"/>
          <w:sz w:val="17"/>
          <w:szCs w:val="17"/>
          <w:color w:val="auto"/>
        </w:rPr>
        <w:t>” means, in relation to any Incremental Facility, the yield thereof, whether in the form of margin (including at each level in any margin ratchet grid), interest rate (excluding any component of an interest rate based on an interbank offer rate or, but, in the case of any Incremental Facility the rate of interest of which is not based on an interbank offer rate plus a margin, such rate of interest as reduced by an equivalent measure for an interbank offer rate as if one had applied (such reduction to be determined by the Company, acting reasonably), but in each case treating any interbank offer rate floor (or equivalent) as margin), original issue discount, upfront fees or otherwise, provided that (A) for the purposes of the calculation of Yield, any original issue discount or upfront fees shall be equated to interest rate on an assumed three year average life to maturity (with no present value discount), and (B) “Yield” shall not include arrangement fees, structuring fees or underwriting or similar fees paid to arrangers for such Incremental Facility Commitments that are not generally shared with the relevant Lenders and shall not include customary consent fees paid generally to consenting Original Incremental Facility Lenders.</w:t>
      </w:r>
    </w:p>
    <w:p>
      <w:pPr>
        <w:spacing w:after="0" w:line="11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58" w:name="page359"/>
    <w:bookmarkEnd w:id="358"/>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7.5</w:t>
      </w:r>
      <w:r>
        <w:rPr>
          <w:sz w:val="20"/>
          <w:szCs w:val="20"/>
          <w:color w:val="auto"/>
        </w:rPr>
        <w:tab/>
      </w:r>
      <w:r>
        <w:rPr>
          <w:rFonts w:ascii="Times New Roman" w:cs="Times New Roman" w:eastAsia="Times New Roman" w:hAnsi="Times New Roman"/>
          <w:sz w:val="17"/>
          <w:szCs w:val="17"/>
          <w:b w:val="1"/>
          <w:bCs w:val="1"/>
          <w:color w:val="auto"/>
        </w:rPr>
        <w:t>Repayment of Incremental Facility</w:t>
      </w:r>
    </w:p>
    <w:p>
      <w:pPr>
        <w:spacing w:after="0" w:line="120" w:lineRule="exact"/>
        <w:rPr>
          <w:sz w:val="20"/>
          <w:szCs w:val="20"/>
          <w:color w:val="auto"/>
        </w:rPr>
      </w:pPr>
    </w:p>
    <w:p>
      <w:pPr>
        <w:ind w:left="740" w:right="600"/>
        <w:spacing w:after="0" w:line="295" w:lineRule="auto"/>
        <w:rPr>
          <w:sz w:val="20"/>
          <w:szCs w:val="20"/>
          <w:color w:val="auto"/>
        </w:rPr>
      </w:pPr>
      <w:r>
        <w:rPr>
          <w:rFonts w:ascii="Times New Roman" w:cs="Times New Roman" w:eastAsia="Times New Roman" w:hAnsi="Times New Roman"/>
          <w:sz w:val="17"/>
          <w:szCs w:val="17"/>
          <w:color w:val="auto"/>
        </w:rPr>
        <w:t>If an Incremental Facility expires in accordance with its terms the Incremental Facility Commitments of the Lenders in respect of that Incremental Facility shall be reduced to zero.</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Amendments and waivers – Incremental Facilities</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 amendment or waiver of a term of any Incremental Facility (other than an Incremental Facility Increase) shall require the consent of any</w:t>
      </w:r>
    </w:p>
    <w:p>
      <w:pPr>
        <w:spacing w:after="0" w:line="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 xml:space="preserve">Finance Party other than the Lenders in respect of that Incremental Facility,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13" w:lineRule="exact"/>
        <w:rPr>
          <w:sz w:val="20"/>
          <w:szCs w:val="20"/>
          <w:color w:val="auto"/>
        </w:rPr>
      </w:pPr>
    </w:p>
    <w:p>
      <w:pPr>
        <w:ind w:left="1260" w:hanging="523"/>
        <w:spacing w:after="0"/>
        <w:tabs>
          <w:tab w:leader="none" w:pos="126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waiver of this Clause 7; or</w:t>
      </w:r>
    </w:p>
    <w:p>
      <w:pPr>
        <w:spacing w:after="0" w:line="131" w:lineRule="exact"/>
        <w:rPr>
          <w:rFonts w:ascii="Times New Roman" w:cs="Times New Roman" w:eastAsia="Times New Roman" w:hAnsi="Times New Roman"/>
          <w:sz w:val="17"/>
          <w:szCs w:val="17"/>
          <w:color w:val="auto"/>
        </w:rPr>
      </w:pPr>
    </w:p>
    <w:p>
      <w:pPr>
        <w:ind w:left="1260" w:right="100" w:hanging="523"/>
        <w:spacing w:after="0" w:line="276" w:lineRule="auto"/>
        <w:tabs>
          <w:tab w:leader="none" w:pos="126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waiver of a term of any Incremental Facility which would (had such relevant term after giving effect to such amendment or waiver constituted a term of such Incremental Facility at the time it was made available pursuant to this Clause 7) be a breach of or conflict with this Clause 7,</w:t>
      </w:r>
    </w:p>
    <w:p>
      <w:pPr>
        <w:spacing w:after="0" w:line="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shall be subject to paragraph (a)(xii) of Clause 38.2 (</w:t>
      </w: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w:t>
      </w:r>
    </w:p>
    <w:p>
      <w:pPr>
        <w:sectPr>
          <w:pgSz w:w="11900" w:h="16838" w:orient="portrait"/>
          <w:cols w:equalWidth="0" w:num="1">
            <w:col w:w="10660"/>
          </w:cols>
          <w:pgMar w:left="620" w:top="262" w:right="619" w:bottom="1440" w:gutter="0" w:footer="0" w:header="0"/>
        </w:sectPr>
      </w:pP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940" w:space="720"/>
            <w:col w:w="3000"/>
          </w:cols>
          <w:pgMar w:left="620" w:top="262" w:right="619" w:bottom="1440" w:gutter="0" w:footer="0" w:header="0"/>
          <w:type w:val="continuous"/>
        </w:sectPr>
      </w:pPr>
    </w:p>
    <w:bookmarkStart w:id="359" w:name="page360"/>
    <w:bookmarkEnd w:id="359"/>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4</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Repayment, prepayment and cancellation</w:t>
      </w:r>
    </w:p>
    <w:p>
      <w:pPr>
        <w:spacing w:after="0" w:line="229" w:lineRule="exact"/>
        <w:rPr>
          <w:sz w:val="20"/>
          <w:szCs w:val="20"/>
          <w:color w:val="auto"/>
        </w:rPr>
      </w:pPr>
    </w:p>
    <w:p>
      <w:pPr>
        <w:ind w:left="748" w:hanging="748"/>
        <w:spacing w:after="0"/>
        <w:tabs>
          <w:tab w:leader="none" w:pos="748" w:val="left"/>
        </w:tabs>
        <w:numPr>
          <w:ilvl w:val="0"/>
          <w:numId w:val="3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Repayment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Initial Facility</w:t>
      </w:r>
    </w:p>
    <w:p>
      <w:pPr>
        <w:spacing w:after="0" w:line="133" w:lineRule="exact"/>
        <w:rPr>
          <w:sz w:val="20"/>
          <w:szCs w:val="20"/>
          <w:color w:val="auto"/>
        </w:rPr>
      </w:pPr>
    </w:p>
    <w:p>
      <w:pPr>
        <w:ind w:left="1268" w:hanging="523"/>
        <w:spacing w:after="0"/>
        <w:tabs>
          <w:tab w:leader="none" w:pos="1268"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the Company shall repay each Initial Facility Loan in full on the last day of its Interest Period.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Company’s obligations under paragraph (a) above, if:</w:t>
      </w:r>
    </w:p>
    <w:p>
      <w:pPr>
        <w:spacing w:after="0" w:line="129"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Initial Facility Loans are to be made available to the Company (each a “</w:t>
      </w:r>
      <w:r>
        <w:rPr>
          <w:rFonts w:ascii="Times New Roman" w:cs="Times New Roman" w:eastAsia="Times New Roman" w:hAnsi="Times New Roman"/>
          <w:sz w:val="17"/>
          <w:szCs w:val="17"/>
          <w:b w:val="1"/>
          <w:bCs w:val="1"/>
          <w:color w:val="auto"/>
        </w:rPr>
        <w:t>New Loan</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2428" w:hanging="520"/>
        <w:spacing w:after="0"/>
        <w:tabs>
          <w:tab w:leader="none" w:pos="2428"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same day that a maturing Initial Facility Loan is due to be repaid by the Company;</w:t>
      </w:r>
    </w:p>
    <w:p>
      <w:pPr>
        <w:spacing w:after="0" w:line="131" w:lineRule="exact"/>
        <w:rPr>
          <w:rFonts w:ascii="Times New Roman" w:cs="Times New Roman" w:eastAsia="Times New Roman" w:hAnsi="Times New Roman"/>
          <w:sz w:val="17"/>
          <w:szCs w:val="17"/>
          <w:color w:val="auto"/>
        </w:rPr>
      </w:pPr>
    </w:p>
    <w:p>
      <w:pPr>
        <w:ind w:left="2428" w:right="300" w:hanging="520"/>
        <w:spacing w:after="0" w:line="295" w:lineRule="auto"/>
        <w:tabs>
          <w:tab w:leader="none" w:pos="2428"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same currency as the maturing Initial Facility Loan (unless it arose as a result of the operation of Clause 6.2 (</w:t>
      </w:r>
      <w:r>
        <w:rPr>
          <w:rFonts w:ascii="Times New Roman" w:cs="Times New Roman" w:eastAsia="Times New Roman" w:hAnsi="Times New Roman"/>
          <w:sz w:val="17"/>
          <w:szCs w:val="17"/>
          <w:i w:val="1"/>
          <w:iCs w:val="1"/>
          <w:color w:val="auto"/>
        </w:rPr>
        <w:t>Unavailability of a currency</w:t>
      </w:r>
      <w:r>
        <w:rPr>
          <w:rFonts w:ascii="Times New Roman" w:cs="Times New Roman" w:eastAsia="Times New Roman" w:hAnsi="Times New Roman"/>
          <w:sz w:val="17"/>
          <w:szCs w:val="17"/>
          <w:color w:val="auto"/>
        </w:rPr>
        <w:t>)); and</w:t>
      </w:r>
    </w:p>
    <w:p>
      <w:pPr>
        <w:spacing w:after="0" w:line="55" w:lineRule="exact"/>
        <w:rPr>
          <w:rFonts w:ascii="Times New Roman" w:cs="Times New Roman" w:eastAsia="Times New Roman" w:hAnsi="Times New Roman"/>
          <w:sz w:val="17"/>
          <w:szCs w:val="17"/>
          <w:color w:val="auto"/>
        </w:rPr>
      </w:pPr>
    </w:p>
    <w:p>
      <w:pPr>
        <w:ind w:left="2428" w:right="280" w:hanging="520"/>
        <w:spacing w:after="0" w:line="295" w:lineRule="auto"/>
        <w:tabs>
          <w:tab w:leader="none" w:pos="2428"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or in part for the purpose of refinancing that maturing Initial Facility Loan (as specified in the Utilisation Request for such New Loan); and</w:t>
      </w:r>
    </w:p>
    <w:p>
      <w:pPr>
        <w:spacing w:after="0" w:line="55" w:lineRule="exact"/>
        <w:rPr>
          <w:rFonts w:ascii="Times New Roman" w:cs="Times New Roman" w:eastAsia="Times New Roman" w:hAnsi="Times New Roman"/>
          <w:sz w:val="17"/>
          <w:szCs w:val="17"/>
          <w:color w:val="auto"/>
        </w:rPr>
      </w:pPr>
    </w:p>
    <w:p>
      <w:pPr>
        <w:ind w:left="1888" w:right="60" w:hanging="620"/>
        <w:spacing w:after="0" w:line="276" w:lineRule="auto"/>
        <w:tabs>
          <w:tab w:leader="none" w:pos="1888"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proportion borne by each Lender’s participation in that maturing Initial Facility Loan to the aggregate amount of that maturing Initial Facility Loan is the same as the proportion borne by the Lender’s aggregate participation in such New Loans to the aggregate amount of those New Loans,</w:t>
      </w:r>
    </w:p>
    <w:p>
      <w:pPr>
        <w:spacing w:after="0" w:line="57" w:lineRule="exact"/>
        <w:rPr>
          <w:sz w:val="20"/>
          <w:szCs w:val="20"/>
          <w:color w:val="auto"/>
        </w:rPr>
      </w:pPr>
    </w:p>
    <w:p>
      <w:pPr>
        <w:ind w:left="1288" w:right="20"/>
        <w:spacing w:after="0" w:line="295" w:lineRule="auto"/>
        <w:rPr>
          <w:sz w:val="20"/>
          <w:szCs w:val="20"/>
          <w:color w:val="auto"/>
        </w:rPr>
      </w:pPr>
      <w:r>
        <w:rPr>
          <w:rFonts w:ascii="Times New Roman" w:cs="Times New Roman" w:eastAsia="Times New Roman" w:hAnsi="Times New Roman"/>
          <w:sz w:val="17"/>
          <w:szCs w:val="17"/>
          <w:color w:val="auto"/>
        </w:rPr>
        <w:t>the aggregate amount of such New Loans shall, unless the Company notifies the Agent to the contrary in the Utilisation Request(s) for such New Loans, be treated as if applied in or towards repayment of that maturing Initial Facility Loan so that:</w:t>
      </w:r>
    </w:p>
    <w:p>
      <w:pPr>
        <w:spacing w:after="0" w:line="55" w:lineRule="exact"/>
        <w:rPr>
          <w:sz w:val="20"/>
          <w:szCs w:val="20"/>
          <w:color w:val="auto"/>
        </w:rPr>
      </w:pPr>
    </w:p>
    <w:p>
      <w:pPr>
        <w:ind w:left="3068" w:hanging="624"/>
        <w:spacing w:after="0"/>
        <w:tabs>
          <w:tab w:leader="none" w:pos="3068"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amount of the maturing Initial Facility Loan exceeds the aggregate amount of such New Loans:</w:t>
      </w:r>
    </w:p>
    <w:p>
      <w:pPr>
        <w:spacing w:after="0" w:line="129" w:lineRule="exact"/>
        <w:rPr>
          <w:sz w:val="20"/>
          <w:szCs w:val="20"/>
          <w:color w:val="auto"/>
        </w:rPr>
      </w:pPr>
    </w:p>
    <w:p>
      <w:pPr>
        <w:jc w:val="both"/>
        <w:ind w:left="3608" w:right="40" w:hanging="524"/>
        <w:spacing w:after="0" w:line="298" w:lineRule="auto"/>
        <w:tabs>
          <w:tab w:leader="none" w:pos="3608"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only be required to make a payment under Clause 32.1 (</w:t>
      </w:r>
      <w:r>
        <w:rPr>
          <w:rFonts w:ascii="Times New Roman" w:cs="Times New Roman" w:eastAsia="Times New Roman" w:hAnsi="Times New Roman"/>
          <w:sz w:val="17"/>
          <w:szCs w:val="17"/>
          <w:i w:val="1"/>
          <w:iCs w:val="1"/>
          <w:color w:val="auto"/>
        </w:rPr>
        <w:t>Payments to the Agent</w:t>
      </w:r>
      <w:r>
        <w:rPr>
          <w:rFonts w:ascii="Times New Roman" w:cs="Times New Roman" w:eastAsia="Times New Roman" w:hAnsi="Times New Roman"/>
          <w:sz w:val="17"/>
          <w:szCs w:val="17"/>
          <w:color w:val="auto"/>
        </w:rPr>
        <w:t>) in respect of the repayment of that maturing Initial Facility Loan in an amount equal to that excess; and</w:t>
      </w:r>
    </w:p>
    <w:p>
      <w:pPr>
        <w:spacing w:after="0" w:line="52" w:lineRule="exact"/>
        <w:rPr>
          <w:sz w:val="20"/>
          <w:szCs w:val="20"/>
          <w:color w:val="auto"/>
        </w:rPr>
      </w:pPr>
    </w:p>
    <w:p>
      <w:pPr>
        <w:ind w:left="3608" w:hanging="524"/>
        <w:spacing w:after="0" w:line="269" w:lineRule="auto"/>
        <w:tabs>
          <w:tab w:leader="none" w:pos="3608"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Lender’s participation (if any) in such New Loans shall be treated as having been made available and applied by the Company in or towards repayment of that Lender’s participation (if any) in the maturing Initial Facility Loan and that Lender will not be required to make a payment under Clause 32.1 (</w:t>
      </w:r>
      <w:r>
        <w:rPr>
          <w:rFonts w:ascii="Times New Roman" w:cs="Times New Roman" w:eastAsia="Times New Roman" w:hAnsi="Times New Roman"/>
          <w:sz w:val="17"/>
          <w:szCs w:val="17"/>
          <w:i w:val="1"/>
          <w:iCs w:val="1"/>
          <w:color w:val="auto"/>
        </w:rPr>
        <w:t>Payments to the Agent</w:t>
      </w:r>
      <w:r>
        <w:rPr>
          <w:rFonts w:ascii="Times New Roman" w:cs="Times New Roman" w:eastAsia="Times New Roman" w:hAnsi="Times New Roman"/>
          <w:sz w:val="17"/>
          <w:szCs w:val="17"/>
          <w:color w:val="auto"/>
        </w:rPr>
        <w:t>) in respect of its participation in such New Loans; and</w:t>
      </w:r>
    </w:p>
    <w:p>
      <w:pPr>
        <w:spacing w:after="0" w:line="77" w:lineRule="exact"/>
        <w:rPr>
          <w:rFonts w:ascii="Times New Roman" w:cs="Times New Roman" w:eastAsia="Times New Roman" w:hAnsi="Times New Roman"/>
          <w:sz w:val="17"/>
          <w:szCs w:val="17"/>
          <w:color w:val="auto"/>
        </w:rPr>
      </w:pPr>
    </w:p>
    <w:p>
      <w:pPr>
        <w:ind w:left="3068" w:right="60" w:hanging="624"/>
        <w:spacing w:after="0" w:line="295" w:lineRule="auto"/>
        <w:tabs>
          <w:tab w:leader="none" w:pos="3068"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amount of the maturing Initial Facility Loan is equal to or less than the aggregate amount of such New Loans:</w:t>
      </w:r>
    </w:p>
    <w:p>
      <w:pPr>
        <w:spacing w:after="0" w:line="53" w:lineRule="exact"/>
        <w:rPr>
          <w:rFonts w:ascii="Times New Roman" w:cs="Times New Roman" w:eastAsia="Times New Roman" w:hAnsi="Times New Roman"/>
          <w:sz w:val="17"/>
          <w:szCs w:val="17"/>
          <w:color w:val="auto"/>
        </w:rPr>
      </w:pPr>
    </w:p>
    <w:p>
      <w:pPr>
        <w:ind w:left="3608" w:right="140" w:hanging="524"/>
        <w:spacing w:after="0" w:line="298" w:lineRule="auto"/>
        <w:tabs>
          <w:tab w:leader="none" w:pos="3608" w:val="left"/>
        </w:tabs>
        <w:numPr>
          <w:ilvl w:val="1"/>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be required to make a payment under Clause 32.1 (</w:t>
      </w:r>
      <w:r>
        <w:rPr>
          <w:rFonts w:ascii="Times New Roman" w:cs="Times New Roman" w:eastAsia="Times New Roman" w:hAnsi="Times New Roman"/>
          <w:sz w:val="17"/>
          <w:szCs w:val="17"/>
          <w:i w:val="1"/>
          <w:iCs w:val="1"/>
          <w:color w:val="auto"/>
        </w:rPr>
        <w:t>Payments to the Agent</w:t>
      </w:r>
      <w:r>
        <w:rPr>
          <w:rFonts w:ascii="Times New Roman" w:cs="Times New Roman" w:eastAsia="Times New Roman" w:hAnsi="Times New Roman"/>
          <w:sz w:val="17"/>
          <w:szCs w:val="17"/>
          <w:color w:val="auto"/>
        </w:rPr>
        <w:t>) in respect of the repayment of that maturing Initial Facility Loan; and</w:t>
      </w:r>
    </w:p>
    <w:p>
      <w:pPr>
        <w:spacing w:after="0" w:line="78"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60" w:name="page361"/>
    <w:bookmarkEnd w:id="360"/>
    <w:p>
      <w:pPr>
        <w:ind w:left="3608" w:right="60" w:hanging="524"/>
        <w:spacing w:after="0" w:line="264" w:lineRule="auto"/>
        <w:tabs>
          <w:tab w:leader="none" w:pos="3608"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Lender will be required to make a payment under Clause 32.1 (</w:t>
      </w:r>
      <w:r>
        <w:rPr>
          <w:rFonts w:ascii="Times New Roman" w:cs="Times New Roman" w:eastAsia="Times New Roman" w:hAnsi="Times New Roman"/>
          <w:sz w:val="17"/>
          <w:szCs w:val="17"/>
          <w:i w:val="1"/>
          <w:iCs w:val="1"/>
          <w:color w:val="auto"/>
        </w:rPr>
        <w:t>Payments to the Agent</w:t>
      </w:r>
      <w:r>
        <w:rPr>
          <w:rFonts w:ascii="Times New Roman" w:cs="Times New Roman" w:eastAsia="Times New Roman" w:hAnsi="Times New Roman"/>
          <w:sz w:val="17"/>
          <w:szCs w:val="17"/>
          <w:color w:val="auto"/>
        </w:rPr>
        <w:t>) in respect of its participation in such New Loans only to the extent that its participation (if any) in such New Loans exceeds that Lender’s participation (if any) in the maturing Initial Facility Loan and the remainder of that Lender’s participation in the New Loans shall be treated as having been made available and applied by the Company in or towards repayment of that Lender’s participation in the maturing Initial Facility Loan.</w:t>
      </w:r>
    </w:p>
    <w:p>
      <w:pPr>
        <w:spacing w:after="0" w:line="84" w:lineRule="exact"/>
        <w:rPr>
          <w:rFonts w:ascii="Times New Roman" w:cs="Times New Roman" w:eastAsia="Times New Roman" w:hAnsi="Times New Roman"/>
          <w:sz w:val="17"/>
          <w:szCs w:val="17"/>
          <w:color w:val="auto"/>
        </w:rPr>
      </w:pPr>
    </w:p>
    <w:p>
      <w:pPr>
        <w:ind w:left="1268" w:right="100" w:hanging="523"/>
        <w:spacing w:after="0" w:line="269" w:lineRule="auto"/>
        <w:tabs>
          <w:tab w:leader="none" w:pos="1268"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when a Lender becomes a Defaulting Lender, the maturity date of each of the participations of that Lender in each Initial Facility Loan then outstanding will be automatically extended to the Termination Date applicable to the Initial Facility and will be treated as a separate Initial Facility Loan (each a “</w:t>
      </w:r>
      <w:r>
        <w:rPr>
          <w:rFonts w:ascii="Times New Roman" w:cs="Times New Roman" w:eastAsia="Times New Roman" w:hAnsi="Times New Roman"/>
          <w:sz w:val="17"/>
          <w:szCs w:val="17"/>
          <w:b w:val="1"/>
          <w:bCs w:val="1"/>
          <w:color w:val="auto"/>
        </w:rPr>
        <w:t>Separate Loan</w:t>
      </w:r>
      <w:r>
        <w:rPr>
          <w:rFonts w:ascii="Times New Roman" w:cs="Times New Roman" w:eastAsia="Times New Roman" w:hAnsi="Times New Roman"/>
          <w:sz w:val="17"/>
          <w:szCs w:val="17"/>
          <w:color w:val="auto"/>
        </w:rPr>
        <w:t>”) and denominated in the currency in which such participations are outstanding.</w:t>
      </w:r>
    </w:p>
    <w:p>
      <w:pPr>
        <w:spacing w:after="0" w:line="75" w:lineRule="exact"/>
        <w:rPr>
          <w:rFonts w:ascii="Times New Roman" w:cs="Times New Roman" w:eastAsia="Times New Roman" w:hAnsi="Times New Roman"/>
          <w:sz w:val="17"/>
          <w:szCs w:val="17"/>
          <w:color w:val="auto"/>
        </w:rPr>
      </w:pPr>
    </w:p>
    <w:p>
      <w:pPr>
        <w:ind w:left="1268" w:right="340" w:hanging="523"/>
        <w:spacing w:after="0" w:line="270" w:lineRule="auto"/>
        <w:tabs>
          <w:tab w:leader="none" w:pos="1268"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makes a prepayment of an Initial Facility Loan pursuant to Clause 9.3 (</w:t>
      </w:r>
      <w:r>
        <w:rPr>
          <w:rFonts w:ascii="Times New Roman" w:cs="Times New Roman" w:eastAsia="Times New Roman" w:hAnsi="Times New Roman"/>
          <w:sz w:val="17"/>
          <w:szCs w:val="17"/>
          <w:i w:val="1"/>
          <w:iCs w:val="1"/>
          <w:color w:val="auto"/>
        </w:rPr>
        <w:t>Voluntary prepayment</w:t>
      </w:r>
      <w:r>
        <w:rPr>
          <w:rFonts w:ascii="Times New Roman" w:cs="Times New Roman" w:eastAsia="Times New Roman" w:hAnsi="Times New Roman"/>
          <w:sz w:val="17"/>
          <w:szCs w:val="17"/>
          <w:color w:val="auto"/>
        </w:rPr>
        <w:t>), the Company may prepay any Separate Loan(s) by giving not less than three (3) Business Days’ prior written notice (or such shorter period as the applicable Majority Facility Lenders may agree) to the Agent. The Agent will forward a copy of a prepayment notice received in accordance with this paragraph (d) to the Defaulting Lender concerned as soon as practicable on receipt.</w:t>
      </w:r>
    </w:p>
    <w:p>
      <w:pPr>
        <w:spacing w:after="0" w:line="76" w:lineRule="exact"/>
        <w:rPr>
          <w:rFonts w:ascii="Times New Roman" w:cs="Times New Roman" w:eastAsia="Times New Roman" w:hAnsi="Times New Roman"/>
          <w:sz w:val="17"/>
          <w:szCs w:val="17"/>
          <w:color w:val="auto"/>
        </w:rPr>
      </w:pPr>
    </w:p>
    <w:p>
      <w:pPr>
        <w:ind w:left="1268" w:right="520" w:hanging="523"/>
        <w:spacing w:after="0" w:line="276" w:lineRule="auto"/>
        <w:tabs>
          <w:tab w:leader="none" w:pos="1268"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 respect of a Separate Loan will accrue for successive Interest Periods selected by the Company by the time and date specified by the Agent (acting reasonably) and will be payable by the Company to the Agent (for the account of that Defaulting Lender) on the last day of each Interest Period of that Separate Loan.</w:t>
      </w:r>
    </w:p>
    <w:p>
      <w:pPr>
        <w:spacing w:after="0" w:line="70" w:lineRule="exact"/>
        <w:rPr>
          <w:rFonts w:ascii="Times New Roman" w:cs="Times New Roman" w:eastAsia="Times New Roman" w:hAnsi="Times New Roman"/>
          <w:sz w:val="17"/>
          <w:szCs w:val="17"/>
          <w:color w:val="auto"/>
        </w:rPr>
      </w:pPr>
    </w:p>
    <w:p>
      <w:pPr>
        <w:ind w:left="1268" w:right="100" w:hanging="523"/>
        <w:spacing w:after="0" w:line="276" w:lineRule="auto"/>
        <w:tabs>
          <w:tab w:leader="none" w:pos="1268"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this Agreement relating to Initial Facility Loans generally shall continue to apply to Separate Loans other than to the extent inconsistent with paragraphs (c) to (e) above, in which case those paragraphs shall prevail in respect of any Separate Loan. For the avoidance of doubt, each Separate Loan shall be subject to the provisions of Clause 25.15 (</w:t>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Repayment of Incremental Facilities</w:t>
      </w:r>
    </w:p>
    <w:p>
      <w:pPr>
        <w:spacing w:after="0" w:line="133" w:lineRule="exact"/>
        <w:rPr>
          <w:sz w:val="20"/>
          <w:szCs w:val="20"/>
          <w:color w:val="auto"/>
        </w:rPr>
      </w:pPr>
    </w:p>
    <w:p>
      <w:pPr>
        <w:ind w:left="1268" w:right="340" w:hanging="523"/>
        <w:spacing w:after="0" w:line="295" w:lineRule="auto"/>
        <w:tabs>
          <w:tab w:leader="none" w:pos="1268"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repay each Incremental Facility Loan in respect of an Incremental Facility in accordance with the terms of the Incremental Facility Notice relating to such Incremental Facility.</w:t>
      </w:r>
    </w:p>
    <w:p>
      <w:pPr>
        <w:spacing w:after="0" w:line="55" w:lineRule="exact"/>
        <w:rPr>
          <w:rFonts w:ascii="Times New Roman" w:cs="Times New Roman" w:eastAsia="Times New Roman" w:hAnsi="Times New Roman"/>
          <w:sz w:val="17"/>
          <w:szCs w:val="17"/>
          <w:color w:val="auto"/>
        </w:rPr>
      </w:pPr>
    </w:p>
    <w:p>
      <w:pPr>
        <w:ind w:left="1268" w:right="80" w:hanging="523"/>
        <w:spacing w:after="0" w:line="276" w:lineRule="auto"/>
        <w:tabs>
          <w:tab w:leader="none" w:pos="1268"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terms of the Incremental Facility Notice relating to an Incremental Facility, the Company shall repay the aggregate Incremental Facility Loans in respect of an Incremental Facility then outstanding in full on the Termination Date relating to that Incremental Facility.</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3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Illegality, voluntary prepayment and cancellation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120" w:lineRule="exact"/>
        <w:rPr>
          <w:sz w:val="20"/>
          <w:szCs w:val="20"/>
          <w:color w:val="auto"/>
        </w:rPr>
      </w:pPr>
    </w:p>
    <w:p>
      <w:pPr>
        <w:ind w:left="748" w:right="220"/>
        <w:spacing w:after="0" w:line="295" w:lineRule="auto"/>
        <w:rPr>
          <w:sz w:val="20"/>
          <w:szCs w:val="20"/>
          <w:color w:val="auto"/>
        </w:rPr>
      </w:pPr>
      <w:r>
        <w:rPr>
          <w:rFonts w:ascii="Times New Roman" w:cs="Times New Roman" w:eastAsia="Times New Roman" w:hAnsi="Times New Roman"/>
          <w:sz w:val="17"/>
          <w:szCs w:val="17"/>
          <w:color w:val="auto"/>
        </w:rPr>
        <w:t>If it becomes unlawful in any applicable jurisdiction for a Lender to perform any of its obligations as contemplated by this Agreement or to fund, issue or maintain its participation in any Utilisation:</w:t>
      </w:r>
    </w:p>
    <w:p>
      <w:pPr>
        <w:spacing w:after="0" w:line="81"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61" w:name="page362"/>
    <w:bookmarkEnd w:id="361"/>
    <w:p>
      <w:pPr>
        <w:ind w:left="1260" w:right="140" w:hanging="523"/>
        <w:spacing w:after="0" w:line="295" w:lineRule="auto"/>
        <w:tabs>
          <w:tab w:leader="none" w:pos="1260"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that Lender shall promptly notify the Agent upon becoming aware of that event and the Agent shall thereafter notify the Company as soon as reasonably practicable;</w:t>
      </w:r>
    </w:p>
    <w:p>
      <w:pPr>
        <w:spacing w:after="0" w:line="55" w:lineRule="exact"/>
        <w:rPr>
          <w:rFonts w:ascii="Times New Roman" w:cs="Times New Roman" w:eastAsia="Times New Roman" w:hAnsi="Times New Roman"/>
          <w:sz w:val="17"/>
          <w:szCs w:val="17"/>
          <w:color w:val="auto"/>
        </w:rPr>
      </w:pPr>
    </w:p>
    <w:p>
      <w:pPr>
        <w:ind w:left="1260" w:right="60" w:hanging="523"/>
        <w:spacing w:after="0" w:line="276" w:lineRule="auto"/>
        <w:tabs>
          <w:tab w:leader="none" w:pos="1260"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Agent notifying the Company, the Available Commitments of that Lender will be immediately cancelled and reduced to zero (and the Commitment of that Lender in respect of each Facility shall be reduced by the amount of such reduction in that Lender’s Available Commitment in respect of that Facility accordingly); and</w:t>
      </w:r>
    </w:p>
    <w:p>
      <w:pPr>
        <w:spacing w:after="0" w:line="70" w:lineRule="exact"/>
        <w:rPr>
          <w:rFonts w:ascii="Times New Roman" w:cs="Times New Roman" w:eastAsia="Times New Roman" w:hAnsi="Times New Roman"/>
          <w:sz w:val="17"/>
          <w:szCs w:val="17"/>
          <w:color w:val="auto"/>
        </w:rPr>
      </w:pPr>
    </w:p>
    <w:p>
      <w:pPr>
        <w:ind w:left="1260" w:right="140" w:hanging="523"/>
        <w:spacing w:after="0" w:line="276" w:lineRule="auto"/>
        <w:tabs>
          <w:tab w:leader="none" w:pos="1260"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repay that Lender’s participation in the Utilisations on the last day of the Interest Period for each Utilisation occurring after the Agent has notified the Company or, if earlier, the date specified by the Lender in the notice delivered to the Agent (being no earlier than the last day of any applicable grace period permitted by law) (which may not be reborrowed).</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20"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17"/>
          <w:szCs w:val="17"/>
          <w:color w:val="auto"/>
        </w:rPr>
        <w:t>The Company may, if it gives the Agent not less than three (3) Business Days’ (or such shorter period as the applicable Majority Facility Lenders may agree) prior written notice, cancel the whole or any part (if in part, being a minimum Base Currency Amount of HKD10,000,000 and an integral multiple of HKD10,000,000) of an Available Facility. Any cancellation under this Clause 9.2 shall reduce the Commitments of the Lenders rateably under that Facility.</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120" w:lineRule="exact"/>
        <w:rPr>
          <w:sz w:val="20"/>
          <w:szCs w:val="20"/>
          <w:color w:val="auto"/>
        </w:rPr>
      </w:pPr>
    </w:p>
    <w:p>
      <w:pPr>
        <w:ind w:left="740" w:right="20"/>
        <w:spacing w:after="0" w:line="264" w:lineRule="auto"/>
        <w:rPr>
          <w:sz w:val="20"/>
          <w:szCs w:val="20"/>
          <w:color w:val="auto"/>
        </w:rPr>
      </w:pPr>
      <w:r>
        <w:rPr>
          <w:rFonts w:ascii="Times New Roman" w:cs="Times New Roman" w:eastAsia="Times New Roman" w:hAnsi="Times New Roman"/>
          <w:sz w:val="17"/>
          <w:szCs w:val="17"/>
          <w:color w:val="auto"/>
        </w:rPr>
        <w:t>The Company may, if it gives the Agent not less than three (3) Business Days’ (or such shorter period as the applicable Majority Facility Lenders may agree) prior written notice, prepay the whole or any part of a Loan outstanding thereunder (but, if in part, being an amount that reduces the Base Currency Amount of such Loans by a minimum amount of (i) in case of a Loan denominated in HK dollars, HKD10,000,000 and an integral multiple of HKD10,000,000, (ii) in case of a Loan denominated in US dollars, USD2,000,000 and an integral multiple of USD1,000,000, and (iii) in any other case, the equivalent of the amounts in (ii) in such other currency, rounded up to the nearest appropriate million, ten million, hundred million, etc., as determined by the Agent (acting reasonably)).</w:t>
      </w:r>
    </w:p>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Right of cancellation and repayment in relation to a single Lender</w:t>
      </w:r>
    </w:p>
    <w:p>
      <w:pPr>
        <w:spacing w:after="0" w:line="133" w:lineRule="exact"/>
        <w:rPr>
          <w:sz w:val="20"/>
          <w:szCs w:val="20"/>
          <w:color w:val="auto"/>
        </w:rPr>
      </w:pPr>
    </w:p>
    <w:p>
      <w:pPr>
        <w:ind w:left="1260" w:hanging="523"/>
        <w:spacing w:after="0"/>
        <w:tabs>
          <w:tab w:leader="none" w:pos="1260"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w:t>
      </w:r>
    </w:p>
    <w:p>
      <w:pPr>
        <w:spacing w:after="0" w:line="129" w:lineRule="exact"/>
        <w:rPr>
          <w:rFonts w:ascii="Times New Roman" w:cs="Times New Roman" w:eastAsia="Times New Roman" w:hAnsi="Times New Roman"/>
          <w:sz w:val="17"/>
          <w:szCs w:val="17"/>
          <w:color w:val="auto"/>
        </w:rPr>
      </w:pPr>
    </w:p>
    <w:p>
      <w:pPr>
        <w:ind w:left="1880" w:right="700" w:hanging="620"/>
        <w:spacing w:after="0" w:line="298" w:lineRule="auto"/>
        <w:tabs>
          <w:tab w:leader="none" w:pos="1880"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sum payable to any Lender by the Company is required to be increased under paragraph (c) of Clause 16.2 (</w:t>
      </w:r>
      <w:r>
        <w:rPr>
          <w:rFonts w:ascii="Times New Roman" w:cs="Times New Roman" w:eastAsia="Times New Roman" w:hAnsi="Times New Roman"/>
          <w:sz w:val="17"/>
          <w:szCs w:val="17"/>
          <w:i w:val="1"/>
          <w:iCs w:val="1"/>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gross-up</w:t>
      </w:r>
      <w:r>
        <w:rPr>
          <w:rFonts w:ascii="Times New Roman" w:cs="Times New Roman" w:eastAsia="Times New Roman" w:hAnsi="Times New Roman"/>
          <w:sz w:val="17"/>
          <w:szCs w:val="17"/>
          <w:color w:val="auto"/>
        </w:rPr>
        <w:t>); or</w:t>
      </w:r>
    </w:p>
    <w:p>
      <w:pPr>
        <w:spacing w:after="0" w:line="50"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claims indemnification from the Company under Clause 16.3 (</w:t>
      </w:r>
      <w:r>
        <w:rPr>
          <w:rFonts w:ascii="Times New Roman" w:cs="Times New Roman" w:eastAsia="Times New Roman" w:hAnsi="Times New Roman"/>
          <w:sz w:val="17"/>
          <w:szCs w:val="17"/>
          <w:i w:val="1"/>
          <w:iCs w:val="1"/>
          <w:color w:val="auto"/>
        </w:rPr>
        <w:t>Tax indemnity</w:t>
      </w:r>
      <w:r>
        <w:rPr>
          <w:rFonts w:ascii="Times New Roman" w:cs="Times New Roman" w:eastAsia="Times New Roman" w:hAnsi="Times New Roman"/>
          <w:sz w:val="17"/>
          <w:szCs w:val="17"/>
          <w:color w:val="auto"/>
        </w:rPr>
        <w:t>) or Clause 17.1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1280" w:right="160"/>
        <w:spacing w:after="0" w:line="277" w:lineRule="auto"/>
        <w:rPr>
          <w:sz w:val="20"/>
          <w:szCs w:val="20"/>
          <w:color w:val="auto"/>
        </w:rPr>
      </w:pPr>
      <w:r>
        <w:rPr>
          <w:rFonts w:ascii="Times New Roman" w:cs="Times New Roman" w:eastAsia="Times New Roman" w:hAnsi="Times New Roman"/>
          <w:sz w:val="17"/>
          <w:szCs w:val="17"/>
          <w:color w:val="auto"/>
        </w:rPr>
        <w:t>(any such Lender, an “</w:t>
      </w:r>
      <w:r>
        <w:rPr>
          <w:rFonts w:ascii="Times New Roman" w:cs="Times New Roman" w:eastAsia="Times New Roman" w:hAnsi="Times New Roman"/>
          <w:sz w:val="17"/>
          <w:szCs w:val="17"/>
          <w:b w:val="1"/>
          <w:bCs w:val="1"/>
          <w:color w:val="auto"/>
        </w:rPr>
        <w:t>Affected Lender</w:t>
      </w:r>
      <w:r>
        <w:rPr>
          <w:rFonts w:ascii="Times New Roman" w:cs="Times New Roman" w:eastAsia="Times New Roman" w:hAnsi="Times New Roman"/>
          <w:sz w:val="17"/>
          <w:szCs w:val="17"/>
          <w:color w:val="auto"/>
        </w:rPr>
        <w:t>”) the Company may whilst the circumstance giving rise to the requirement for indemnification continues, give the Agent written notice of cancellation of the Commitment of that Lender and its intention to repay that Lender’s participation in the Utilisations.</w:t>
      </w:r>
    </w:p>
    <w:p>
      <w:pPr>
        <w:spacing w:after="0" w:line="70" w:lineRule="exact"/>
        <w:rPr>
          <w:sz w:val="20"/>
          <w:szCs w:val="20"/>
          <w:color w:val="auto"/>
        </w:rPr>
      </w:pPr>
    </w:p>
    <w:p>
      <w:pPr>
        <w:jc w:val="both"/>
        <w:ind w:left="1260" w:right="320" w:hanging="523"/>
        <w:spacing w:after="0" w:line="276" w:lineRule="auto"/>
        <w:tabs>
          <w:tab w:leader="none" w:pos="1260"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receipt of a notice referred to in paragraph (a) above in relation to a Lender, the Available Commitments of that Lender will be immediately cancelled and reduced to zero (and the Commitment of that Lender in respect of each Facility shall be reduced by the amount of such reduction in that Lender’s Available Commitment in respect of that Facility accordingly).</w:t>
      </w:r>
    </w:p>
    <w:p>
      <w:pPr>
        <w:spacing w:after="0" w:line="70" w:lineRule="exact"/>
        <w:rPr>
          <w:rFonts w:ascii="Times New Roman" w:cs="Times New Roman" w:eastAsia="Times New Roman" w:hAnsi="Times New Roman"/>
          <w:sz w:val="17"/>
          <w:szCs w:val="17"/>
          <w:color w:val="auto"/>
        </w:rPr>
      </w:pPr>
    </w:p>
    <w:p>
      <w:pPr>
        <w:ind w:left="1260" w:right="60" w:hanging="523"/>
        <w:spacing w:after="0" w:line="265" w:lineRule="auto"/>
        <w:tabs>
          <w:tab w:leader="none" w:pos="1260"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last day of each Interest Period which ends after the Company has given notice under paragraph (a) above in relation to a Lender (or, if earlier, the date specified by the Company in that notice), the Company shall repay that Lender’s participation in the Utilisation to which that Interest Period relates (together with all interest and other amounts accrued under the Finance Documents) (which may not be reborrowed),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an Event of Default has occurred and is occurring on such day, such repayment must be funded from the proceeds of New Shareholder Injections received by the Company since the last day of the Most Recent Relevant Period.</w:t>
      </w:r>
    </w:p>
    <w:p>
      <w:pPr>
        <w:spacing w:after="0" w:line="319"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59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62" w:name="page363"/>
    <w:bookmarkEnd w:id="362"/>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9.5</w:t>
      </w:r>
      <w:r>
        <w:rPr>
          <w:sz w:val="20"/>
          <w:szCs w:val="20"/>
          <w:color w:val="auto"/>
        </w:rPr>
        <w:tab/>
      </w:r>
      <w:r>
        <w:rPr>
          <w:rFonts w:ascii="Times New Roman" w:cs="Times New Roman" w:eastAsia="Times New Roman" w:hAnsi="Times New Roman"/>
          <w:sz w:val="17"/>
          <w:szCs w:val="17"/>
          <w:b w:val="1"/>
          <w:bCs w:val="1"/>
          <w:color w:val="auto"/>
        </w:rPr>
        <w:t>Right of cancellation in relation to a Defaulting Lender</w:t>
      </w:r>
    </w:p>
    <w:p>
      <w:pPr>
        <w:spacing w:after="0" w:line="133" w:lineRule="exact"/>
        <w:rPr>
          <w:sz w:val="20"/>
          <w:szCs w:val="20"/>
          <w:color w:val="auto"/>
        </w:rPr>
      </w:pPr>
    </w:p>
    <w:p>
      <w:pPr>
        <w:ind w:left="1268" w:right="300" w:hanging="523"/>
        <w:spacing w:after="0" w:line="295" w:lineRule="auto"/>
        <w:tabs>
          <w:tab w:leader="none" w:pos="1268"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becomes a Defaulting Lender, the Company may, at any time whilst the Lender continues to be a Defaulting Lender, give the Agent five (5) Business Days’ prior written notice of cancellation of each Available Commitment of that Lender.</w:t>
      </w:r>
    </w:p>
    <w:p>
      <w:pPr>
        <w:spacing w:after="0" w:line="55" w:lineRule="exact"/>
        <w:rPr>
          <w:rFonts w:ascii="Times New Roman" w:cs="Times New Roman" w:eastAsia="Times New Roman" w:hAnsi="Times New Roman"/>
          <w:sz w:val="17"/>
          <w:szCs w:val="17"/>
          <w:color w:val="auto"/>
        </w:rPr>
      </w:pPr>
    </w:p>
    <w:p>
      <w:pPr>
        <w:ind w:left="1268" w:right="480" w:hanging="523"/>
        <w:spacing w:after="0" w:line="295" w:lineRule="auto"/>
        <w:tabs>
          <w:tab w:leader="none" w:pos="1268"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notice referred to in paragraph (a) above becoming effective, each Available Commitment of the Defaulting Lender shall immediately be reduced to zero.</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as soon as practicable after receipt of a notice referred to in paragraph (a) above, notify all the Lenders.</w:t>
      </w:r>
    </w:p>
    <w:p>
      <w:pPr>
        <w:spacing w:after="0" w:line="364"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3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Mandatory prepayment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For the purposes of this Clause 10 (</w:t>
      </w:r>
      <w:r>
        <w:rPr>
          <w:rFonts w:ascii="Times New Roman" w:cs="Times New Roman" w:eastAsia="Times New Roman" w:hAnsi="Times New Roman"/>
          <w:sz w:val="17"/>
          <w:szCs w:val="17"/>
          <w:i w:val="1"/>
          <w:iCs w:val="1"/>
          <w:color w:val="auto"/>
        </w:rPr>
        <w:t>Mandatory prepayment</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the occurrence of any of the following:</w:t>
      </w:r>
    </w:p>
    <w:p>
      <w:pPr>
        <w:spacing w:after="0" w:line="133" w:lineRule="exact"/>
        <w:rPr>
          <w:sz w:val="20"/>
          <w:szCs w:val="20"/>
          <w:color w:val="auto"/>
        </w:rPr>
      </w:pPr>
    </w:p>
    <w:p>
      <w:pPr>
        <w:ind w:left="1268" w:right="160" w:hanging="523"/>
        <w:spacing w:after="0" w:line="269" w:lineRule="auto"/>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lease, transfer, conveyance or other disposition (other than by way of merger or consolidation), in one or a series of related transactions, of all or substantially all of the properties or assets of Bondco and its Subsidiaries (taken as a whole) to any “person” (as that term is used in Section 13(d) of the Securities Exchange Act of 1934 of the United States of America) (other than a Sponsor or a Related Party of a Sponsor);</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a plan relating to the liquidation or dissolution of Bondco;</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ceases to beneficially own, directly or indirectly, 100 per cent. of the outstanding Equity Interests of Bondco;</w:t>
      </w:r>
    </w:p>
    <w:p>
      <w:pPr>
        <w:spacing w:after="0" w:line="131" w:lineRule="exact"/>
        <w:rPr>
          <w:rFonts w:ascii="Times New Roman" w:cs="Times New Roman" w:eastAsia="Times New Roman" w:hAnsi="Times New Roman"/>
          <w:sz w:val="17"/>
          <w:szCs w:val="17"/>
          <w:color w:val="auto"/>
        </w:rPr>
      </w:pPr>
    </w:p>
    <w:p>
      <w:pPr>
        <w:jc w:val="both"/>
        <w:ind w:left="1268" w:right="80" w:hanging="523"/>
        <w:spacing w:after="0" w:line="276" w:lineRule="auto"/>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ceases to beneficially own and control, directly or indirectly, at least 30 per cent. of the outstanding Capital Stock of Melco (including any and all agreements, warrants, rights or options to acquire any Capital Stock) (measured in each case, by both voting power and size of equity interests);</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ceases to beneficially own and control, directly or indirectly, the entire outstanding Capital Stock of the Company; or</w:t>
      </w:r>
    </w:p>
    <w:p>
      <w:pPr>
        <w:spacing w:after="0" w:line="131" w:lineRule="exact"/>
        <w:rPr>
          <w:rFonts w:ascii="Times New Roman" w:cs="Times New Roman" w:eastAsia="Times New Roman" w:hAnsi="Times New Roman"/>
          <w:sz w:val="17"/>
          <w:szCs w:val="17"/>
          <w:color w:val="auto"/>
        </w:rPr>
      </w:pPr>
    </w:p>
    <w:p>
      <w:pPr>
        <w:ind w:left="1268" w:right="120" w:hanging="523"/>
        <w:spacing w:after="0" w:line="264" w:lineRule="auto"/>
        <w:tabs>
          <w:tab w:leader="none" w:pos="126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ceases to beneficially own and control, directly or indirectly, the entire outstanding Capital Stock of Melco Resorts Macau (including any and all agreements, warrants, rights or options to acquire any Capital Stock) (measured in each case, by both voting power and size of equity interests),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in determining whether a Change of Control has occurred under this subparagraph (f), any class of shares of Melco Resorts Macau with only a nominal economic interest which have been created for the purposes of complying with Macanese ownership requirements shall not be deemed to form part of the outstanding Capital Stock of Melco Resorts Macau;</w:t>
      </w:r>
    </w:p>
    <w:p>
      <w:pPr>
        <w:spacing w:after="0" w:line="67" w:lineRule="exact"/>
        <w:rPr>
          <w:sz w:val="20"/>
          <w:szCs w:val="20"/>
          <w:color w:val="auto"/>
        </w:rPr>
      </w:pPr>
    </w:p>
    <w:p>
      <w:pPr>
        <w:ind w:left="748" w:right="1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Concession Expiry</w:t>
      </w:r>
      <w:r>
        <w:rPr>
          <w:rFonts w:ascii="Times New Roman" w:cs="Times New Roman" w:eastAsia="Times New Roman" w:hAnsi="Times New Roman"/>
          <w:sz w:val="17"/>
          <w:szCs w:val="17"/>
          <w:color w:val="auto"/>
        </w:rPr>
        <w:t>” means termination, revocation, rescission or modification of the Concession (including by way of expiry on its terms) which has had a material adverse effect on the financial condition, business, properties, or results of operations of the Group, taken as a whole;</w:t>
      </w:r>
    </w:p>
    <w:p>
      <w:pPr>
        <w:spacing w:after="0" w:line="302"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63" w:name="page364"/>
    <w:bookmarkEnd w:id="363"/>
    <w:p>
      <w:pPr>
        <w:ind w:left="740" w:right="30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Equity Interests</w:t>
      </w:r>
      <w:r>
        <w:rPr>
          <w:rFonts w:ascii="Times New Roman" w:cs="Times New Roman" w:eastAsia="Times New Roman" w:hAnsi="Times New Roman"/>
          <w:sz w:val="17"/>
          <w:szCs w:val="17"/>
          <w:color w:val="auto"/>
        </w:rPr>
        <w:t>” means Capital Stock and all warrants, options or other rights to acquire Capital Stock (but excluding any debt security that is convertible into, or exchangeable for, Capital Stock);</w:t>
      </w:r>
    </w:p>
    <w:p>
      <w:pPr>
        <w:spacing w:after="0" w:line="37" w:lineRule="exact"/>
        <w:rPr>
          <w:sz w:val="20"/>
          <w:szCs w:val="20"/>
          <w:color w:val="auto"/>
        </w:rPr>
      </w:pPr>
    </w:p>
    <w:p>
      <w:pPr>
        <w:jc w:val="both"/>
        <w:ind w:left="740" w:right="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Land Concession Termination</w:t>
      </w:r>
      <w:r>
        <w:rPr>
          <w:rFonts w:ascii="Times New Roman" w:cs="Times New Roman" w:eastAsia="Times New Roman" w:hAnsi="Times New Roman"/>
          <w:sz w:val="17"/>
          <w:szCs w:val="17"/>
          <w:color w:val="auto"/>
        </w:rPr>
        <w:t>” means the termination, revocation or rescission of any Land Concession (including by way of expiry on its terms) unless a new land concession with respect to the relevant Property is granted to a Group Member or Group Members in replacement of the Land Concession which is the subject of such termination, revocation or rescission;</w:t>
      </w:r>
    </w:p>
    <w:p>
      <w:pPr>
        <w:spacing w:after="0" w:line="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Mandatory Prepayment Event</w:t>
      </w:r>
      <w:r>
        <w:rPr>
          <w:rFonts w:ascii="Times New Roman" w:cs="Times New Roman" w:eastAsia="Times New Roman" w:hAnsi="Times New Roman"/>
          <w:sz w:val="17"/>
          <w:szCs w:val="17"/>
          <w:color w:val="auto"/>
        </w:rPr>
        <w:t>” means the occurrence of:</w:t>
      </w:r>
    </w:p>
    <w:p>
      <w:pPr>
        <w:spacing w:after="0" w:line="133" w:lineRule="exact"/>
        <w:rPr>
          <w:sz w:val="20"/>
          <w:szCs w:val="20"/>
          <w:color w:val="auto"/>
        </w:rPr>
      </w:pPr>
    </w:p>
    <w:p>
      <w:pPr>
        <w:ind w:left="1260" w:hanging="523"/>
        <w:spacing w:after="0"/>
        <w:tabs>
          <w:tab w:leader="none" w:pos="1260"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Concession Expiry; or</w:t>
      </w:r>
    </w:p>
    <w:p>
      <w:pPr>
        <w:spacing w:after="0" w:line="131" w:lineRule="exact"/>
        <w:rPr>
          <w:rFonts w:ascii="Times New Roman" w:cs="Times New Roman" w:eastAsia="Times New Roman" w:hAnsi="Times New Roman"/>
          <w:sz w:val="17"/>
          <w:szCs w:val="17"/>
          <w:color w:val="auto"/>
        </w:rPr>
      </w:pPr>
    </w:p>
    <w:p>
      <w:pPr>
        <w:ind w:left="740" w:right="6840" w:hanging="3"/>
        <w:spacing w:after="0" w:line="393" w:lineRule="auto"/>
        <w:tabs>
          <w:tab w:leader="none" w:pos="1261"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Land Concession Termination; and “</w:t>
      </w:r>
      <w:r>
        <w:rPr>
          <w:rFonts w:ascii="Times New Roman" w:cs="Times New Roman" w:eastAsia="Times New Roman" w:hAnsi="Times New Roman"/>
          <w:sz w:val="17"/>
          <w:szCs w:val="17"/>
          <w:b w:val="1"/>
          <w:bCs w:val="1"/>
          <w:color w:val="auto"/>
        </w:rPr>
        <w:t>Related Party</w:t>
      </w:r>
      <w:r>
        <w:rPr>
          <w:rFonts w:ascii="Times New Roman" w:cs="Times New Roman" w:eastAsia="Times New Roman" w:hAnsi="Times New Roman"/>
          <w:sz w:val="17"/>
          <w:szCs w:val="17"/>
          <w:color w:val="auto"/>
        </w:rPr>
        <w:t>” means:</w:t>
      </w:r>
    </w:p>
    <w:p>
      <w:pPr>
        <w:ind w:left="1260" w:right="440" w:hanging="523"/>
        <w:spacing w:after="0" w:line="295" w:lineRule="auto"/>
        <w:tabs>
          <w:tab w:leader="none" w:pos="1260" w:val="left"/>
        </w:tabs>
        <w:numPr>
          <w:ilvl w:val="0"/>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controlling stockholder, 80% (or more) owned Subsidiary, or immediate family member (in the case of an individual) of any Sponsor; or</w:t>
      </w:r>
    </w:p>
    <w:p>
      <w:pPr>
        <w:spacing w:after="0" w:line="55" w:lineRule="exact"/>
        <w:rPr>
          <w:rFonts w:ascii="Times New Roman" w:cs="Times New Roman" w:eastAsia="Times New Roman" w:hAnsi="Times New Roman"/>
          <w:sz w:val="17"/>
          <w:szCs w:val="17"/>
          <w:color w:val="auto"/>
        </w:rPr>
      </w:pPr>
    </w:p>
    <w:p>
      <w:pPr>
        <w:ind w:left="1260" w:hanging="523"/>
        <w:spacing w:after="0" w:line="276" w:lineRule="auto"/>
        <w:tabs>
          <w:tab w:leader="none" w:pos="1260" w:val="left"/>
        </w:tabs>
        <w:numPr>
          <w:ilvl w:val="0"/>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trust, corporation, partnership, limited liability company or other entity, the beneficiaries, stockholders, partners, members, owners or persons beneficially holding an 80% or more controlling interest of which consist of any one or more Sponsors and/or such other persons referred to in the immediately preceding paragraph (a).</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Mandatory Prepayment Event</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If a Mandatory Prepayment Event occurs:</w:t>
      </w:r>
    </w:p>
    <w:p>
      <w:pPr>
        <w:spacing w:after="0" w:line="131" w:lineRule="exact"/>
        <w:rPr>
          <w:sz w:val="20"/>
          <w:szCs w:val="20"/>
          <w:color w:val="auto"/>
        </w:rPr>
      </w:pPr>
    </w:p>
    <w:p>
      <w:pPr>
        <w:ind w:left="1260" w:hanging="523"/>
        <w:spacing w:after="0"/>
        <w:tabs>
          <w:tab w:leader="none" w:pos="1260"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notify the Agent upon becoming aware of that event;</w:t>
      </w:r>
    </w:p>
    <w:p>
      <w:pPr>
        <w:spacing w:after="0" w:line="131" w:lineRule="exact"/>
        <w:rPr>
          <w:rFonts w:ascii="Times New Roman" w:cs="Times New Roman" w:eastAsia="Times New Roman" w:hAnsi="Times New Roman"/>
          <w:sz w:val="17"/>
          <w:szCs w:val="17"/>
          <w:color w:val="auto"/>
        </w:rPr>
      </w:pPr>
    </w:p>
    <w:p>
      <w:pPr>
        <w:ind w:left="1260" w:right="420" w:hanging="523"/>
        <w:spacing w:after="0" w:line="269" w:lineRule="auto"/>
        <w:tabs>
          <w:tab w:leader="none" w:pos="1260"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Available Commitment of each Lender in respect of each Facility shall be deemed to be immediately reduced to zero (but not cancelled) and, subject to Clause 10.3 (</w:t>
      </w:r>
      <w:r>
        <w:rPr>
          <w:rFonts w:ascii="Times New Roman" w:cs="Times New Roman" w:eastAsia="Times New Roman" w:hAnsi="Times New Roman"/>
          <w:sz w:val="17"/>
          <w:szCs w:val="17"/>
          <w:i w:val="1"/>
          <w:iCs w:val="1"/>
          <w:color w:val="auto"/>
        </w:rPr>
        <w:t>Prepayment elections</w:t>
      </w:r>
      <w:r>
        <w:rPr>
          <w:rFonts w:ascii="Times New Roman" w:cs="Times New Roman" w:eastAsia="Times New Roman" w:hAnsi="Times New Roman"/>
          <w:sz w:val="17"/>
          <w:szCs w:val="17"/>
          <w:color w:val="auto"/>
        </w:rPr>
        <w:t>), no Lender shall be required to comply with Clause 5.4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participation</w:t>
      </w:r>
      <w:r>
        <w:rPr>
          <w:rFonts w:ascii="Times New Roman" w:cs="Times New Roman" w:eastAsia="Times New Roman" w:hAnsi="Times New Roman"/>
          <w:sz w:val="17"/>
          <w:szCs w:val="17"/>
          <w:color w:val="auto"/>
        </w:rPr>
        <w:t>) in relation to any Utilisation under a Facility requested by the Company after the occurrence of that Mandatory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Prepayment Event; and</w:t>
      </w:r>
    </w:p>
    <w:p>
      <w:pPr>
        <w:spacing w:after="0" w:line="75" w:lineRule="exact"/>
        <w:rPr>
          <w:rFonts w:ascii="Times New Roman" w:cs="Times New Roman" w:eastAsia="Times New Roman" w:hAnsi="Times New Roman"/>
          <w:sz w:val="17"/>
          <w:szCs w:val="17"/>
          <w:color w:val="auto"/>
        </w:rPr>
      </w:pPr>
    </w:p>
    <w:p>
      <w:pPr>
        <w:ind w:left="1260" w:right="320" w:hanging="523"/>
        <w:spacing w:after="0" w:line="270" w:lineRule="auto"/>
        <w:tabs>
          <w:tab w:leader="none" w:pos="1260"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10.3 (</w:t>
      </w:r>
      <w:r>
        <w:rPr>
          <w:rFonts w:ascii="Times New Roman" w:cs="Times New Roman" w:eastAsia="Times New Roman" w:hAnsi="Times New Roman"/>
          <w:sz w:val="17"/>
          <w:szCs w:val="17"/>
          <w:i w:val="1"/>
          <w:iCs w:val="1"/>
          <w:color w:val="auto"/>
        </w:rPr>
        <w:t>Prepayment elections</w:t>
      </w:r>
      <w:r>
        <w:rPr>
          <w:rFonts w:ascii="Times New Roman" w:cs="Times New Roman" w:eastAsia="Times New Roman" w:hAnsi="Times New Roman"/>
          <w:sz w:val="17"/>
          <w:szCs w:val="17"/>
          <w:color w:val="auto"/>
        </w:rPr>
        <w:t>), on the date falling fifteen (15) Business Days after the Agent’s receipt of the notice referred to in paragraph (a) above, the Available Commitment of each Lender in respect of each Facility shall be immediately cancelled and reduced to zero and all outstanding Utilisations, together with accrued but unpaid interest, and all other accrued amounts under the Finance Documents, shall become immediately due and payable (and may not be reborrowed).</w:t>
      </w:r>
    </w:p>
    <w:p>
      <w:pPr>
        <w:spacing w:after="0" w:line="3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Prepayment elections</w:t>
      </w:r>
    </w:p>
    <w:p>
      <w:pPr>
        <w:spacing w:after="0" w:line="133" w:lineRule="exact"/>
        <w:rPr>
          <w:sz w:val="20"/>
          <w:szCs w:val="20"/>
          <w:color w:val="auto"/>
        </w:rPr>
      </w:pPr>
    </w:p>
    <w:p>
      <w:pPr>
        <w:ind w:left="1260" w:right="40" w:hanging="523"/>
        <w:spacing w:after="0" w:line="262" w:lineRule="auto"/>
        <w:tabs>
          <w:tab w:leader="none" w:pos="1260"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may (with the prior consent of the Company but otherwise in its sole discretion) elect to waive the reduction and cancellation of its Available Commitments and the prepayment of its share of the Utilisations to be made in accordance with Clause 10.2 (</w:t>
      </w:r>
      <w:r>
        <w:rPr>
          <w:rFonts w:ascii="Times New Roman" w:cs="Times New Roman" w:eastAsia="Times New Roman" w:hAnsi="Times New Roman"/>
          <w:sz w:val="17"/>
          <w:szCs w:val="17"/>
          <w:i w:val="1"/>
          <w:iCs w:val="1"/>
          <w:color w:val="auto"/>
        </w:rPr>
        <w:t>Mandatory Prepayment Event</w:t>
      </w:r>
      <w:r>
        <w:rPr>
          <w:rFonts w:ascii="Times New Roman" w:cs="Times New Roman" w:eastAsia="Times New Roman" w:hAnsi="Times New Roman"/>
          <w:sz w:val="17"/>
          <w:szCs w:val="17"/>
          <w:color w:val="auto"/>
        </w:rPr>
        <w:t>) by notifying the Agent in writing within ten (10) Business Days of the Company’s notification to the Agent under Clause 10.2 (</w:t>
      </w:r>
      <w:r>
        <w:rPr>
          <w:rFonts w:ascii="Times New Roman" w:cs="Times New Roman" w:eastAsia="Times New Roman" w:hAnsi="Times New Roman"/>
          <w:sz w:val="17"/>
          <w:szCs w:val="17"/>
          <w:i w:val="1"/>
          <w:iCs w:val="1"/>
          <w:color w:val="auto"/>
        </w:rPr>
        <w:t>Mandatory Prepayment Event</w:t>
      </w:r>
      <w:r>
        <w:rPr>
          <w:rFonts w:ascii="Times New Roman" w:cs="Times New Roman" w:eastAsia="Times New Roman" w:hAnsi="Times New Roman"/>
          <w:sz w:val="17"/>
          <w:szCs w:val="17"/>
          <w:color w:val="auto"/>
        </w:rPr>
        <w:t>) that a Mandatory Prepayment Event has occurred of its election, in which case with effect from the Agent’s receipt of such notice from the Lender that Lender’s Available Commitments that were deemed to have been reduced in accordance with paragraph (b) of Clause 10.2 (</w:t>
      </w:r>
      <w:r>
        <w:rPr>
          <w:rFonts w:ascii="Times New Roman" w:cs="Times New Roman" w:eastAsia="Times New Roman" w:hAnsi="Times New Roman"/>
          <w:sz w:val="17"/>
          <w:szCs w:val="17"/>
          <w:i w:val="1"/>
          <w:iCs w:val="1"/>
          <w:color w:val="auto"/>
        </w:rPr>
        <w:t>Mandatory Prepayment Event</w:t>
      </w:r>
      <w:r>
        <w:rPr>
          <w:rFonts w:ascii="Times New Roman" w:cs="Times New Roman" w:eastAsia="Times New Roman" w:hAnsi="Times New Roman"/>
          <w:sz w:val="17"/>
          <w:szCs w:val="17"/>
          <w:color w:val="auto"/>
        </w:rPr>
        <w:t>) shall be immediately reinstated, that Lender shall be required to comply with Clause 5.4 (</w:t>
      </w:r>
      <w:r>
        <w:rPr>
          <w:rFonts w:ascii="Times New Roman" w:cs="Times New Roman" w:eastAsia="Times New Roman" w:hAnsi="Times New Roman"/>
          <w:sz w:val="17"/>
          <w:szCs w:val="17"/>
          <w:i w:val="1"/>
          <w:iCs w:val="1"/>
          <w:color w:val="auto"/>
        </w:rPr>
        <w:t>Lenders’ participation</w:t>
      </w:r>
      <w:r>
        <w:rPr>
          <w:rFonts w:ascii="Times New Roman" w:cs="Times New Roman" w:eastAsia="Times New Roman" w:hAnsi="Times New Roman"/>
          <w:sz w:val="17"/>
          <w:szCs w:val="17"/>
          <w:color w:val="auto"/>
        </w:rPr>
        <w:t>) accordingly and paragraph (c) of Clause 10.2 (</w:t>
      </w:r>
      <w:r>
        <w:rPr>
          <w:rFonts w:ascii="Times New Roman" w:cs="Times New Roman" w:eastAsia="Times New Roman" w:hAnsi="Times New Roman"/>
          <w:sz w:val="17"/>
          <w:szCs w:val="17"/>
          <w:i w:val="1"/>
          <w:iCs w:val="1"/>
          <w:color w:val="auto"/>
        </w:rPr>
        <w:t>Mandatory Prepayment Event</w:t>
      </w:r>
      <w:r>
        <w:rPr>
          <w:rFonts w:ascii="Times New Roman" w:cs="Times New Roman" w:eastAsia="Times New Roman" w:hAnsi="Times New Roman"/>
          <w:sz w:val="17"/>
          <w:szCs w:val="17"/>
          <w:color w:val="auto"/>
        </w:rPr>
        <w:t>) shall not apply with respect to that Lender.</w:t>
      </w:r>
    </w:p>
    <w:p>
      <w:pPr>
        <w:spacing w:after="0" w:line="109"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364" w:name="page365"/>
    <w:bookmarkEnd w:id="364"/>
    <w:p>
      <w:pPr>
        <w:ind w:left="1268" w:hanging="523"/>
        <w:spacing w:after="0"/>
        <w:tabs>
          <w:tab w:leader="none" w:pos="1268" w:val="left"/>
        </w:tabs>
        <w:numPr>
          <w:ilvl w:val="1"/>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Agent shall promptly notify the Company of each notice received by a Lender in accordance with paragraph (a) above.</w:t>
      </w:r>
    </w:p>
    <w:p>
      <w:pPr>
        <w:spacing w:after="0" w:line="364"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3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Restrictions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Notices of cancellation or prepayment</w:t>
      </w:r>
    </w:p>
    <w:p>
      <w:pPr>
        <w:spacing w:after="0" w:line="118" w:lineRule="exact"/>
        <w:rPr>
          <w:sz w:val="20"/>
          <w:szCs w:val="20"/>
          <w:color w:val="auto"/>
        </w:rPr>
      </w:pPr>
    </w:p>
    <w:p>
      <w:pPr>
        <w:ind w:left="748" w:right="60"/>
        <w:spacing w:after="0" w:line="270" w:lineRule="auto"/>
        <w:rPr>
          <w:sz w:val="20"/>
          <w:szCs w:val="20"/>
          <w:color w:val="auto"/>
        </w:rPr>
      </w:pPr>
      <w:r>
        <w:rPr>
          <w:rFonts w:ascii="Times New Roman" w:cs="Times New Roman" w:eastAsia="Times New Roman" w:hAnsi="Times New Roman"/>
          <w:sz w:val="17"/>
          <w:szCs w:val="17"/>
          <w:color w:val="auto"/>
        </w:rPr>
        <w:t>Any notice of cancellation or prepayment, authorisation or other election given by any Party under Clause 9 (</w:t>
      </w:r>
      <w:r>
        <w:rPr>
          <w:rFonts w:ascii="Times New Roman" w:cs="Times New Roman" w:eastAsia="Times New Roman" w:hAnsi="Times New Roman"/>
          <w:sz w:val="17"/>
          <w:szCs w:val="17"/>
          <w:i w:val="1"/>
          <w:iCs w:val="1"/>
          <w:color w:val="auto"/>
        </w:rPr>
        <w:t>Illegality, voluntary prepayment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cancellation</w:t>
      </w:r>
      <w:r>
        <w:rPr>
          <w:rFonts w:ascii="Times New Roman" w:cs="Times New Roman" w:eastAsia="Times New Roman" w:hAnsi="Times New Roman"/>
          <w:sz w:val="17"/>
          <w:szCs w:val="17"/>
          <w:color w:val="auto"/>
        </w:rPr>
        <w:t>) or Clause 10 (</w:t>
      </w:r>
      <w:r>
        <w:rPr>
          <w:rFonts w:ascii="Times New Roman" w:cs="Times New Roman" w:eastAsia="Times New Roman" w:hAnsi="Times New Roman"/>
          <w:sz w:val="17"/>
          <w:szCs w:val="17"/>
          <w:i w:val="1"/>
          <w:iCs w:val="1"/>
          <w:color w:val="auto"/>
        </w:rPr>
        <w:t>Mandatory Prepayment elections</w:t>
      </w:r>
      <w:r>
        <w:rPr>
          <w:rFonts w:ascii="Times New Roman" w:cs="Times New Roman" w:eastAsia="Times New Roman" w:hAnsi="Times New Roman"/>
          <w:sz w:val="17"/>
          <w:szCs w:val="17"/>
          <w:color w:val="auto"/>
        </w:rPr>
        <w:t>) shall be irrevocable and, unless a contrary indication appears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any such notice shall specify the date or dates upon which the relevant cancellation or prepayment is to be made, the affected Facility (or Facilities) and Utilisations and the amount of that cancellation or prepayment.</w:t>
      </w:r>
    </w:p>
    <w:p>
      <w:pPr>
        <w:spacing w:after="0" w:line="310"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120" w:lineRule="exact"/>
        <w:rPr>
          <w:sz w:val="20"/>
          <w:szCs w:val="20"/>
          <w:color w:val="auto"/>
        </w:rPr>
      </w:pPr>
    </w:p>
    <w:p>
      <w:pPr>
        <w:ind w:left="748" w:right="240"/>
        <w:spacing w:after="0" w:line="295" w:lineRule="auto"/>
        <w:rPr>
          <w:sz w:val="20"/>
          <w:szCs w:val="20"/>
          <w:color w:val="auto"/>
        </w:rPr>
      </w:pPr>
      <w:r>
        <w:rPr>
          <w:rFonts w:ascii="Times New Roman" w:cs="Times New Roman" w:eastAsia="Times New Roman" w:hAnsi="Times New Roman"/>
          <w:sz w:val="17"/>
          <w:szCs w:val="17"/>
          <w:color w:val="auto"/>
        </w:rPr>
        <w:t>Any prepayment under this Agreement shall be made together with accrued (but unpaid) interest on the amount prepaid and, subject to any Break Costs, without premium or penalty.</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Reborrowing of Facilities</w:t>
      </w:r>
    </w:p>
    <w:p>
      <w:pPr>
        <w:spacing w:after="0" w:line="120" w:lineRule="exact"/>
        <w:rPr>
          <w:sz w:val="20"/>
          <w:szCs w:val="20"/>
          <w:color w:val="auto"/>
        </w:rPr>
      </w:pPr>
    </w:p>
    <w:p>
      <w:pPr>
        <w:ind w:left="748" w:right="280"/>
        <w:spacing w:after="0" w:line="276" w:lineRule="auto"/>
        <w:rPr>
          <w:sz w:val="20"/>
          <w:szCs w:val="20"/>
          <w:color w:val="auto"/>
        </w:rPr>
      </w:pPr>
      <w:r>
        <w:rPr>
          <w:rFonts w:ascii="Times New Roman" w:cs="Times New Roman" w:eastAsia="Times New Roman" w:hAnsi="Times New Roman"/>
          <w:sz w:val="17"/>
          <w:szCs w:val="17"/>
          <w:color w:val="auto"/>
        </w:rPr>
        <w:t>The Company may not reborrow any part of any Incremental Term Loan Facility which is prepaid. Unless a contrary indication appears in this Agreement, any part of the Initial Facility or an Incremental Revolving Credit Facility which is repaid or voluntarily prepaid may be reborrowed in accordance with the terms of this Agreement.</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120" w:lineRule="exact"/>
        <w:rPr>
          <w:sz w:val="20"/>
          <w:szCs w:val="20"/>
          <w:color w:val="auto"/>
        </w:rPr>
      </w:pPr>
    </w:p>
    <w:p>
      <w:pPr>
        <w:ind w:left="748" w:right="40"/>
        <w:spacing w:after="0" w:line="295" w:lineRule="auto"/>
        <w:rPr>
          <w:sz w:val="20"/>
          <w:szCs w:val="20"/>
          <w:color w:val="auto"/>
        </w:rPr>
      </w:pPr>
      <w:r>
        <w:rPr>
          <w:rFonts w:ascii="Times New Roman" w:cs="Times New Roman" w:eastAsia="Times New Roman" w:hAnsi="Times New Roman"/>
          <w:sz w:val="17"/>
          <w:szCs w:val="17"/>
          <w:color w:val="auto"/>
        </w:rPr>
        <w:t>The Company shall not repay or prepay all or any part of the Utilisations or cancel all or any part of the Commitments except at the times and in the manner expressly provided for in this Agreement.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No amount of any Commitments cancelled under this Agreement may be subsequently reinstated.</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118" w:lineRule="exact"/>
        <w:rPr>
          <w:sz w:val="20"/>
          <w:szCs w:val="20"/>
          <w:color w:val="auto"/>
        </w:rPr>
      </w:pPr>
    </w:p>
    <w:p>
      <w:pPr>
        <w:ind w:left="748" w:right="500"/>
        <w:spacing w:after="0" w:line="298" w:lineRule="auto"/>
        <w:rPr>
          <w:sz w:val="20"/>
          <w:szCs w:val="20"/>
          <w:color w:val="auto"/>
        </w:rPr>
      </w:pPr>
      <w:r>
        <w:rPr>
          <w:rFonts w:ascii="Times New Roman" w:cs="Times New Roman" w:eastAsia="Times New Roman" w:hAnsi="Times New Roman"/>
          <w:sz w:val="17"/>
          <w:szCs w:val="17"/>
          <w:color w:val="auto"/>
        </w:rPr>
        <w:t>If the Agent receives a notice or election under Clause 9 (</w:t>
      </w:r>
      <w:r>
        <w:rPr>
          <w:rFonts w:ascii="Times New Roman" w:cs="Times New Roman" w:eastAsia="Times New Roman" w:hAnsi="Times New Roman"/>
          <w:sz w:val="17"/>
          <w:szCs w:val="17"/>
          <w:i w:val="1"/>
          <w:iCs w:val="1"/>
          <w:color w:val="auto"/>
        </w:rPr>
        <w:t>Illegality, voluntary prepayment and cancellation</w:t>
      </w:r>
      <w:r>
        <w:rPr>
          <w:rFonts w:ascii="Times New Roman" w:cs="Times New Roman" w:eastAsia="Times New Roman" w:hAnsi="Times New Roman"/>
          <w:sz w:val="17"/>
          <w:szCs w:val="17"/>
          <w:color w:val="auto"/>
        </w:rPr>
        <w:t>) or Clause 10 (</w:t>
      </w:r>
      <w:r>
        <w:rPr>
          <w:rFonts w:ascii="Times New Roman" w:cs="Times New Roman" w:eastAsia="Times New Roman" w:hAnsi="Times New Roman"/>
          <w:sz w:val="17"/>
          <w:szCs w:val="17"/>
          <w:i w:val="1"/>
          <w:iCs w:val="1"/>
          <w:color w:val="auto"/>
        </w:rPr>
        <w:t>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prepayment</w:t>
      </w:r>
      <w:r>
        <w:rPr>
          <w:rFonts w:ascii="Times New Roman" w:cs="Times New Roman" w:eastAsia="Times New Roman" w:hAnsi="Times New Roman"/>
          <w:sz w:val="17"/>
          <w:szCs w:val="17"/>
          <w:color w:val="auto"/>
        </w:rPr>
        <w:t>), it shall promptly forward a copy of that notice or election to either the Company or the affected Lender(s), as appropriate.</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11.7</w:t>
      </w:r>
      <w:r>
        <w:rPr>
          <w:sz w:val="20"/>
          <w:szCs w:val="20"/>
          <w:color w:val="auto"/>
        </w:rPr>
        <w:tab/>
      </w:r>
      <w:r>
        <w:rPr>
          <w:rFonts w:ascii="Times New Roman" w:cs="Times New Roman" w:eastAsia="Times New Roman" w:hAnsi="Times New Roman"/>
          <w:sz w:val="17"/>
          <w:szCs w:val="17"/>
          <w:b w:val="1"/>
          <w:bCs w:val="1"/>
          <w:color w:val="auto"/>
        </w:rPr>
        <w:t>Effect of repayment and prepayment</w:t>
      </w:r>
    </w:p>
    <w:p>
      <w:pPr>
        <w:spacing w:after="0" w:line="118" w:lineRule="exact"/>
        <w:rPr>
          <w:sz w:val="20"/>
          <w:szCs w:val="20"/>
          <w:color w:val="auto"/>
        </w:rPr>
      </w:pPr>
    </w:p>
    <w:p>
      <w:pPr>
        <w:ind w:left="748"/>
        <w:spacing w:after="0" w:line="262" w:lineRule="auto"/>
        <w:rPr>
          <w:sz w:val="20"/>
          <w:szCs w:val="20"/>
          <w:color w:val="auto"/>
        </w:rPr>
      </w:pPr>
      <w:r>
        <w:rPr>
          <w:rFonts w:ascii="Times New Roman" w:cs="Times New Roman" w:eastAsia="Times New Roman" w:hAnsi="Times New Roman"/>
          <w:sz w:val="17"/>
          <w:szCs w:val="17"/>
          <w:color w:val="auto"/>
        </w:rPr>
        <w:t>If all or part of a Loan under a Facility is repaid or prepaid and is not available for redrawing (other than by operation of Clause 4.2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an amount of the Commitments (equal to the amount of the Base Currency Amount of the Loan which is repaid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prepaid) in respect of that Facility will be deemed to be cancelled on the date of repayment or prepayment. Any cancellation under this Clause 11.7 (save in connection with any repayment or, as the case may be, prepayment under paragraph (c) of Clause 9.1 (</w:t>
      </w:r>
      <w:r>
        <w:rPr>
          <w:rFonts w:ascii="Times New Roman" w:cs="Times New Roman" w:eastAsia="Times New Roman" w:hAnsi="Times New Roman"/>
          <w:sz w:val="17"/>
          <w:szCs w:val="17"/>
          <w:i w:val="1"/>
          <w:iCs w:val="1"/>
          <w:color w:val="auto"/>
        </w:rPr>
        <w:t>Illegality</w:t>
      </w:r>
      <w:r>
        <w:rPr>
          <w:rFonts w:ascii="Times New Roman" w:cs="Times New Roman" w:eastAsia="Times New Roman" w:hAnsi="Times New Roman"/>
          <w:sz w:val="17"/>
          <w:szCs w:val="17"/>
          <w:color w:val="auto"/>
        </w:rPr>
        <w:t>) or paragraph</w:t>
      </w:r>
    </w:p>
    <w:p>
      <w:pPr>
        <w:spacing w:after="0" w:line="3" w:lineRule="exact"/>
        <w:rPr>
          <w:sz w:val="20"/>
          <w:szCs w:val="20"/>
          <w:color w:val="auto"/>
        </w:rPr>
      </w:pPr>
    </w:p>
    <w:p>
      <w:pPr>
        <w:ind w:left="748" w:right="20" w:hanging="2"/>
        <w:spacing w:after="0" w:line="273" w:lineRule="auto"/>
        <w:tabs>
          <w:tab w:leader="none" w:pos="985"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Clause 9.4 (</w:t>
      </w:r>
      <w:r>
        <w:rPr>
          <w:rFonts w:ascii="Times New Roman" w:cs="Times New Roman" w:eastAsia="Times New Roman" w:hAnsi="Times New Roman"/>
          <w:sz w:val="17"/>
          <w:szCs w:val="17"/>
          <w:i w:val="1"/>
          <w:iCs w:val="1"/>
          <w:color w:val="auto"/>
        </w:rPr>
        <w:t>Right of cancellation and prepayment in relation to a single Lender</w:t>
      </w:r>
      <w:r>
        <w:rPr>
          <w:rFonts w:ascii="Times New Roman" w:cs="Times New Roman" w:eastAsia="Times New Roman" w:hAnsi="Times New Roman"/>
          <w:sz w:val="17"/>
          <w:szCs w:val="17"/>
          <w:color w:val="auto"/>
        </w:rPr>
        <w:t>)) shall reduce the Commitments of the Lenders rateably under that Facility.</w:t>
      </w:r>
    </w:p>
    <w:p>
      <w:pPr>
        <w:spacing w:after="0" w:line="99"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365" w:name="page366"/>
    <w:bookmarkEnd w:id="365"/>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5</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Costs of utilisation</w:t>
      </w:r>
    </w:p>
    <w:p>
      <w:pPr>
        <w:spacing w:after="0" w:line="229" w:lineRule="exact"/>
        <w:rPr>
          <w:sz w:val="20"/>
          <w:szCs w:val="20"/>
          <w:color w:val="auto"/>
        </w:rPr>
      </w:pPr>
    </w:p>
    <w:p>
      <w:pPr>
        <w:ind w:left="748" w:hanging="748"/>
        <w:spacing w:after="0"/>
        <w:tabs>
          <w:tab w:leader="none" w:pos="748" w:val="left"/>
        </w:tabs>
        <w:numPr>
          <w:ilvl w:val="0"/>
          <w:numId w:val="3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133" w:lineRule="exact"/>
        <w:rPr>
          <w:sz w:val="20"/>
          <w:szCs w:val="20"/>
          <w:color w:val="auto"/>
        </w:rPr>
      </w:pPr>
    </w:p>
    <w:p>
      <w:pPr>
        <w:ind w:left="1268" w:right="100" w:hanging="523"/>
        <w:spacing w:after="0" w:line="295" w:lineRule="auto"/>
        <w:tabs>
          <w:tab w:leader="none" w:pos="1268"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interest on each Initial Facility Loan for each Interest Period relating thereto is the percentage rate per annum which is the aggregate of the applicable:</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Margin; and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 relation to any Initial Facility Loan in the Base Currency, HIBOR;</w:t>
      </w:r>
    </w:p>
    <w:p>
      <w:pPr>
        <w:spacing w:after="0" w:line="131" w:lineRule="exact"/>
        <w:rPr>
          <w:rFonts w:ascii="Times New Roman" w:cs="Times New Roman" w:eastAsia="Times New Roman" w:hAnsi="Times New Roman"/>
          <w:sz w:val="17"/>
          <w:szCs w:val="17"/>
          <w:color w:val="auto"/>
        </w:rPr>
      </w:pPr>
    </w:p>
    <w:p>
      <w:pPr>
        <w:ind w:left="2428" w:hanging="520"/>
        <w:spacing w:after="0"/>
        <w:tabs>
          <w:tab w:leader="none" w:pos="2428" w:val="left"/>
        </w:tabs>
        <w:numPr>
          <w:ilvl w:val="2"/>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Initial Facility Loan in US dollars:</w:t>
      </w:r>
    </w:p>
    <w:p>
      <w:pPr>
        <w:spacing w:after="0" w:line="131" w:lineRule="exact"/>
        <w:rPr>
          <w:rFonts w:ascii="Times New Roman" w:cs="Times New Roman" w:eastAsia="Times New Roman" w:hAnsi="Times New Roman"/>
          <w:sz w:val="17"/>
          <w:szCs w:val="17"/>
          <w:color w:val="auto"/>
        </w:rPr>
      </w:pPr>
    </w:p>
    <w:p>
      <w:pPr>
        <w:ind w:left="3068" w:hanging="624"/>
        <w:spacing w:after="0"/>
        <w:tabs>
          <w:tab w:leader="none" w:pos="3068" w:val="left"/>
        </w:tabs>
        <w:numPr>
          <w:ilvl w:val="3"/>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Rate; and</w:t>
      </w:r>
    </w:p>
    <w:p>
      <w:pPr>
        <w:spacing w:after="0" w:line="131" w:lineRule="exact"/>
        <w:rPr>
          <w:rFonts w:ascii="Times New Roman" w:cs="Times New Roman" w:eastAsia="Times New Roman" w:hAnsi="Times New Roman"/>
          <w:sz w:val="17"/>
          <w:szCs w:val="17"/>
          <w:color w:val="auto"/>
        </w:rPr>
      </w:pPr>
    </w:p>
    <w:p>
      <w:pPr>
        <w:ind w:left="3068" w:hanging="624"/>
        <w:spacing w:after="0"/>
        <w:tabs>
          <w:tab w:leader="none" w:pos="3068" w:val="left"/>
        </w:tabs>
        <w:numPr>
          <w:ilvl w:val="3"/>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Credit Adjustment Spread; or</w:t>
      </w:r>
    </w:p>
    <w:p>
      <w:pPr>
        <w:spacing w:after="0" w:line="131" w:lineRule="exact"/>
        <w:rPr>
          <w:rFonts w:ascii="Times New Roman" w:cs="Times New Roman" w:eastAsia="Times New Roman" w:hAnsi="Times New Roman"/>
          <w:sz w:val="17"/>
          <w:szCs w:val="17"/>
          <w:color w:val="auto"/>
        </w:rPr>
      </w:pPr>
    </w:p>
    <w:p>
      <w:pPr>
        <w:ind w:left="2428" w:hanging="520"/>
        <w:spacing w:after="0"/>
        <w:tabs>
          <w:tab w:leader="none" w:pos="2428" w:val="left"/>
        </w:tabs>
        <w:numPr>
          <w:ilvl w:val="2"/>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Initial Facility Loan in any other currency, the Benchmark Rate for that currency,</w:t>
      </w:r>
    </w:p>
    <w:p>
      <w:pPr>
        <w:spacing w:after="0" w:line="118" w:lineRule="exact"/>
        <w:rPr>
          <w:sz w:val="20"/>
          <w:szCs w:val="20"/>
          <w:color w:val="auto"/>
        </w:rPr>
      </w:pPr>
    </w:p>
    <w:p>
      <w:pPr>
        <w:ind w:left="1928"/>
        <w:spacing w:after="0"/>
        <w:rPr>
          <w:sz w:val="20"/>
          <w:szCs w:val="20"/>
          <w:color w:val="auto"/>
        </w:rPr>
      </w:pPr>
      <w:r>
        <w:rPr>
          <w:rFonts w:ascii="Times New Roman" w:cs="Times New Roman" w:eastAsia="Times New Roman" w:hAnsi="Times New Roman"/>
          <w:sz w:val="17"/>
          <w:szCs w:val="17"/>
          <w:color w:val="auto"/>
        </w:rPr>
        <w:t>in each case for such Initial Facility Loan and such Interest Period.</w:t>
      </w:r>
    </w:p>
    <w:p>
      <w:pPr>
        <w:spacing w:after="0" w:line="131" w:lineRule="exact"/>
        <w:rPr>
          <w:sz w:val="20"/>
          <w:szCs w:val="20"/>
          <w:color w:val="auto"/>
        </w:rPr>
      </w:pPr>
    </w:p>
    <w:p>
      <w:pPr>
        <w:ind w:left="1268" w:right="20" w:hanging="523"/>
        <w:spacing w:after="0" w:line="295" w:lineRule="auto"/>
        <w:tabs>
          <w:tab w:leader="none" w:pos="1268"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interest on each Loan under an Incremental Facility for an Interest Period shall be determined in accordance with the terms of the Incremental Facility Notice in respect of such Incremental Facility.</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33" w:lineRule="exact"/>
        <w:rPr>
          <w:sz w:val="20"/>
          <w:szCs w:val="20"/>
          <w:color w:val="auto"/>
        </w:rPr>
      </w:pPr>
    </w:p>
    <w:p>
      <w:pPr>
        <w:ind w:left="1268" w:right="60" w:hanging="523"/>
        <w:spacing w:after="0" w:line="276" w:lineRule="auto"/>
        <w:tabs>
          <w:tab w:leader="none" w:pos="1268"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accrued interest on each Initial Facility Loan on the last day of each Interest Period relating to that Loan (and, if that Interest Period is longer than three (3) Months, on the dates falling at three-monthly intervals after the first day of that Interest Period).</w:t>
      </w:r>
    </w:p>
    <w:p>
      <w:pPr>
        <w:spacing w:after="0" w:line="70" w:lineRule="exact"/>
        <w:rPr>
          <w:rFonts w:ascii="Times New Roman" w:cs="Times New Roman" w:eastAsia="Times New Roman" w:hAnsi="Times New Roman"/>
          <w:sz w:val="17"/>
          <w:szCs w:val="17"/>
          <w:color w:val="auto"/>
        </w:rPr>
      </w:pPr>
    </w:p>
    <w:p>
      <w:pPr>
        <w:ind w:left="1268" w:right="840" w:hanging="523"/>
        <w:spacing w:after="0" w:line="295" w:lineRule="auto"/>
        <w:tabs>
          <w:tab w:leader="none" w:pos="1268"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each Incremental Facility Loan under any Incremental Facility shall be paid in accordance with the terms of the Incremental Facility Notice relating to such Incremental Facility.</w:t>
      </w:r>
    </w:p>
    <w:p>
      <w:pPr>
        <w:spacing w:after="0" w:line="55" w:lineRule="exact"/>
        <w:rPr>
          <w:rFonts w:ascii="Times New Roman" w:cs="Times New Roman" w:eastAsia="Times New Roman" w:hAnsi="Times New Roman"/>
          <w:sz w:val="17"/>
          <w:szCs w:val="17"/>
          <w:color w:val="auto"/>
        </w:rPr>
      </w:pPr>
    </w:p>
    <w:p>
      <w:pPr>
        <w:ind w:left="1268" w:right="240" w:hanging="523"/>
        <w:spacing w:after="0" w:line="269" w:lineRule="auto"/>
        <w:tabs>
          <w:tab w:leader="none" w:pos="1268"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annual audited financial statements of the Group and related Compliance Certificate received by the Agent show that a higher Margin should have applied to a Loan during a certain period, then the Company shall promptly pay to the Agent any amounts necessary to put the Agent and the Lenders in the position they would have been in had the appropriate rate of the Margin applied during such period.</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133" w:lineRule="exact"/>
        <w:rPr>
          <w:sz w:val="20"/>
          <w:szCs w:val="20"/>
          <w:color w:val="auto"/>
        </w:rPr>
      </w:pPr>
    </w:p>
    <w:p>
      <w:pPr>
        <w:ind w:left="1268" w:right="160" w:hanging="523"/>
        <w:spacing w:after="0" w:line="267" w:lineRule="auto"/>
        <w:tabs>
          <w:tab w:leader="none" w:pos="1268"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fails to pay any amount payable by it under a Finance Document on its due date, interest shall accrue on the overdue amount from the due date up to the date of actual payment (both before and after judgment) at a rate which, subject to paragraph</w:t>
      </w:r>
    </w:p>
    <w:p>
      <w:pPr>
        <w:spacing w:after="0" w:line="1" w:lineRule="exact"/>
        <w:rPr>
          <w:rFonts w:ascii="Times New Roman" w:cs="Times New Roman" w:eastAsia="Times New Roman" w:hAnsi="Times New Roman"/>
          <w:sz w:val="17"/>
          <w:szCs w:val="17"/>
          <w:color w:val="auto"/>
        </w:rPr>
      </w:pPr>
    </w:p>
    <w:p>
      <w:pPr>
        <w:ind w:left="1268"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below, is 2.00 per cent. per annum higher than the rate which would have been payable if the overdue amount had, during the period of non-payment, constituted a Loan made under this Agreement (under the Facility to which such overdue amount relates or, if such overdue amount does not specifically relate to any Facility, under the Initial Facility) in the currency of the overdue amount for successive Interest Periods, each of a duration selected by the Agent (acting reasonably). Any interest accruing under this Clause 12.3 shall be immediately payable by the Company on demand by the Agent.</w:t>
      </w:r>
    </w:p>
    <w:p>
      <w:pPr>
        <w:spacing w:after="0" w:line="112"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66" w:name="page367"/>
    <w:bookmarkEnd w:id="366"/>
    <w:p>
      <w:pPr>
        <w:ind w:left="1268" w:right="280" w:hanging="523"/>
        <w:spacing w:after="0" w:line="295" w:lineRule="auto"/>
        <w:tabs>
          <w:tab w:leader="none" w:pos="1268"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any overdue amount consists of all or part of a Loan which became due on a day which was not the last day of an Interest Period relating to that Loan:</w:t>
      </w:r>
    </w:p>
    <w:p>
      <w:pPr>
        <w:spacing w:after="0" w:line="55" w:lineRule="exact"/>
        <w:rPr>
          <w:rFonts w:ascii="Times New Roman" w:cs="Times New Roman" w:eastAsia="Times New Roman" w:hAnsi="Times New Roman"/>
          <w:sz w:val="17"/>
          <w:szCs w:val="17"/>
          <w:color w:val="auto"/>
        </w:rPr>
      </w:pPr>
    </w:p>
    <w:p>
      <w:pPr>
        <w:ind w:left="1888" w:right="260" w:hanging="620"/>
        <w:spacing w:after="0" w:line="295" w:lineRule="auto"/>
        <w:tabs>
          <w:tab w:leader="none" w:pos="1888"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Interest Period for that overdue amount shall have a duration equal to the unexpired portion of the current Interest Period relating to that Loan; and</w:t>
      </w:r>
    </w:p>
    <w:p>
      <w:pPr>
        <w:spacing w:after="0" w:line="55" w:lineRule="exact"/>
        <w:rPr>
          <w:rFonts w:ascii="Times New Roman" w:cs="Times New Roman" w:eastAsia="Times New Roman" w:hAnsi="Times New Roman"/>
          <w:sz w:val="17"/>
          <w:szCs w:val="17"/>
          <w:color w:val="auto"/>
        </w:rPr>
      </w:pPr>
    </w:p>
    <w:p>
      <w:pPr>
        <w:ind w:left="1888" w:right="220" w:hanging="620"/>
        <w:spacing w:after="0" w:line="295" w:lineRule="auto"/>
        <w:tabs>
          <w:tab w:leader="none" w:pos="1888"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interest applying to the overdue amount during that first Interest Period shall be 2.00 per cent. per annum higher than the rate which would have applied if the overdue amount had not become due.</w:t>
      </w:r>
    </w:p>
    <w:p>
      <w:pPr>
        <w:spacing w:after="0" w:line="55" w:lineRule="exact"/>
        <w:rPr>
          <w:rFonts w:ascii="Times New Roman" w:cs="Times New Roman" w:eastAsia="Times New Roman" w:hAnsi="Times New Roman"/>
          <w:sz w:val="17"/>
          <w:szCs w:val="17"/>
          <w:color w:val="auto"/>
        </w:rPr>
      </w:pPr>
    </w:p>
    <w:p>
      <w:pPr>
        <w:ind w:left="1268" w:right="340" w:hanging="523"/>
        <w:spacing w:after="0" w:line="295" w:lineRule="auto"/>
        <w:tabs>
          <w:tab w:leader="none" w:pos="1268"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interest (if unpaid) arising on an overdue amount will be compounded with the overdue amount at the end of each Interest Period applicable to that overdue amount but will remain immediately due and payable.</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33" w:lineRule="exact"/>
        <w:rPr>
          <w:sz w:val="20"/>
          <w:szCs w:val="20"/>
          <w:color w:val="auto"/>
        </w:rPr>
      </w:pPr>
    </w:p>
    <w:p>
      <w:pPr>
        <w:ind w:left="1268" w:hanging="523"/>
        <w:spacing w:after="0"/>
        <w:tabs>
          <w:tab w:leader="none" w:pos="1268"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promptly notify the Lenders and the Company of the determination of a rate of interest under this Agreement.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promptly notify the Company of each Funding Rate relating to a Loan.</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any Fallback Interest Payment, the Agent shall promptly upon a Fallback Interest Payment being determinable notify:</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of that Fallback Interest Payment; and</w:t>
      </w:r>
    </w:p>
    <w:p>
      <w:pPr>
        <w:spacing w:after="0" w:line="131" w:lineRule="exact"/>
        <w:rPr>
          <w:rFonts w:ascii="Times New Roman" w:cs="Times New Roman" w:eastAsia="Times New Roman" w:hAnsi="Times New Roman"/>
          <w:sz w:val="17"/>
          <w:szCs w:val="17"/>
          <w:color w:val="auto"/>
        </w:rPr>
      </w:pPr>
    </w:p>
    <w:p>
      <w:pPr>
        <w:ind w:left="1888" w:right="260" w:hanging="620"/>
        <w:spacing w:after="0" w:line="295" w:lineRule="auto"/>
        <w:tabs>
          <w:tab w:leader="none" w:pos="1888" w:val="left"/>
        </w:tabs>
        <w:numPr>
          <w:ilvl w:val="2"/>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relevant Lender of the proportion of that Fallback Interest Payment which relates to that Lender’s participation in the relevant Term SOFR Loan.</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Clause 12.4 shall not require the Agent to make any notification to any Party on a day which is not a Business Day.</w:t>
      </w:r>
    </w:p>
    <w:p>
      <w:pPr>
        <w:spacing w:after="0" w:line="364"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 Periods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33" w:lineRule="exact"/>
        <w:rPr>
          <w:sz w:val="20"/>
          <w:szCs w:val="20"/>
          <w:color w:val="auto"/>
        </w:rPr>
      </w:pPr>
    </w:p>
    <w:p>
      <w:pPr>
        <w:jc w:val="both"/>
        <w:ind w:left="1268" w:right="480" w:hanging="523"/>
        <w:spacing w:after="0" w:line="295" w:lineRule="auto"/>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select an Interest Period for a Loan in the Utilisation Request for that Loan or (if the Loan is an Incremental Facility Loan under an Incremental Term Loan Facility (a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and has already been borrowed) in a Selection Notice.</w:t>
      </w:r>
    </w:p>
    <w:p>
      <w:pPr>
        <w:spacing w:after="0" w:line="55" w:lineRule="exact"/>
        <w:rPr>
          <w:rFonts w:ascii="Times New Roman" w:cs="Times New Roman" w:eastAsia="Times New Roman" w:hAnsi="Times New Roman"/>
          <w:sz w:val="17"/>
          <w:szCs w:val="17"/>
          <w:color w:val="auto"/>
        </w:rPr>
      </w:pPr>
    </w:p>
    <w:p>
      <w:pPr>
        <w:ind w:left="1268" w:right="60" w:hanging="523"/>
        <w:spacing w:after="0" w:line="295" w:lineRule="auto"/>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Selection Notice for a Term Loan is irrevocable and must be delivered to the Agent by the Company not later than 11.00 a.m. on the third Business Day prior to the last day of the then applicable Interest Period for that Term Loan.</w:t>
      </w:r>
    </w:p>
    <w:p>
      <w:pPr>
        <w:spacing w:after="0" w:line="55" w:lineRule="exact"/>
        <w:rPr>
          <w:rFonts w:ascii="Times New Roman" w:cs="Times New Roman" w:eastAsia="Times New Roman" w:hAnsi="Times New Roman"/>
          <w:sz w:val="17"/>
          <w:szCs w:val="17"/>
          <w:color w:val="auto"/>
        </w:rPr>
      </w:pPr>
    </w:p>
    <w:p>
      <w:pPr>
        <w:ind w:left="1268" w:right="260" w:hanging="523"/>
        <w:spacing w:after="0" w:line="295" w:lineRule="auto"/>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fails to deliver a Selection Notice to the Agent in accordance with paragraph (b) above, the relevant Interest Period will be one Month.</w:t>
      </w:r>
    </w:p>
    <w:p>
      <w:pPr>
        <w:spacing w:after="0" w:line="55" w:lineRule="exact"/>
        <w:rPr>
          <w:rFonts w:ascii="Times New Roman" w:cs="Times New Roman" w:eastAsia="Times New Roman" w:hAnsi="Times New Roman"/>
          <w:sz w:val="17"/>
          <w:szCs w:val="17"/>
          <w:color w:val="auto"/>
        </w:rPr>
      </w:pPr>
    </w:p>
    <w:p>
      <w:pPr>
        <w:ind w:left="1268" w:right="180" w:hanging="523"/>
        <w:spacing w:after="0" w:line="295" w:lineRule="auto"/>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this Clause 13, the Company may select an Interest Period for a Loan of one, two, three or six Months or any other period agreed between the Company and the Agent (acting on the instructions of all the Lenders in relation to the relevant Loan).</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Interest Period for a Loan under a Facility shall not extend beyond the Termination Date applicable to that Facility.</w:t>
      </w:r>
    </w:p>
    <w:p>
      <w:pPr>
        <w:spacing w:after="0" w:line="131" w:lineRule="exact"/>
        <w:rPr>
          <w:rFonts w:ascii="Times New Roman" w:cs="Times New Roman" w:eastAsia="Times New Roman" w:hAnsi="Times New Roman"/>
          <w:sz w:val="17"/>
          <w:szCs w:val="17"/>
          <w:color w:val="auto"/>
        </w:rPr>
      </w:pPr>
    </w:p>
    <w:p>
      <w:pPr>
        <w:ind w:left="1268" w:right="300" w:hanging="523"/>
        <w:spacing w:after="0" w:line="295" w:lineRule="auto"/>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Interest Period for a Term Loan shall start on the Utilisation Date or (if already made) on the last day of its preceding Interest Period.</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that is not a Term Loan has only one Interest Period.</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367" w:name="page368"/>
    <w:bookmarkEnd w:id="367"/>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13.2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20" w:lineRule="exact"/>
        <w:rPr>
          <w:sz w:val="20"/>
          <w:szCs w:val="20"/>
          <w:color w:val="auto"/>
        </w:rPr>
      </w:pPr>
    </w:p>
    <w:p>
      <w:pPr>
        <w:ind w:left="748" w:right="40"/>
        <w:spacing w:after="0" w:line="295" w:lineRule="auto"/>
        <w:rPr>
          <w:sz w:val="20"/>
          <w:szCs w:val="20"/>
          <w:color w:val="auto"/>
        </w:rPr>
      </w:pPr>
      <w:r>
        <w:rPr>
          <w:rFonts w:ascii="Times New Roman" w:cs="Times New Roman" w:eastAsia="Times New Roman" w:hAnsi="Times New Roman"/>
          <w:sz w:val="17"/>
          <w:szCs w:val="17"/>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Consolidation and division of Term Loans</w:t>
      </w:r>
    </w:p>
    <w:p>
      <w:pPr>
        <w:spacing w:after="0" w:line="133" w:lineRule="exact"/>
        <w:rPr>
          <w:sz w:val="20"/>
          <w:szCs w:val="20"/>
          <w:color w:val="auto"/>
        </w:rPr>
      </w:pPr>
    </w:p>
    <w:p>
      <w:pPr>
        <w:ind w:left="1268" w:hanging="523"/>
        <w:spacing w:after="0"/>
        <w:tabs>
          <w:tab w:leader="none" w:pos="1268"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(b) below, if two or more Interest Periods:</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 to Incremental Facility Loans made under the same Incremental Facility; and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 on the same date,</w:t>
      </w:r>
    </w:p>
    <w:p>
      <w:pPr>
        <w:spacing w:after="0" w:line="118" w:lineRule="exact"/>
        <w:rPr>
          <w:sz w:val="20"/>
          <w:szCs w:val="20"/>
          <w:color w:val="auto"/>
        </w:rPr>
      </w:pPr>
    </w:p>
    <w:p>
      <w:pPr>
        <w:ind w:left="1288" w:right="520"/>
        <w:spacing w:after="0" w:line="295" w:lineRule="auto"/>
        <w:rPr>
          <w:sz w:val="20"/>
          <w:szCs w:val="20"/>
          <w:color w:val="auto"/>
        </w:rPr>
      </w:pPr>
      <w:r>
        <w:rPr>
          <w:rFonts w:ascii="Times New Roman" w:cs="Times New Roman" w:eastAsia="Times New Roman" w:hAnsi="Times New Roman"/>
          <w:sz w:val="17"/>
          <w:szCs w:val="17"/>
          <w:color w:val="auto"/>
        </w:rPr>
        <w:t>those Incremental Facility Loans will, unless the Company specifies to the contrary in the Selection Notice for the next Interest Period, be consolidated into, and treated as, a single Incremental Facility Loan on the last day of the Interest Period.</w:t>
      </w:r>
    </w:p>
    <w:p>
      <w:pPr>
        <w:spacing w:after="0" w:line="53" w:lineRule="exact"/>
        <w:rPr>
          <w:sz w:val="20"/>
          <w:szCs w:val="20"/>
          <w:color w:val="auto"/>
        </w:rPr>
      </w:pPr>
    </w:p>
    <w:p>
      <w:pPr>
        <w:ind w:left="1268" w:right="100" w:hanging="523"/>
        <w:spacing w:after="0" w:line="270" w:lineRule="auto"/>
        <w:tabs>
          <w:tab w:leader="none" w:pos="1268"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4.4 (</w:t>
      </w:r>
      <w:r>
        <w:rPr>
          <w:rFonts w:ascii="Times New Roman" w:cs="Times New Roman" w:eastAsia="Times New Roman" w:hAnsi="Times New Roman"/>
          <w:sz w:val="17"/>
          <w:szCs w:val="17"/>
          <w:i w:val="1"/>
          <w:iCs w:val="1"/>
          <w:color w:val="auto"/>
        </w:rPr>
        <w:t>Maximum number of Utilisations</w:t>
      </w:r>
      <w:r>
        <w:rPr>
          <w:rFonts w:ascii="Times New Roman" w:cs="Times New Roman" w:eastAsia="Times New Roman" w:hAnsi="Times New Roman"/>
          <w:sz w:val="17"/>
          <w:szCs w:val="17"/>
          <w:color w:val="auto"/>
        </w:rPr>
        <w:t>) and Clause 5.3 (</w:t>
      </w:r>
      <w:r>
        <w:rPr>
          <w:rFonts w:ascii="Times New Roman" w:cs="Times New Roman" w:eastAsia="Times New Roman" w:hAnsi="Times New Roman"/>
          <w:sz w:val="17"/>
          <w:szCs w:val="17"/>
          <w:i w:val="1"/>
          <w:iCs w:val="1"/>
          <w:color w:val="auto"/>
        </w:rPr>
        <w:t>Currency and amount</w:t>
      </w:r>
      <w:r>
        <w:rPr>
          <w:rFonts w:ascii="Times New Roman" w:cs="Times New Roman" w:eastAsia="Times New Roman" w:hAnsi="Times New Roman"/>
          <w:sz w:val="17"/>
          <w:szCs w:val="17"/>
          <w:color w:val="auto"/>
        </w:rPr>
        <w:t>) if the Company requests in a Selection Notice that an Incremental Facility Loan be divided into two or more Incremental Facility Loans, that Loan will, on the last day of its Interest Period, be so divided with Base Currency Amounts specified in that Selection Notice, having an aggregate Base Currency Amount equal to the Base Currency Amount of the Loan immediately before its division.</w:t>
      </w:r>
    </w:p>
    <w:p>
      <w:pPr>
        <w:spacing w:after="0" w:line="309"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to the calculation of interest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Absence of quotations</w:t>
      </w:r>
    </w:p>
    <w:p>
      <w:pPr>
        <w:spacing w:after="0" w:line="118" w:lineRule="exact"/>
        <w:rPr>
          <w:sz w:val="20"/>
          <w:szCs w:val="20"/>
          <w:color w:val="auto"/>
        </w:rPr>
      </w:pPr>
    </w:p>
    <w:p>
      <w:pPr>
        <w:ind w:left="748" w:right="80"/>
        <w:spacing w:after="0" w:line="267" w:lineRule="auto"/>
        <w:rPr>
          <w:sz w:val="20"/>
          <w:szCs w:val="20"/>
          <w:color w:val="auto"/>
        </w:rPr>
      </w:pPr>
      <w:r>
        <w:rPr>
          <w:rFonts w:ascii="Times New Roman" w:cs="Times New Roman" w:eastAsia="Times New Roman" w:hAnsi="Times New Roman"/>
          <w:sz w:val="17"/>
          <w:szCs w:val="17"/>
          <w:color w:val="auto"/>
        </w:rPr>
        <w:t>Subject to Clause 14.2 (</w:t>
      </w:r>
      <w:r>
        <w:rPr>
          <w:rFonts w:ascii="Times New Roman" w:cs="Times New Roman" w:eastAsia="Times New Roman" w:hAnsi="Times New Roman"/>
          <w:sz w:val="17"/>
          <w:szCs w:val="17"/>
          <w:i w:val="1"/>
          <w:iCs w:val="1"/>
          <w:color w:val="auto"/>
        </w:rPr>
        <w:t>Market disruption</w:t>
      </w:r>
      <w:r>
        <w:rPr>
          <w:rFonts w:ascii="Times New Roman" w:cs="Times New Roman" w:eastAsia="Times New Roman" w:hAnsi="Times New Roman"/>
          <w:sz w:val="17"/>
          <w:szCs w:val="17"/>
          <w:color w:val="auto"/>
        </w:rPr>
        <w:t>) and Clause 38.6 (</w:t>
      </w:r>
      <w:r>
        <w:rPr>
          <w:rFonts w:ascii="Times New Roman" w:cs="Times New Roman" w:eastAsia="Times New Roman" w:hAnsi="Times New Roman"/>
          <w:sz w:val="17"/>
          <w:szCs w:val="17"/>
          <w:i w:val="1"/>
          <w:iCs w:val="1"/>
          <w:color w:val="auto"/>
        </w:rPr>
        <w:t>Changes to reference rates</w:t>
      </w:r>
      <w:r>
        <w:rPr>
          <w:rFonts w:ascii="Times New Roman" w:cs="Times New Roman" w:eastAsia="Times New Roman" w:hAnsi="Times New Roman"/>
          <w:sz w:val="17"/>
          <w:szCs w:val="17"/>
          <w:color w:val="auto"/>
        </w:rPr>
        <w:t>), if HIBOR or, if applicable, a Benchmark Rate, is to be determined by reference to the Reference Banks but a Reference Bank does not supply a quotation by (in relation to HIBOR) 11:00 a.m. (Hong Kong SAR time) on the Quotation Date for HK dollars or (in relation to a Benchmark Rate) 5:00 p.m. (Hong Kong SAR time) one Business Day after the Quotation Date for Optional Currencies, HIBOR, or, if applicable, that Benchmark Rate shall be determined on the basis of the quotations of the remaining Reference Banks.</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133" w:lineRule="exact"/>
        <w:rPr>
          <w:sz w:val="20"/>
          <w:szCs w:val="20"/>
          <w:color w:val="auto"/>
        </w:rPr>
      </w:pPr>
    </w:p>
    <w:p>
      <w:pPr>
        <w:ind w:left="1268" w:right="380" w:hanging="523"/>
        <w:spacing w:after="0" w:line="295" w:lineRule="auto"/>
        <w:tabs>
          <w:tab w:leader="none" w:pos="1268"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Market Disruption Event occurs in relation to a Loan for any Interest Period, then Clause 14.6 shall apply to that Loan for the relevant Interest Period.</w:t>
      </w:r>
    </w:p>
    <w:p>
      <w:pPr>
        <w:spacing w:after="0" w:line="53"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 “</w:t>
      </w:r>
      <w:r>
        <w:rPr>
          <w:rFonts w:ascii="Times New Roman" w:cs="Times New Roman" w:eastAsia="Times New Roman" w:hAnsi="Times New Roman"/>
          <w:sz w:val="17"/>
          <w:szCs w:val="17"/>
          <w:b w:val="1"/>
          <w:bCs w:val="1"/>
          <w:color w:val="auto"/>
        </w:rPr>
        <w:t>Market Disruption Event</w:t>
      </w:r>
      <w:r>
        <w:rPr>
          <w:rFonts w:ascii="Times New Roman" w:cs="Times New Roman" w:eastAsia="Times New Roman" w:hAnsi="Times New Roman"/>
          <w:sz w:val="17"/>
          <w:szCs w:val="17"/>
          <w:color w:val="auto"/>
        </w:rPr>
        <w:t>” means:</w:t>
      </w:r>
    </w:p>
    <w:p>
      <w:pPr>
        <w:spacing w:after="0" w:line="133"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Loan (other than a Term SOFR Loan):</w:t>
      </w:r>
    </w:p>
    <w:p>
      <w:pPr>
        <w:spacing w:after="0" w:line="131" w:lineRule="exact"/>
        <w:rPr>
          <w:rFonts w:ascii="Times New Roman" w:cs="Times New Roman" w:eastAsia="Times New Roman" w:hAnsi="Times New Roman"/>
          <w:sz w:val="17"/>
          <w:szCs w:val="17"/>
          <w:color w:val="auto"/>
        </w:rPr>
      </w:pPr>
    </w:p>
    <w:p>
      <w:pPr>
        <w:jc w:val="both"/>
        <w:ind w:left="2428" w:right="280" w:hanging="520"/>
        <w:spacing w:after="0" w:line="276" w:lineRule="auto"/>
        <w:tabs>
          <w:tab w:leader="none" w:pos="2428" w:val="left"/>
        </w:tabs>
        <w:numPr>
          <w:ilvl w:val="2"/>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about noon on the Quotation Date for the relevant Interest Period for the relevant Loan the Screen Rate is not available or the Screen Rate is zero or negative and none or only one of the Reference Banks supplies a rate to the Agent to determine HIBOR or, if applicable, a Benchmark Rate for the relevant currency and Interest Period; or</w:t>
      </w:r>
    </w:p>
    <w:p>
      <w:pPr>
        <w:spacing w:after="0" w:line="70" w:lineRule="exact"/>
        <w:rPr>
          <w:rFonts w:ascii="Times New Roman" w:cs="Times New Roman" w:eastAsia="Times New Roman" w:hAnsi="Times New Roman"/>
          <w:sz w:val="17"/>
          <w:szCs w:val="17"/>
          <w:color w:val="auto"/>
        </w:rPr>
      </w:pPr>
    </w:p>
    <w:p>
      <w:pPr>
        <w:ind w:left="2428" w:right="140" w:hanging="520"/>
        <w:spacing w:after="0" w:line="269" w:lineRule="auto"/>
        <w:tabs>
          <w:tab w:leader="none" w:pos="2428" w:val="left"/>
        </w:tabs>
        <w:numPr>
          <w:ilvl w:val="2"/>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close of business on the Business Day immediately following the Quotation Date for the relevant Interest Period, the Agent receives notifications from a Lender or Lenders (whose participations in that Loan exceed thirty-five per cent. (35%) of that Loan) that the cost to it of obtaining matching deposits in the Relevant Interbank Market would be in excess of HIBOR or, if applicable, the Benchmark Rate; and</w:t>
      </w:r>
    </w:p>
    <w:p>
      <w:pPr>
        <w:spacing w:after="0" w:line="104"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68" w:name="page369"/>
    <w:bookmarkEnd w:id="368"/>
    <w:p>
      <w:pPr>
        <w:ind w:left="1880" w:right="100" w:hanging="620"/>
        <w:spacing w:after="0" w:line="269" w:lineRule="auto"/>
        <w:tabs>
          <w:tab w:leader="none" w:pos="1880"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a Term SOFR Loan, before close of business on the Business Day immediately following the Quotation Date for the relevant Interest Period, the Agent receives notifications from a Lender or Lenders (whose participations in that Loan exceed thirty-five per cent. (35%) of that Term SOFR Loan) that the cost to it of funding its participation in that Term SOFR Loan from whatever source it may reasonably select would be in excess of the applicable Market Disruption Rate.</w:t>
      </w:r>
    </w:p>
    <w:p>
      <w:pPr>
        <w:spacing w:after="0" w:line="77"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Market Disruption Event shall occur, the Agent shall promptly notify the Lenders and the Company thereof.</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Alternative basis of interest or funding</w:t>
      </w:r>
    </w:p>
    <w:p>
      <w:pPr>
        <w:spacing w:after="0" w:line="131" w:lineRule="exact"/>
        <w:rPr>
          <w:sz w:val="20"/>
          <w:szCs w:val="20"/>
          <w:color w:val="auto"/>
        </w:rPr>
      </w:pPr>
    </w:p>
    <w:p>
      <w:pPr>
        <w:jc w:val="both"/>
        <w:ind w:left="1260" w:right="60" w:hanging="523"/>
        <w:spacing w:after="0" w:line="277" w:lineRule="auto"/>
        <w:tabs>
          <w:tab w:leader="none" w:pos="126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Market Disruption Event occurs or Clause 14.6 (</w:t>
      </w:r>
      <w:r>
        <w:rPr>
          <w:rFonts w:ascii="Times New Roman" w:cs="Times New Roman" w:eastAsia="Times New Roman" w:hAnsi="Times New Roman"/>
          <w:sz w:val="17"/>
          <w:szCs w:val="17"/>
          <w:i w:val="1"/>
          <w:iCs w:val="1"/>
          <w:color w:val="auto"/>
        </w:rPr>
        <w:t>Cost of Funds</w:t>
      </w:r>
      <w:r>
        <w:rPr>
          <w:rFonts w:ascii="Times New Roman" w:cs="Times New Roman" w:eastAsia="Times New Roman" w:hAnsi="Times New Roman"/>
          <w:sz w:val="17"/>
          <w:szCs w:val="17"/>
          <w:color w:val="auto"/>
        </w:rPr>
        <w:t>) applies and the Agent or the Company so requires, the Agent and the Company shall enter into negotiations (for a period of not more than thirty (30) days) with a view to agreeing a substitute basis for determining the rate of interest.</w:t>
      </w:r>
    </w:p>
    <w:p>
      <w:pPr>
        <w:spacing w:after="0" w:line="70" w:lineRule="exact"/>
        <w:rPr>
          <w:rFonts w:ascii="Times New Roman" w:cs="Times New Roman" w:eastAsia="Times New Roman" w:hAnsi="Times New Roman"/>
          <w:sz w:val="17"/>
          <w:szCs w:val="17"/>
          <w:color w:val="auto"/>
        </w:rPr>
      </w:pPr>
    </w:p>
    <w:p>
      <w:pPr>
        <w:ind w:left="1260" w:right="400" w:hanging="523"/>
        <w:spacing w:after="0" w:line="295" w:lineRule="auto"/>
        <w:tabs>
          <w:tab w:leader="none" w:pos="126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alternative basis agreed pursuant to paragraph (a) above shall, with the prior consent of all the Lenders and the Company, be binding on all Parties.</w:t>
      </w:r>
    </w:p>
    <w:p>
      <w:pPr>
        <w:spacing w:after="0" w:line="55" w:lineRule="exact"/>
        <w:rPr>
          <w:rFonts w:ascii="Times New Roman" w:cs="Times New Roman" w:eastAsia="Times New Roman" w:hAnsi="Times New Roman"/>
          <w:sz w:val="17"/>
          <w:szCs w:val="17"/>
          <w:color w:val="auto"/>
        </w:rPr>
      </w:pPr>
    </w:p>
    <w:p>
      <w:pPr>
        <w:ind w:left="1260" w:right="280" w:hanging="523"/>
        <w:spacing w:after="0" w:line="295" w:lineRule="auto"/>
        <w:tabs>
          <w:tab w:leader="none" w:pos="126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in the event that no substitute basis is agreed at the end of the thirty (30) day period, the rate of interest shall continue to be determined in accordance with the terms of this Agreement.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133" w:lineRule="exact"/>
        <w:rPr>
          <w:sz w:val="20"/>
          <w:szCs w:val="20"/>
          <w:color w:val="auto"/>
        </w:rPr>
      </w:pPr>
    </w:p>
    <w:p>
      <w:pPr>
        <w:ind w:left="1260" w:right="440" w:hanging="523"/>
        <w:spacing w:after="0" w:line="276" w:lineRule="auto"/>
        <w:tabs>
          <w:tab w:leader="none" w:pos="1260"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within three (3) Business Days of demand by a Finance Party, pay to that Finance Party its Break Costs attributable to all or any part of a Loan or Unpaid Sum being paid by the Company on a day other than the last day of an Interest Period for that Loan or Unpaid Sum.</w:t>
      </w:r>
    </w:p>
    <w:p>
      <w:pPr>
        <w:spacing w:after="0" w:line="70" w:lineRule="exact"/>
        <w:rPr>
          <w:rFonts w:ascii="Times New Roman" w:cs="Times New Roman" w:eastAsia="Times New Roman" w:hAnsi="Times New Roman"/>
          <w:sz w:val="17"/>
          <w:szCs w:val="17"/>
          <w:color w:val="auto"/>
        </w:rPr>
      </w:pPr>
    </w:p>
    <w:p>
      <w:pPr>
        <w:ind w:left="1260" w:right="200" w:hanging="523"/>
        <w:spacing w:after="0" w:line="295" w:lineRule="auto"/>
        <w:tabs>
          <w:tab w:leader="none" w:pos="1260"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as soon as reasonably practicable after a demand by the Agent, provide a certificate confirming the amount of its Break Costs for any Interest Period in which they accrue.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Unavailability of Term SOFR</w:t>
      </w:r>
    </w:p>
    <w:p>
      <w:pPr>
        <w:spacing w:after="0" w:line="131" w:lineRule="exact"/>
        <w:rPr>
          <w:sz w:val="20"/>
          <w:szCs w:val="20"/>
          <w:color w:val="auto"/>
        </w:rPr>
      </w:pPr>
    </w:p>
    <w:p>
      <w:pPr>
        <w:ind w:left="1260" w:right="300" w:hanging="523"/>
        <w:spacing w:after="0" w:line="298" w:lineRule="auto"/>
        <w:tabs>
          <w:tab w:leader="none" w:pos="126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Interpolated Term SOFR</w:t>
      </w:r>
      <w:r>
        <w:rPr>
          <w:rFonts w:ascii="Times New Roman" w:cs="Times New Roman" w:eastAsia="Times New Roman" w:hAnsi="Times New Roman"/>
          <w:sz w:val="17"/>
          <w:szCs w:val="17"/>
          <w:color w:val="auto"/>
        </w:rPr>
        <w:t>: If Term SOFR is not available for the Interest Period of a Term SOFR Loan, the Reference Rate for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Period shall be Interpolated Term SOFR for a period equal in length to the Interest Period of that Term SOFR Loan.</w:t>
      </w:r>
    </w:p>
    <w:p>
      <w:pPr>
        <w:spacing w:after="0" w:line="50" w:lineRule="exact"/>
        <w:rPr>
          <w:rFonts w:ascii="Times New Roman" w:cs="Times New Roman" w:eastAsia="Times New Roman" w:hAnsi="Times New Roman"/>
          <w:sz w:val="17"/>
          <w:szCs w:val="17"/>
          <w:color w:val="auto"/>
        </w:rPr>
      </w:pPr>
    </w:p>
    <w:p>
      <w:pPr>
        <w:jc w:val="both"/>
        <w:ind w:left="1260" w:right="40" w:hanging="523"/>
        <w:spacing w:after="0" w:line="277" w:lineRule="auto"/>
        <w:tabs>
          <w:tab w:leader="none" w:pos="126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Historic Term SOFR</w:t>
      </w:r>
      <w:r>
        <w:rPr>
          <w:rFonts w:ascii="Times New Roman" w:cs="Times New Roman" w:eastAsia="Times New Roman" w:hAnsi="Times New Roman"/>
          <w:sz w:val="17"/>
          <w:szCs w:val="17"/>
          <w:color w:val="auto"/>
        </w:rPr>
        <w:t>: If paragraph (a) above applies but Interpolated Term SOFR is not available for the Interest Period of the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SOFR Loan, the Reference Rate for such Interest Period shall be Historic Term SOFR for a period equal in length to the Interest Period of that Term SOFR Loan.</w:t>
      </w:r>
    </w:p>
    <w:p>
      <w:pPr>
        <w:spacing w:after="0" w:line="68" w:lineRule="exact"/>
        <w:rPr>
          <w:rFonts w:ascii="Times New Roman" w:cs="Times New Roman" w:eastAsia="Times New Roman" w:hAnsi="Times New Roman"/>
          <w:sz w:val="17"/>
          <w:szCs w:val="17"/>
          <w:color w:val="auto"/>
        </w:rPr>
      </w:pPr>
    </w:p>
    <w:p>
      <w:pPr>
        <w:ind w:left="1260" w:right="260" w:hanging="523"/>
        <w:spacing w:after="0" w:line="277" w:lineRule="auto"/>
        <w:tabs>
          <w:tab w:leader="none" w:pos="126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Interpolated Historic Term SOFR</w:t>
      </w:r>
      <w:r>
        <w:rPr>
          <w:rFonts w:ascii="Times New Roman" w:cs="Times New Roman" w:eastAsia="Times New Roman" w:hAnsi="Times New Roman"/>
          <w:sz w:val="17"/>
          <w:szCs w:val="17"/>
          <w:color w:val="auto"/>
        </w:rPr>
        <w:t>: If paragraph (b) above applies but Historic Term SOFR is not available for the Interest Period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relevant Term SOFR Loan, the Reference Rate for such Interest Period shall be Interpolated Historic Term SOFR for a period equal in length to the Interest Period of that Term SOFR Loan.</w:t>
      </w:r>
    </w:p>
    <w:p>
      <w:pPr>
        <w:spacing w:after="0" w:line="68" w:lineRule="exact"/>
        <w:rPr>
          <w:rFonts w:ascii="Times New Roman" w:cs="Times New Roman" w:eastAsia="Times New Roman" w:hAnsi="Times New Roman"/>
          <w:sz w:val="17"/>
          <w:szCs w:val="17"/>
          <w:color w:val="auto"/>
        </w:rPr>
      </w:pPr>
    </w:p>
    <w:p>
      <w:pPr>
        <w:ind w:left="1260" w:right="80" w:hanging="523"/>
        <w:spacing w:after="0" w:line="277" w:lineRule="auto"/>
        <w:tabs>
          <w:tab w:leader="none" w:pos="126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funds</w:t>
      </w:r>
      <w:r>
        <w:rPr>
          <w:rFonts w:ascii="Times New Roman" w:cs="Times New Roman" w:eastAsia="Times New Roman" w:hAnsi="Times New Roman"/>
          <w:sz w:val="17"/>
          <w:szCs w:val="17"/>
          <w:color w:val="auto"/>
        </w:rPr>
        <w:t>: If paragraph (c) above applies but the Interpolated Historic Term SOFR is not available for the Interest Period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Term SOFR Loan, there shall be no Reference Rate for that Term SOFR Loan and Clause 14.6 (</w:t>
      </w:r>
      <w:r>
        <w:rPr>
          <w:rFonts w:ascii="Times New Roman" w:cs="Times New Roman" w:eastAsia="Times New Roman" w:hAnsi="Times New Roman"/>
          <w:sz w:val="17"/>
          <w:szCs w:val="17"/>
          <w:i w:val="1"/>
          <w:iCs w:val="1"/>
          <w:color w:val="auto"/>
        </w:rPr>
        <w:t>Cost of Funds</w:t>
      </w:r>
      <w:r>
        <w:rPr>
          <w:rFonts w:ascii="Times New Roman" w:cs="Times New Roman" w:eastAsia="Times New Roman" w:hAnsi="Times New Roman"/>
          <w:sz w:val="17"/>
          <w:szCs w:val="17"/>
          <w:color w:val="auto"/>
        </w:rPr>
        <w:t>) shall apply to that Term SOFR Loan for that Interest Period.</w:t>
      </w:r>
    </w:p>
    <w:p>
      <w:pPr>
        <w:spacing w:after="0" w:line="96"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69" w:name="page370"/>
    <w:bookmarkEnd w:id="369"/>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14.6</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133" w:lineRule="exact"/>
        <w:rPr>
          <w:sz w:val="20"/>
          <w:szCs w:val="20"/>
          <w:color w:val="auto"/>
        </w:rPr>
      </w:pPr>
    </w:p>
    <w:p>
      <w:pPr>
        <w:ind w:left="1268" w:right="140" w:hanging="523"/>
        <w:spacing w:after="0" w:line="295" w:lineRule="auto"/>
        <w:tabs>
          <w:tab w:leader="none" w:pos="1268"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Clause 14.6 applies, then the rate of interest on each Lender’s share of that Loan for the Interest Period shall be the percentage rate per annum which is the sum of:</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Margin; and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notified to the Agent by that Lender as soon as practicable and in any event not less than the date falling two</w:t>
      </w:r>
    </w:p>
    <w:p>
      <w:pPr>
        <w:spacing w:after="0" w:line="31" w:lineRule="exact"/>
        <w:rPr>
          <w:rFonts w:ascii="Times New Roman" w:cs="Times New Roman" w:eastAsia="Times New Roman" w:hAnsi="Times New Roman"/>
          <w:sz w:val="17"/>
          <w:szCs w:val="17"/>
          <w:color w:val="auto"/>
        </w:rPr>
      </w:pPr>
    </w:p>
    <w:p>
      <w:pPr>
        <w:jc w:val="both"/>
        <w:ind w:left="1888" w:right="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79" w:lineRule="exact"/>
        <w:rPr>
          <w:rFonts w:ascii="Times New Roman" w:cs="Times New Roman" w:eastAsia="Times New Roman" w:hAnsi="Times New Roman"/>
          <w:sz w:val="17"/>
          <w:szCs w:val="17"/>
          <w:color w:val="auto"/>
        </w:rPr>
      </w:pPr>
    </w:p>
    <w:p>
      <w:pPr>
        <w:ind w:left="1268" w:right="20" w:hanging="523"/>
        <w:spacing w:after="0" w:line="267" w:lineRule="auto"/>
        <w:tabs>
          <w:tab w:leader="none" w:pos="1268"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Lender has not notified the Agent of a percentage rate per annum notified by a Lender pursuant to paragraph (a)(ii) above, the cost to that Lender of funding its participation in that Loan for that Interest Period shall be deemed, for the purposes of paragraph</w:t>
      </w:r>
    </w:p>
    <w:p>
      <w:pPr>
        <w:spacing w:after="0" w:line="1" w:lineRule="exact"/>
        <w:rPr>
          <w:rFonts w:ascii="Times New Roman" w:cs="Times New Roman" w:eastAsia="Times New Roman" w:hAnsi="Times New Roman"/>
          <w:sz w:val="17"/>
          <w:szCs w:val="17"/>
          <w:color w:val="auto"/>
        </w:rPr>
      </w:pPr>
    </w:p>
    <w:p>
      <w:pPr>
        <w:ind w:left="1268" w:right="1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above, to be the average of the percentage rate(s) per annum notified to the Agent by each of the other Lenders which has notified the Agent of a percentage rate per annum notified by a Lender pursuant to paragraph (a)(ii) above.</w:t>
      </w:r>
    </w:p>
    <w:p>
      <w:pPr>
        <w:spacing w:after="0" w:line="306"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Fees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Commitment fee</w:t>
      </w:r>
    </w:p>
    <w:p>
      <w:pPr>
        <w:spacing w:after="0" w:line="133" w:lineRule="exact"/>
        <w:rPr>
          <w:sz w:val="20"/>
          <w:szCs w:val="20"/>
          <w:color w:val="auto"/>
        </w:rPr>
      </w:pPr>
    </w:p>
    <w:p>
      <w:pPr>
        <w:ind w:left="1268" w:right="240" w:hanging="523"/>
        <w:spacing w:after="0" w:line="276" w:lineRule="auto"/>
        <w:tabs>
          <w:tab w:leader="none" w:pos="1268"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to the Agent (for the account of each Lender with an Initial Facility Commitment) a commitment fee in the Base Currency that is computed on a daily basis at a rate of 35 per cent. of the then applicable Margin on that Lender’s Available Commitment in respect of the Initial Facility for each day during the Availability Period for the Initial Facility.</w:t>
      </w:r>
    </w:p>
    <w:p>
      <w:pPr>
        <w:spacing w:after="0" w:line="70" w:lineRule="exact"/>
        <w:rPr>
          <w:rFonts w:ascii="Times New Roman" w:cs="Times New Roman" w:eastAsia="Times New Roman" w:hAnsi="Times New Roman"/>
          <w:sz w:val="17"/>
          <w:szCs w:val="17"/>
          <w:color w:val="auto"/>
        </w:rPr>
      </w:pPr>
    </w:p>
    <w:p>
      <w:pPr>
        <w:ind w:left="1268" w:right="140" w:hanging="523"/>
        <w:spacing w:after="0" w:line="269" w:lineRule="auto"/>
        <w:tabs>
          <w:tab w:leader="none" w:pos="1268"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commitment fee under paragraph (a) above is payable in arrears on the last day of each successive period of three Months which ends during the Availability Period for the Initial Facility, on the last day of the Availability Period for the Initial Facility and, if cancelled in full, on the cancelled amount of the relevant Lender’s Commitment in respect of the Initial Facility at the time such cancellation is effective.</w:t>
      </w:r>
    </w:p>
    <w:p>
      <w:pPr>
        <w:spacing w:after="0" w:line="77" w:lineRule="exact"/>
        <w:rPr>
          <w:rFonts w:ascii="Times New Roman" w:cs="Times New Roman" w:eastAsia="Times New Roman" w:hAnsi="Times New Roman"/>
          <w:sz w:val="17"/>
          <w:szCs w:val="17"/>
          <w:color w:val="auto"/>
        </w:rPr>
      </w:pPr>
    </w:p>
    <w:p>
      <w:pPr>
        <w:ind w:left="1268" w:right="40" w:hanging="523"/>
        <w:spacing w:after="0" w:line="276" w:lineRule="auto"/>
        <w:tabs>
          <w:tab w:leader="none" w:pos="1268"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to the Agent (for the account of each Lender with a Commitment in respect of an Incremental Facility) the fee (if any) specified as the commitment fee in the Incremental Facility Notice relating to that Incremental Facility at the times and in the amounts specified in the applicable Incremental Facility Notice.</w:t>
      </w:r>
    </w:p>
    <w:p>
      <w:pPr>
        <w:spacing w:after="0" w:line="70" w:lineRule="exact"/>
        <w:rPr>
          <w:rFonts w:ascii="Times New Roman" w:cs="Times New Roman" w:eastAsia="Times New Roman" w:hAnsi="Times New Roman"/>
          <w:sz w:val="17"/>
          <w:szCs w:val="17"/>
          <w:color w:val="auto"/>
        </w:rPr>
      </w:pPr>
    </w:p>
    <w:p>
      <w:pPr>
        <w:ind w:left="1268" w:right="160" w:hanging="523"/>
        <w:spacing w:after="0" w:line="295" w:lineRule="auto"/>
        <w:tabs>
          <w:tab w:leader="none" w:pos="1268"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commitment fee is payable to the Agent (for the account of a Lender), or shall accrue by reference to any Available Commitment of any Lender, for any day on which that Lender is a Defaulting Lender.</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Upfront fee</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shall pay to the Arrangers the upfront fee(s) in the amount(s) and at the times agreed in any Fee Letter.</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Agency fee</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shall pay to the Agent (for its own account) an agency fee in the amount and at the times agreed in any Fee Letter.</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70" w:name="page371"/>
    <w:bookmarkEnd w:id="37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6</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Additional payment obligations</w:t>
      </w:r>
    </w:p>
    <w:p>
      <w:pPr>
        <w:spacing w:after="0" w:line="229" w:lineRule="exact"/>
        <w:rPr>
          <w:sz w:val="20"/>
          <w:szCs w:val="20"/>
          <w:color w:val="auto"/>
        </w:rPr>
      </w:pPr>
    </w:p>
    <w:p>
      <w:pPr>
        <w:ind w:left="748" w:hanging="748"/>
        <w:spacing w:after="0"/>
        <w:tabs>
          <w:tab w:leader="none" w:pos="748"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gross-up and indemnities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16.1Definitions</w:t>
      </w:r>
    </w:p>
    <w:p>
      <w:pPr>
        <w:spacing w:after="0" w:line="133"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w:t>
      </w:r>
    </w:p>
    <w:p>
      <w:pPr>
        <w:spacing w:after="0" w:line="116" w:lineRule="exact"/>
        <w:rPr>
          <w:rFonts w:ascii="Times New Roman" w:cs="Times New Roman" w:eastAsia="Times New Roman" w:hAnsi="Times New Roman"/>
          <w:sz w:val="17"/>
          <w:szCs w:val="17"/>
          <w:color w:val="auto"/>
        </w:rPr>
      </w:pPr>
    </w:p>
    <w:p>
      <w:pPr>
        <w:ind w:left="1288" w:right="24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Protected Party</w:t>
      </w:r>
      <w:r>
        <w:rPr>
          <w:rFonts w:ascii="Times New Roman" w:cs="Times New Roman" w:eastAsia="Times New Roman" w:hAnsi="Times New Roman"/>
          <w:sz w:val="17"/>
          <w:szCs w:val="17"/>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54" w:lineRule="exact"/>
        <w:rPr>
          <w:rFonts w:ascii="Times New Roman" w:cs="Times New Roman" w:eastAsia="Times New Roman" w:hAnsi="Times New Roman"/>
          <w:sz w:val="17"/>
          <w:szCs w:val="17"/>
          <w:color w:val="auto"/>
        </w:rPr>
      </w:pPr>
    </w:p>
    <w:p>
      <w:pPr>
        <w:ind w:left="12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Credit</w:t>
      </w:r>
      <w:r>
        <w:rPr>
          <w:rFonts w:ascii="Times New Roman" w:cs="Times New Roman" w:eastAsia="Times New Roman" w:hAnsi="Times New Roman"/>
          <w:sz w:val="17"/>
          <w:szCs w:val="17"/>
          <w:color w:val="auto"/>
        </w:rPr>
        <w:t>” means a credit against, relief or remission for, or repayment of, any Tax.</w:t>
      </w:r>
    </w:p>
    <w:p>
      <w:pPr>
        <w:spacing w:after="0" w:line="118" w:lineRule="exact"/>
        <w:rPr>
          <w:rFonts w:ascii="Times New Roman" w:cs="Times New Roman" w:eastAsia="Times New Roman" w:hAnsi="Times New Roman"/>
          <w:sz w:val="17"/>
          <w:szCs w:val="17"/>
          <w:color w:val="auto"/>
        </w:rPr>
      </w:pPr>
    </w:p>
    <w:p>
      <w:pPr>
        <w:ind w:left="1288" w:right="2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Deduction</w:t>
      </w:r>
      <w:r>
        <w:rPr>
          <w:rFonts w:ascii="Times New Roman" w:cs="Times New Roman" w:eastAsia="Times New Roman" w:hAnsi="Times New Roman"/>
          <w:sz w:val="17"/>
          <w:szCs w:val="17"/>
          <w:color w:val="auto"/>
        </w:rPr>
        <w:t>” means a deduction or withholding for or on account of Tax from a payment under a Finance Document, other than a FATCA Deduction.</w:t>
      </w:r>
    </w:p>
    <w:p>
      <w:pPr>
        <w:spacing w:after="0" w:line="37" w:lineRule="exact"/>
        <w:rPr>
          <w:rFonts w:ascii="Times New Roman" w:cs="Times New Roman" w:eastAsia="Times New Roman" w:hAnsi="Times New Roman"/>
          <w:sz w:val="17"/>
          <w:szCs w:val="17"/>
          <w:color w:val="auto"/>
        </w:rPr>
      </w:pPr>
    </w:p>
    <w:p>
      <w:pPr>
        <w:ind w:left="1288" w:right="62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Payment</w:t>
      </w:r>
      <w:r>
        <w:rPr>
          <w:rFonts w:ascii="Times New Roman" w:cs="Times New Roman" w:eastAsia="Times New Roman" w:hAnsi="Times New Roman"/>
          <w:sz w:val="17"/>
          <w:szCs w:val="17"/>
          <w:color w:val="auto"/>
        </w:rPr>
        <w:t>” means an increased payment made by the Company to a Finance Party under Clause 16.2 (</w:t>
      </w:r>
      <w:r>
        <w:rPr>
          <w:rFonts w:ascii="Times New Roman" w:cs="Times New Roman" w:eastAsia="Times New Roman" w:hAnsi="Times New Roman"/>
          <w:sz w:val="17"/>
          <w:szCs w:val="17"/>
          <w:i w:val="1"/>
          <w:iCs w:val="1"/>
          <w:color w:val="auto"/>
        </w:rPr>
        <w:t>Tax gross-up</w:t>
      </w:r>
      <w:r>
        <w:rPr>
          <w:rFonts w:ascii="Times New Roman" w:cs="Times New Roman" w:eastAsia="Times New Roman" w:hAnsi="Times New Roman"/>
          <w:sz w:val="17"/>
          <w:szCs w:val="17"/>
          <w:color w:val="auto"/>
        </w:rPr>
        <w:t>) or a payment under Clause 16.3 (</w:t>
      </w:r>
      <w:r>
        <w:rPr>
          <w:rFonts w:ascii="Times New Roman" w:cs="Times New Roman" w:eastAsia="Times New Roman" w:hAnsi="Times New Roman"/>
          <w:sz w:val="17"/>
          <w:szCs w:val="17"/>
          <w:i w:val="1"/>
          <w:iCs w:val="1"/>
          <w:color w:val="auto"/>
        </w:rPr>
        <w:t>Tax indemnity</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ind w:left="1268" w:right="140" w:hanging="523"/>
        <w:spacing w:after="0" w:line="298" w:lineRule="auto"/>
        <w:tabs>
          <w:tab w:leader="none" w:pos="1268"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in this Clause 16 a reference to “</w:t>
      </w:r>
      <w:r>
        <w:rPr>
          <w:rFonts w:ascii="Times New Roman" w:cs="Times New Roman" w:eastAsia="Times New Roman" w:hAnsi="Times New Roman"/>
          <w:sz w:val="17"/>
          <w:szCs w:val="17"/>
          <w:b w:val="1"/>
          <w:bCs w:val="1"/>
          <w:color w:val="auto"/>
        </w:rPr>
        <w:t>determines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determined</w:t>
      </w:r>
      <w:r>
        <w:rPr>
          <w:rFonts w:ascii="Times New Roman" w:cs="Times New Roman" w:eastAsia="Times New Roman" w:hAnsi="Times New Roman"/>
          <w:sz w:val="17"/>
          <w:szCs w:val="17"/>
          <w:color w:val="auto"/>
        </w:rPr>
        <w:t>” means a determination made in the absolute discretion of the person making the determination.</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133" w:lineRule="exact"/>
        <w:rPr>
          <w:sz w:val="20"/>
          <w:szCs w:val="20"/>
          <w:color w:val="auto"/>
        </w:rPr>
      </w:pPr>
    </w:p>
    <w:p>
      <w:pPr>
        <w:ind w:left="1268" w:hanging="523"/>
        <w:spacing w:after="0"/>
        <w:tabs>
          <w:tab w:leader="none" w:pos="1268"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make all payments to be made by it without any Tax Deduction, unless a Tax Deduction is required by law.</w:t>
      </w:r>
    </w:p>
    <w:p>
      <w:pPr>
        <w:spacing w:after="0" w:line="131" w:lineRule="exact"/>
        <w:rPr>
          <w:rFonts w:ascii="Times New Roman" w:cs="Times New Roman" w:eastAsia="Times New Roman" w:hAnsi="Times New Roman"/>
          <w:sz w:val="17"/>
          <w:szCs w:val="17"/>
          <w:color w:val="auto"/>
        </w:rPr>
      </w:pPr>
    </w:p>
    <w:p>
      <w:pPr>
        <w:ind w:left="1268" w:right="80" w:hanging="523"/>
        <w:spacing w:after="0" w:line="276" w:lineRule="auto"/>
        <w:tabs>
          <w:tab w:leader="none" w:pos="1268"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upon becoming aware that it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w:t>
      </w:r>
    </w:p>
    <w:p>
      <w:pPr>
        <w:spacing w:after="0" w:line="70" w:lineRule="exact"/>
        <w:rPr>
          <w:rFonts w:ascii="Times New Roman" w:cs="Times New Roman" w:eastAsia="Times New Roman" w:hAnsi="Times New Roman"/>
          <w:sz w:val="17"/>
          <w:szCs w:val="17"/>
          <w:color w:val="auto"/>
        </w:rPr>
      </w:pPr>
    </w:p>
    <w:p>
      <w:pPr>
        <w:ind w:left="1268" w:right="20" w:hanging="523"/>
        <w:spacing w:after="0" w:line="276" w:lineRule="auto"/>
        <w:tabs>
          <w:tab w:leader="none" w:pos="1268"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Tax Deduction is required by law to be made by the Company, the amount of the payment due from the Company shall be increased to an amount which (after making any Tax Deduction) leaves an amount equal to the payment which would have been due if no Tax Deduction had been required.</w:t>
      </w:r>
    </w:p>
    <w:p>
      <w:pPr>
        <w:spacing w:after="0" w:line="70" w:lineRule="exact"/>
        <w:rPr>
          <w:rFonts w:ascii="Times New Roman" w:cs="Times New Roman" w:eastAsia="Times New Roman" w:hAnsi="Times New Roman"/>
          <w:sz w:val="17"/>
          <w:szCs w:val="17"/>
          <w:color w:val="auto"/>
        </w:rPr>
      </w:pPr>
    </w:p>
    <w:p>
      <w:pPr>
        <w:ind w:left="1268" w:right="500" w:hanging="523"/>
        <w:spacing w:after="0" w:line="295" w:lineRule="auto"/>
        <w:tabs>
          <w:tab w:leader="none" w:pos="1268"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required to make a Tax Deduction, the Company shall make that Tax Deduction and any payment required in connection with that Tax Deduction within the time allowed and in the minimum amount required by law.</w:t>
      </w:r>
    </w:p>
    <w:p>
      <w:pPr>
        <w:spacing w:after="0" w:line="55" w:lineRule="exact"/>
        <w:rPr>
          <w:rFonts w:ascii="Times New Roman" w:cs="Times New Roman" w:eastAsia="Times New Roman" w:hAnsi="Times New Roman"/>
          <w:sz w:val="17"/>
          <w:szCs w:val="17"/>
          <w:color w:val="auto"/>
        </w:rPr>
      </w:pPr>
    </w:p>
    <w:p>
      <w:pPr>
        <w:ind w:left="1268" w:right="380" w:hanging="523"/>
        <w:spacing w:after="0" w:line="276" w:lineRule="auto"/>
        <w:tabs>
          <w:tab w:leader="none" w:pos="1268"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of making either a Tax Deduction or any payment required in connection with that Tax Deduction, the Company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16.3</w:t>
      </w:r>
      <w:r>
        <w:rPr>
          <w:sz w:val="20"/>
          <w:szCs w:val="20"/>
          <w:color w:val="auto"/>
        </w:rPr>
        <w:tab/>
      </w:r>
      <w:r>
        <w:rPr>
          <w:rFonts w:ascii="Times New Roman" w:cs="Times New Roman" w:eastAsia="Times New Roman" w:hAnsi="Times New Roman"/>
          <w:sz w:val="16"/>
          <w:szCs w:val="16"/>
          <w:b w:val="1"/>
          <w:bCs w:val="1"/>
          <w:color w:val="auto"/>
        </w:rPr>
        <w:t>Tax indemnity</w:t>
      </w:r>
    </w:p>
    <w:p>
      <w:pPr>
        <w:spacing w:after="0" w:line="131" w:lineRule="exact"/>
        <w:rPr>
          <w:sz w:val="20"/>
          <w:szCs w:val="20"/>
          <w:color w:val="auto"/>
        </w:rPr>
      </w:pPr>
    </w:p>
    <w:p>
      <w:pPr>
        <w:ind w:left="1268" w:right="100" w:hanging="523"/>
        <w:spacing w:after="0" w:line="270" w:lineRule="auto"/>
        <w:tabs>
          <w:tab w:leader="none" w:pos="1268"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Clause 16.2 (</w:t>
      </w:r>
      <w:r>
        <w:rPr>
          <w:rFonts w:ascii="Times New Roman" w:cs="Times New Roman" w:eastAsia="Times New Roman" w:hAnsi="Times New Roman"/>
          <w:sz w:val="17"/>
          <w:szCs w:val="17"/>
          <w:i w:val="1"/>
          <w:iCs w:val="1"/>
          <w:color w:val="auto"/>
        </w:rPr>
        <w:t>Tax gross-up</w:t>
      </w:r>
      <w:r>
        <w:rPr>
          <w:rFonts w:ascii="Times New Roman" w:cs="Times New Roman" w:eastAsia="Times New Roman" w:hAnsi="Times New Roman"/>
          <w:sz w:val="17"/>
          <w:szCs w:val="17"/>
          <w:color w:val="auto"/>
        </w:rPr>
        <w:t>), the Company shall (within five (5)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the transactions occurring under such Finance Document.</w:t>
      </w:r>
    </w:p>
    <w:p>
      <w:pPr>
        <w:spacing w:after="0" w:line="102"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71" w:name="page372"/>
    <w:bookmarkEnd w:id="371"/>
    <w:p>
      <w:pPr>
        <w:ind w:left="1260" w:hanging="523"/>
        <w:spacing w:after="0"/>
        <w:tabs>
          <w:tab w:leader="none" w:pos="1260"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Paragraph (a) above shall not apply:</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Tax assessed on a Finance Party:</w:t>
      </w:r>
    </w:p>
    <w:p>
      <w:pPr>
        <w:spacing w:after="0" w:line="131" w:lineRule="exact"/>
        <w:rPr>
          <w:rFonts w:ascii="Times New Roman" w:cs="Times New Roman" w:eastAsia="Times New Roman" w:hAnsi="Times New Roman"/>
          <w:sz w:val="17"/>
          <w:szCs w:val="17"/>
          <w:color w:val="auto"/>
        </w:rPr>
      </w:pPr>
    </w:p>
    <w:p>
      <w:pPr>
        <w:ind w:left="2420" w:right="560" w:hanging="520"/>
        <w:spacing w:after="0" w:line="295" w:lineRule="auto"/>
        <w:tabs>
          <w:tab w:leader="none" w:pos="2420" w:val="left"/>
        </w:tabs>
        <w:numPr>
          <w:ilvl w:val="2"/>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law of the jurisdiction in which that Finance Party is incorporated or, if different, the jurisdiction (or jurisdictions) in which that Finance Party is treated as resident for tax purposes; or</w:t>
      </w:r>
    </w:p>
    <w:p>
      <w:pPr>
        <w:spacing w:after="0" w:line="55" w:lineRule="exact"/>
        <w:rPr>
          <w:rFonts w:ascii="Times New Roman" w:cs="Times New Roman" w:eastAsia="Times New Roman" w:hAnsi="Times New Roman"/>
          <w:sz w:val="17"/>
          <w:szCs w:val="17"/>
          <w:color w:val="auto"/>
        </w:rPr>
      </w:pPr>
    </w:p>
    <w:p>
      <w:pPr>
        <w:ind w:left="2420" w:right="620" w:hanging="520"/>
        <w:spacing w:after="0" w:line="295" w:lineRule="auto"/>
        <w:tabs>
          <w:tab w:leader="none" w:pos="2420" w:val="left"/>
        </w:tabs>
        <w:numPr>
          <w:ilvl w:val="2"/>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law of the jurisdiction in which that Finance Party’s Facility Office is located in respect of amounts received or receivable in that jurisdiction,</w:t>
      </w:r>
    </w:p>
    <w:p>
      <w:pPr>
        <w:spacing w:after="0" w:line="42" w:lineRule="exact"/>
        <w:rPr>
          <w:sz w:val="20"/>
          <w:szCs w:val="20"/>
          <w:color w:val="auto"/>
        </w:rPr>
      </w:pPr>
    </w:p>
    <w:p>
      <w:pPr>
        <w:ind w:left="1920" w:right="160"/>
        <w:spacing w:after="0" w:line="295" w:lineRule="auto"/>
        <w:rPr>
          <w:sz w:val="20"/>
          <w:szCs w:val="20"/>
          <w:color w:val="auto"/>
        </w:rPr>
      </w:pPr>
      <w:r>
        <w:rPr>
          <w:rFonts w:ascii="Times New Roman" w:cs="Times New Roman" w:eastAsia="Times New Roman" w:hAnsi="Times New Roman"/>
          <w:sz w:val="17"/>
          <w:szCs w:val="17"/>
          <w:color w:val="auto"/>
        </w:rPr>
        <w:t>if that Tax is imposed on or calculated by reference to the net income received or receivable (but not any sum deemed to be received or receivable) by that Finance Party;</w:t>
      </w:r>
    </w:p>
    <w:p>
      <w:pPr>
        <w:spacing w:after="0" w:line="53" w:lineRule="exact"/>
        <w:rPr>
          <w:sz w:val="20"/>
          <w:szCs w:val="20"/>
          <w:color w:val="auto"/>
        </w:rPr>
      </w:pPr>
    </w:p>
    <w:p>
      <w:pPr>
        <w:ind w:left="1880" w:hanging="620"/>
        <w:spacing w:after="0"/>
        <w:tabs>
          <w:tab w:leader="none" w:pos="1880"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loss, liability or cost is compensated for by an increased payment under Clause 16.2 (</w:t>
      </w:r>
      <w:r>
        <w:rPr>
          <w:rFonts w:ascii="Times New Roman" w:cs="Times New Roman" w:eastAsia="Times New Roman" w:hAnsi="Times New Roman"/>
          <w:sz w:val="17"/>
          <w:szCs w:val="17"/>
          <w:i w:val="1"/>
          <w:iCs w:val="1"/>
          <w:color w:val="auto"/>
        </w:rPr>
        <w:t>Tax gross-up</w:t>
      </w:r>
      <w:r>
        <w:rPr>
          <w:rFonts w:ascii="Times New Roman" w:cs="Times New Roman" w:eastAsia="Times New Roman" w:hAnsi="Times New Roman"/>
          <w:sz w:val="17"/>
          <w:szCs w:val="17"/>
          <w:color w:val="auto"/>
        </w:rPr>
        <w:t>); or</w:t>
      </w:r>
    </w:p>
    <w:p>
      <w:pPr>
        <w:spacing w:after="0" w:line="13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loss, liability or cost relates to a FATCA Deduction required to be made by a Party.</w:t>
      </w:r>
    </w:p>
    <w:p>
      <w:pPr>
        <w:spacing w:after="0" w:line="131" w:lineRule="exact"/>
        <w:rPr>
          <w:rFonts w:ascii="Times New Roman" w:cs="Times New Roman" w:eastAsia="Times New Roman" w:hAnsi="Times New Roman"/>
          <w:sz w:val="17"/>
          <w:szCs w:val="17"/>
          <w:color w:val="auto"/>
        </w:rPr>
      </w:pPr>
    </w:p>
    <w:p>
      <w:pPr>
        <w:ind w:left="1260" w:right="60" w:hanging="523"/>
        <w:spacing w:after="0" w:line="295" w:lineRule="auto"/>
        <w:tabs>
          <w:tab w:leader="none" w:pos="12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Protected Party shall, on receiving a payment from the Company under this Clause 16.3, notify the Agent.</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16.4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If the Company makes a Tax Payment and the relevant Finance Party determines that:</w:t>
      </w:r>
    </w:p>
    <w:p>
      <w:pPr>
        <w:spacing w:after="0" w:line="131" w:lineRule="exact"/>
        <w:rPr>
          <w:sz w:val="20"/>
          <w:szCs w:val="20"/>
          <w:color w:val="auto"/>
        </w:rPr>
      </w:pPr>
    </w:p>
    <w:p>
      <w:pPr>
        <w:ind w:left="1260" w:right="80" w:hanging="523"/>
        <w:spacing w:after="0" w:line="295" w:lineRule="auto"/>
        <w:tabs>
          <w:tab w:leader="none" w:pos="126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Tax Credit is attributable to an increased payment of which that Tax Payment forms part, to that Tax Payment or to a Tax Deduction in consequence of which that Tax Payment was required; and</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Finance Party has obtained and utilised that Tax Credit,</w:t>
      </w:r>
    </w:p>
    <w:p>
      <w:pPr>
        <w:spacing w:after="0" w:line="118" w:lineRule="exact"/>
        <w:rPr>
          <w:sz w:val="20"/>
          <w:szCs w:val="20"/>
          <w:color w:val="auto"/>
        </w:rPr>
      </w:pPr>
    </w:p>
    <w:p>
      <w:pPr>
        <w:ind w:left="740" w:right="380"/>
        <w:spacing w:after="0" w:line="295" w:lineRule="auto"/>
        <w:rPr>
          <w:sz w:val="20"/>
          <w:szCs w:val="20"/>
          <w:color w:val="auto"/>
        </w:rPr>
      </w:pPr>
      <w:r>
        <w:rPr>
          <w:rFonts w:ascii="Times New Roman" w:cs="Times New Roman" w:eastAsia="Times New Roman" w:hAnsi="Times New Roman"/>
          <w:sz w:val="17"/>
          <w:szCs w:val="17"/>
          <w:color w:val="auto"/>
        </w:rPr>
        <w:t>the Finance Party shall pay an amount to the Company which that Finance Party determines will leave it (after that payment) in the same after-Tax position as it would have been in had the Tax Payment not been required to be made by the Company.</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16.5</w:t>
      </w:r>
      <w:r>
        <w:rPr>
          <w:sz w:val="20"/>
          <w:szCs w:val="20"/>
          <w:color w:val="auto"/>
        </w:rPr>
        <w:tab/>
      </w:r>
      <w:r>
        <w:rPr>
          <w:rFonts w:ascii="Times New Roman" w:cs="Times New Roman" w:eastAsia="Times New Roman" w:hAnsi="Times New Roman"/>
          <w:sz w:val="16"/>
          <w:szCs w:val="16"/>
          <w:b w:val="1"/>
          <w:bCs w:val="1"/>
          <w:color w:val="auto"/>
        </w:rPr>
        <w:t>Stamp Taxes</w:t>
      </w:r>
    </w:p>
    <w:p>
      <w:pPr>
        <w:spacing w:after="0" w:line="120" w:lineRule="exact"/>
        <w:rPr>
          <w:sz w:val="20"/>
          <w:szCs w:val="20"/>
          <w:color w:val="auto"/>
        </w:rPr>
      </w:pPr>
    </w:p>
    <w:p>
      <w:pPr>
        <w:ind w:left="740" w:right="120"/>
        <w:spacing w:after="0" w:line="276" w:lineRule="auto"/>
        <w:rPr>
          <w:sz w:val="20"/>
          <w:szCs w:val="20"/>
          <w:color w:val="auto"/>
        </w:rPr>
      </w:pPr>
      <w:r>
        <w:rPr>
          <w:rFonts w:ascii="Times New Roman" w:cs="Times New Roman" w:eastAsia="Times New Roman" w:hAnsi="Times New Roman"/>
          <w:sz w:val="17"/>
          <w:szCs w:val="17"/>
          <w:color w:val="auto"/>
        </w:rPr>
        <w:t>The Company shall pay and, within five (5) Business Days of demand, indemnify each Finance Party against any cost, loss or liability that Finance Party incurs in relation to all stamp duty, registration, excise and other similar Taxes payable in respect of any Finance Document or the transactions occurring under any of them.</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16.6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133" w:lineRule="exact"/>
        <w:rPr>
          <w:sz w:val="20"/>
          <w:szCs w:val="20"/>
          <w:color w:val="auto"/>
        </w:rPr>
      </w:pPr>
    </w:p>
    <w:p>
      <w:pPr>
        <w:ind w:left="1260" w:right="20" w:hanging="523"/>
        <w:spacing w:after="0" w:line="269" w:lineRule="auto"/>
        <w:tabs>
          <w:tab w:leader="none" w:pos="1260"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04"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69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72" w:name="page373"/>
    <w:bookmarkEnd w:id="372"/>
    <w:p>
      <w:pPr>
        <w:ind w:left="1260" w:right="180" w:hanging="523"/>
        <w:spacing w:after="0" w:line="269" w:lineRule="auto"/>
        <w:tabs>
          <w:tab w:leader="none" w:pos="1260"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Where a Finance Document requires any Party to reimburse or indemnify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16.7</w:t>
      </w:r>
      <w:r>
        <w:rPr>
          <w:sz w:val="20"/>
          <w:szCs w:val="20"/>
          <w:color w:val="auto"/>
        </w:rPr>
        <w:tab/>
      </w:r>
      <w:r>
        <w:rPr>
          <w:rFonts w:ascii="Times New Roman" w:cs="Times New Roman" w:eastAsia="Times New Roman" w:hAnsi="Times New Roman"/>
          <w:sz w:val="17"/>
          <w:szCs w:val="17"/>
          <w:b w:val="1"/>
          <w:bCs w:val="1"/>
          <w:color w:val="auto"/>
        </w:rPr>
        <w:t>Survival of obligations</w:t>
      </w:r>
    </w:p>
    <w:p>
      <w:pPr>
        <w:spacing w:after="0" w:line="120" w:lineRule="exact"/>
        <w:rPr>
          <w:sz w:val="20"/>
          <w:szCs w:val="20"/>
          <w:color w:val="auto"/>
        </w:rPr>
      </w:pPr>
    </w:p>
    <w:p>
      <w:pPr>
        <w:ind w:left="740" w:right="240"/>
        <w:spacing w:after="0" w:line="276" w:lineRule="auto"/>
        <w:rPr>
          <w:sz w:val="20"/>
          <w:szCs w:val="20"/>
          <w:color w:val="auto"/>
        </w:rPr>
      </w:pPr>
      <w:r>
        <w:rPr>
          <w:rFonts w:ascii="Times New Roman" w:cs="Times New Roman" w:eastAsia="Times New Roman" w:hAnsi="Times New Roman"/>
          <w:sz w:val="17"/>
          <w:szCs w:val="17"/>
          <w:color w:val="auto"/>
        </w:rPr>
        <w:t>Without prejudice to the survival of any other section of this Agreement, the agreements and obligations of the Company and each Finance Party contained in this Clause 16 shall survive the payment in full by the Company of all obligations under this Agreement and the termination of this Agreement.</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16.8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133" w:lineRule="exact"/>
        <w:rPr>
          <w:sz w:val="20"/>
          <w:szCs w:val="20"/>
          <w:color w:val="auto"/>
        </w:rPr>
      </w:pPr>
    </w:p>
    <w:p>
      <w:pPr>
        <w:ind w:left="1260" w:hanging="523"/>
        <w:spacing w:after="0"/>
        <w:tabs>
          <w:tab w:leader="none" w:pos="126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each Party shall, within ten (10) Business Days of a reasonable request by another Party:</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 to that other Party whether it is:</w:t>
      </w:r>
    </w:p>
    <w:p>
      <w:pPr>
        <w:spacing w:after="0" w:line="131" w:lineRule="exact"/>
        <w:rPr>
          <w:rFonts w:ascii="Times New Roman" w:cs="Times New Roman" w:eastAsia="Times New Roman" w:hAnsi="Times New Roman"/>
          <w:sz w:val="17"/>
          <w:szCs w:val="17"/>
          <w:color w:val="auto"/>
        </w:rPr>
      </w:pPr>
    </w:p>
    <w:p>
      <w:pPr>
        <w:ind w:left="2420" w:hanging="520"/>
        <w:spacing w:after="0"/>
        <w:tabs>
          <w:tab w:leader="none" w:pos="2420" w:val="left"/>
        </w:tabs>
        <w:numPr>
          <w:ilvl w:val="2"/>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FATCA Exempt Party; or</w:t>
      </w:r>
    </w:p>
    <w:p>
      <w:pPr>
        <w:spacing w:after="0" w:line="131" w:lineRule="exact"/>
        <w:rPr>
          <w:rFonts w:ascii="Times New Roman" w:cs="Times New Roman" w:eastAsia="Times New Roman" w:hAnsi="Times New Roman"/>
          <w:sz w:val="17"/>
          <w:szCs w:val="17"/>
          <w:color w:val="auto"/>
        </w:rPr>
      </w:pPr>
    </w:p>
    <w:p>
      <w:pPr>
        <w:ind w:left="2420" w:hanging="520"/>
        <w:spacing w:after="0"/>
        <w:tabs>
          <w:tab w:leader="none" w:pos="2420" w:val="left"/>
        </w:tabs>
        <w:numPr>
          <w:ilvl w:val="2"/>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FATCA Exempt Party;</w:t>
      </w:r>
    </w:p>
    <w:p>
      <w:pPr>
        <w:spacing w:after="0" w:line="131" w:lineRule="exact"/>
        <w:rPr>
          <w:rFonts w:ascii="Times New Roman" w:cs="Times New Roman" w:eastAsia="Times New Roman" w:hAnsi="Times New Roman"/>
          <w:sz w:val="17"/>
          <w:szCs w:val="17"/>
          <w:color w:val="auto"/>
        </w:rPr>
      </w:pPr>
    </w:p>
    <w:p>
      <w:pPr>
        <w:ind w:left="1880" w:right="200" w:hanging="620"/>
        <w:spacing w:after="0" w:line="295" w:lineRule="auto"/>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to that other Party such forms, documentation and other information relating to its status under FATCA as that other Party reasonably requests for the purposes of that other Party’s compliance with FATCA; and</w:t>
      </w:r>
    </w:p>
    <w:p>
      <w:pPr>
        <w:spacing w:after="0" w:line="55" w:lineRule="exact"/>
        <w:rPr>
          <w:rFonts w:ascii="Times New Roman" w:cs="Times New Roman" w:eastAsia="Times New Roman" w:hAnsi="Times New Roman"/>
          <w:sz w:val="17"/>
          <w:szCs w:val="17"/>
          <w:color w:val="auto"/>
        </w:rPr>
      </w:pPr>
    </w:p>
    <w:p>
      <w:pPr>
        <w:ind w:left="1880" w:hanging="620"/>
        <w:spacing w:after="0" w:line="295" w:lineRule="auto"/>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55" w:lineRule="exact"/>
        <w:rPr>
          <w:rFonts w:ascii="Times New Roman" w:cs="Times New Roman" w:eastAsia="Times New Roman" w:hAnsi="Times New Roman"/>
          <w:sz w:val="17"/>
          <w:szCs w:val="17"/>
          <w:color w:val="auto"/>
        </w:rPr>
      </w:pPr>
    </w:p>
    <w:p>
      <w:pPr>
        <w:ind w:left="1260" w:right="160" w:hanging="523"/>
        <w:spacing w:after="0" w:line="295" w:lineRule="auto"/>
        <w:tabs>
          <w:tab w:leader="none" w:pos="126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55" w:lineRule="exact"/>
        <w:rPr>
          <w:rFonts w:ascii="Times New Roman" w:cs="Times New Roman" w:eastAsia="Times New Roman" w:hAnsi="Times New Roman"/>
          <w:sz w:val="17"/>
          <w:szCs w:val="17"/>
          <w:color w:val="auto"/>
        </w:rPr>
      </w:pPr>
    </w:p>
    <w:p>
      <w:pPr>
        <w:ind w:left="1260" w:right="80" w:hanging="523"/>
        <w:spacing w:after="0" w:line="295" w:lineRule="auto"/>
        <w:tabs>
          <w:tab w:leader="none" w:pos="126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(a) above shall not oblige any Finance Party to do anything, and paragraph (a)(iii) above shall not oblige any other Party to do anything, which would or might in its reasonable opinion constitute a breach of:</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law or regulation;</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fiduciary duty;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duty of confidentiality.</w:t>
      </w:r>
    </w:p>
    <w:p>
      <w:pPr>
        <w:spacing w:after="0" w:line="131" w:lineRule="exact"/>
        <w:rPr>
          <w:rFonts w:ascii="Times New Roman" w:cs="Times New Roman" w:eastAsia="Times New Roman" w:hAnsi="Times New Roman"/>
          <w:sz w:val="17"/>
          <w:szCs w:val="17"/>
          <w:color w:val="auto"/>
        </w:rPr>
      </w:pPr>
    </w:p>
    <w:p>
      <w:pPr>
        <w:ind w:left="1260" w:right="40" w:hanging="523"/>
        <w:spacing w:after="0" w:line="269" w:lineRule="auto"/>
        <w:tabs>
          <w:tab w:leader="none" w:pos="126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04"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373" w:name="page374"/>
    <w:bookmarkEnd w:id="373"/>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16.9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133" w:lineRule="exact"/>
        <w:rPr>
          <w:sz w:val="20"/>
          <w:szCs w:val="20"/>
          <w:color w:val="auto"/>
        </w:rPr>
      </w:pPr>
    </w:p>
    <w:p>
      <w:pPr>
        <w:ind w:left="1268" w:right="160" w:hanging="523"/>
        <w:spacing w:after="0" w:line="276" w:lineRule="auto"/>
        <w:tabs>
          <w:tab w:leader="none" w:pos="1268" w:val="left"/>
        </w:tabs>
        <w:numPr>
          <w:ilvl w:val="1"/>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70" w:lineRule="exact"/>
        <w:rPr>
          <w:rFonts w:ascii="Times New Roman" w:cs="Times New Roman" w:eastAsia="Times New Roman" w:hAnsi="Times New Roman"/>
          <w:sz w:val="17"/>
          <w:szCs w:val="17"/>
          <w:color w:val="auto"/>
        </w:rPr>
      </w:pPr>
    </w:p>
    <w:p>
      <w:pPr>
        <w:ind w:left="1268" w:right="140" w:hanging="523"/>
        <w:spacing w:after="0" w:line="276" w:lineRule="auto"/>
        <w:tabs>
          <w:tab w:leader="none" w:pos="1268" w:val="left"/>
        </w:tabs>
        <w:numPr>
          <w:ilvl w:val="1"/>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Increased Costs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131" w:lineRule="exact"/>
        <w:rPr>
          <w:sz w:val="20"/>
          <w:szCs w:val="20"/>
          <w:color w:val="auto"/>
        </w:rPr>
      </w:pPr>
    </w:p>
    <w:p>
      <w:pPr>
        <w:ind w:left="1268" w:right="120" w:hanging="523"/>
        <w:spacing w:after="0" w:line="298" w:lineRule="auto"/>
        <w:tabs>
          <w:tab w:leader="none" w:pos="1268"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17.3 (</w:t>
      </w: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the Company shall, within five (5) Business Days of a demand by the Agent, pay for the account of a Finance Party the amount of any Increased Costs incurred by that Finance Party or any of its Affiliates as a result of:</w:t>
      </w:r>
    </w:p>
    <w:p>
      <w:pPr>
        <w:spacing w:after="0" w:line="52" w:lineRule="exact"/>
        <w:rPr>
          <w:rFonts w:ascii="Times New Roman" w:cs="Times New Roman" w:eastAsia="Times New Roman" w:hAnsi="Times New Roman"/>
          <w:sz w:val="17"/>
          <w:szCs w:val="17"/>
          <w:color w:val="auto"/>
        </w:rPr>
      </w:pPr>
    </w:p>
    <w:p>
      <w:pPr>
        <w:ind w:left="1888" w:right="120" w:hanging="620"/>
        <w:spacing w:after="0" w:line="295" w:lineRule="auto"/>
        <w:tabs>
          <w:tab w:leader="none" w:pos="1888" w:val="left"/>
        </w:tabs>
        <w:numPr>
          <w:ilvl w:val="1"/>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or any change in (or in the interpretation, administration or application of) any law or regulation after the date of this Agreement;</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any law or regulation made after the date of this Agreement;</w:t>
      </w:r>
    </w:p>
    <w:p>
      <w:pPr>
        <w:spacing w:after="0" w:line="131" w:lineRule="exact"/>
        <w:rPr>
          <w:rFonts w:ascii="Times New Roman" w:cs="Times New Roman" w:eastAsia="Times New Roman" w:hAnsi="Times New Roman"/>
          <w:sz w:val="17"/>
          <w:szCs w:val="17"/>
          <w:color w:val="auto"/>
        </w:rPr>
      </w:pPr>
    </w:p>
    <w:p>
      <w:pPr>
        <w:ind w:left="1888" w:right="80" w:hanging="620"/>
        <w:spacing w:after="0" w:line="295" w:lineRule="auto"/>
        <w:tabs>
          <w:tab w:leader="none" w:pos="1888" w:val="left"/>
        </w:tabs>
        <w:numPr>
          <w:ilvl w:val="1"/>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or application of, or compliance with, Basel III or any law or regulation that implements or applies Basel III; or</w:t>
      </w:r>
    </w:p>
    <w:p>
      <w:pPr>
        <w:spacing w:after="0" w:line="55" w:lineRule="exact"/>
        <w:rPr>
          <w:rFonts w:ascii="Times New Roman" w:cs="Times New Roman" w:eastAsia="Times New Roman" w:hAnsi="Times New Roman"/>
          <w:sz w:val="17"/>
          <w:szCs w:val="17"/>
          <w:color w:val="auto"/>
        </w:rPr>
      </w:pPr>
    </w:p>
    <w:p>
      <w:pPr>
        <w:ind w:left="1888" w:right="140" w:hanging="620"/>
        <w:spacing w:after="0" w:line="295" w:lineRule="auto"/>
        <w:tabs>
          <w:tab w:leader="none" w:pos="1888" w:val="left"/>
        </w:tabs>
        <w:numPr>
          <w:ilvl w:val="1"/>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or application of, or compliance with the Dodd-Frank Wall Street Reform and Consumer Protection Act or any law or regulation that implements or applies the Dodd-Frank Wall Street Reform and Consumer Protection Act.</w:t>
      </w:r>
    </w:p>
    <w:p>
      <w:pPr>
        <w:spacing w:after="0" w:line="42" w:lineRule="exact"/>
        <w:rPr>
          <w:sz w:val="20"/>
          <w:szCs w:val="20"/>
          <w:color w:val="auto"/>
        </w:rPr>
      </w:pPr>
    </w:p>
    <w:p>
      <w:pPr>
        <w:ind w:left="1288" w:right="420"/>
        <w:spacing w:after="0" w:line="295" w:lineRule="auto"/>
        <w:rPr>
          <w:sz w:val="20"/>
          <w:szCs w:val="20"/>
          <w:color w:val="auto"/>
        </w:rPr>
      </w:pPr>
      <w:r>
        <w:rPr>
          <w:rFonts w:ascii="Times New Roman" w:cs="Times New Roman" w:eastAsia="Times New Roman" w:hAnsi="Times New Roman"/>
          <w:sz w:val="17"/>
          <w:szCs w:val="17"/>
          <w:color w:val="auto"/>
        </w:rPr>
        <w:t>The terms “law” and “regulation” in this paragraph (a) shall include, without limitation, any law or regulation concerning capital adequacy, prudential limits, liquidity, reserve assets or Tax.</w:t>
      </w:r>
    </w:p>
    <w:p>
      <w:pPr>
        <w:spacing w:after="0" w:line="290" w:lineRule="exact"/>
        <w:rPr>
          <w:sz w:val="20"/>
          <w:szCs w:val="20"/>
          <w:color w:val="auto"/>
        </w:rPr>
      </w:pPr>
    </w:p>
    <w:p>
      <w:pPr>
        <w:ind w:left="1268" w:hanging="523"/>
        <w:spacing w:after="0"/>
        <w:tabs>
          <w:tab w:leader="none" w:pos="1268"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w:t>
      </w:r>
    </w:p>
    <w:p>
      <w:pPr>
        <w:spacing w:after="0" w:line="129"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Increased Costs</w:t>
      </w:r>
      <w:r>
        <w:rPr>
          <w:rFonts w:ascii="Times New Roman" w:cs="Times New Roman" w:eastAsia="Times New Roman" w:hAnsi="Times New Roman"/>
          <w:sz w:val="17"/>
          <w:szCs w:val="17"/>
          <w:color w:val="auto"/>
        </w:rPr>
        <w:t>” means:</w:t>
      </w:r>
    </w:p>
    <w:p>
      <w:pPr>
        <w:spacing w:after="0" w:line="133" w:lineRule="exact"/>
        <w:rPr>
          <w:rFonts w:ascii="Times New Roman" w:cs="Times New Roman" w:eastAsia="Times New Roman" w:hAnsi="Times New Roman"/>
          <w:sz w:val="17"/>
          <w:szCs w:val="17"/>
          <w:color w:val="auto"/>
        </w:rPr>
      </w:pPr>
    </w:p>
    <w:p>
      <w:pPr>
        <w:ind w:left="2428" w:right="240" w:hanging="520"/>
        <w:spacing w:after="0" w:line="276" w:lineRule="auto"/>
        <w:tabs>
          <w:tab w:leader="none" w:pos="2428" w:val="left"/>
        </w:tabs>
        <w:numPr>
          <w:ilvl w:val="2"/>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rate of return from a Facility or on a Finance Party’s (or its Affiliate’s) overall capital (including, without limitation, as a result of any reduction in the rate of return on capital brought about by more capital being required to be allocated by such Finance Party);</w:t>
      </w:r>
    </w:p>
    <w:p>
      <w:pPr>
        <w:spacing w:after="0" w:line="70" w:lineRule="exact"/>
        <w:rPr>
          <w:rFonts w:ascii="Times New Roman" w:cs="Times New Roman" w:eastAsia="Times New Roman" w:hAnsi="Times New Roman"/>
          <w:sz w:val="17"/>
          <w:szCs w:val="17"/>
          <w:color w:val="auto"/>
        </w:rPr>
      </w:pPr>
    </w:p>
    <w:p>
      <w:pPr>
        <w:ind w:left="2428" w:hanging="520"/>
        <w:spacing w:after="0"/>
        <w:tabs>
          <w:tab w:leader="none" w:pos="2428" w:val="left"/>
        </w:tabs>
        <w:numPr>
          <w:ilvl w:val="2"/>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or increased cost; or</w:t>
      </w:r>
    </w:p>
    <w:p>
      <w:pPr>
        <w:spacing w:after="0" w:line="131" w:lineRule="exact"/>
        <w:rPr>
          <w:rFonts w:ascii="Times New Roman" w:cs="Times New Roman" w:eastAsia="Times New Roman" w:hAnsi="Times New Roman"/>
          <w:sz w:val="17"/>
          <w:szCs w:val="17"/>
          <w:color w:val="auto"/>
        </w:rPr>
      </w:pPr>
    </w:p>
    <w:p>
      <w:pPr>
        <w:ind w:left="2428" w:hanging="520"/>
        <w:spacing w:after="0"/>
        <w:tabs>
          <w:tab w:leader="none" w:pos="2428" w:val="left"/>
        </w:tabs>
        <w:numPr>
          <w:ilvl w:val="2"/>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of any amount due and payable under any Finance Document,</w:t>
      </w:r>
    </w:p>
    <w:p>
      <w:pPr>
        <w:spacing w:after="0" w:line="118" w:lineRule="exact"/>
        <w:rPr>
          <w:sz w:val="20"/>
          <w:szCs w:val="20"/>
          <w:color w:val="auto"/>
        </w:rPr>
      </w:pPr>
    </w:p>
    <w:p>
      <w:pPr>
        <w:ind w:left="1288" w:right="100"/>
        <w:spacing w:after="0" w:line="295" w:lineRule="auto"/>
        <w:rPr>
          <w:sz w:val="20"/>
          <w:szCs w:val="20"/>
          <w:color w:val="auto"/>
        </w:rPr>
      </w:pPr>
      <w:r>
        <w:rPr>
          <w:rFonts w:ascii="Times New Roman" w:cs="Times New Roman" w:eastAsia="Times New Roman" w:hAnsi="Times New Roman"/>
          <w:sz w:val="17"/>
          <w:szCs w:val="17"/>
          <w:color w:val="auto"/>
        </w:rPr>
        <w:t>which is incurred or suffered by a Finance Party or any of its Affiliates to the extent that it is attributable to that Finance Party having entered into its Commitment or funding or performing its obligations under any Finance Document; and</w:t>
      </w:r>
    </w:p>
    <w:p>
      <w:pPr>
        <w:spacing w:after="0" w:line="53" w:lineRule="exact"/>
        <w:rPr>
          <w:sz w:val="20"/>
          <w:szCs w:val="20"/>
          <w:color w:val="auto"/>
        </w:rPr>
      </w:pPr>
    </w:p>
    <w:p>
      <w:pPr>
        <w:ind w:left="1888" w:hanging="620"/>
        <w:spacing w:after="0"/>
        <w:tabs>
          <w:tab w:leader="none" w:pos="1888"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Basel III</w:t>
      </w:r>
      <w:r>
        <w:rPr>
          <w:rFonts w:ascii="Times New Roman" w:cs="Times New Roman" w:eastAsia="Times New Roman" w:hAnsi="Times New Roman"/>
          <w:sz w:val="17"/>
          <w:szCs w:val="17"/>
          <w:color w:val="auto"/>
        </w:rPr>
        <w:t>” means the agreements on capital requirements, a leverage ratio and liquidity standards contained in “Basel III: A</w:t>
      </w:r>
    </w:p>
    <w:p>
      <w:pPr>
        <w:spacing w:after="0" w:line="33" w:lineRule="exact"/>
        <w:rPr>
          <w:rFonts w:ascii="Times New Roman" w:cs="Times New Roman" w:eastAsia="Times New Roman" w:hAnsi="Times New Roman"/>
          <w:sz w:val="17"/>
          <w:szCs w:val="17"/>
          <w:color w:val="auto"/>
        </w:rPr>
      </w:pPr>
    </w:p>
    <w:p>
      <w:pPr>
        <w:ind w:left="1888"/>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w:t>
      </w:r>
    </w:p>
    <w:p>
      <w:pPr>
        <w:spacing w:after="0" w:line="108"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74" w:name="page375"/>
    <w:bookmarkEnd w:id="374"/>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17.2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131" w:lineRule="exact"/>
        <w:rPr>
          <w:sz w:val="20"/>
          <w:szCs w:val="20"/>
          <w:color w:val="auto"/>
        </w:rPr>
      </w:pPr>
    </w:p>
    <w:p>
      <w:pPr>
        <w:ind w:left="1268" w:right="120" w:hanging="523"/>
        <w:spacing w:after="0" w:line="298" w:lineRule="auto"/>
        <w:tabs>
          <w:tab w:leader="none" w:pos="1268"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Finance Party (other than the Agent) intending to make a claim pursuant to Clause 17.1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 shall notify the Agent of the event giving rise to the claim, following which the Agent shall promptly notify the Company.</w:t>
      </w:r>
    </w:p>
    <w:p>
      <w:pPr>
        <w:spacing w:after="0" w:line="52" w:lineRule="exact"/>
        <w:rPr>
          <w:rFonts w:ascii="Times New Roman" w:cs="Times New Roman" w:eastAsia="Times New Roman" w:hAnsi="Times New Roman"/>
          <w:sz w:val="17"/>
          <w:szCs w:val="17"/>
          <w:color w:val="auto"/>
        </w:rPr>
      </w:pPr>
    </w:p>
    <w:p>
      <w:pPr>
        <w:ind w:left="1268" w:right="160" w:hanging="523"/>
        <w:spacing w:after="0" w:line="295" w:lineRule="auto"/>
        <w:tabs>
          <w:tab w:leader="none" w:pos="1268"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Finance Party (other than the Agent) shall, as soon as practicable after a demand by the Agent, provide a certificate confirming the amount of its Increased Costs.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1" w:lineRule="exact"/>
        <w:rPr>
          <w:sz w:val="20"/>
          <w:szCs w:val="20"/>
          <w:color w:val="auto"/>
        </w:rPr>
      </w:pPr>
    </w:p>
    <w:p>
      <w:pPr>
        <w:ind w:left="1268" w:hanging="523"/>
        <w:spacing w:after="0"/>
        <w:tabs>
          <w:tab w:leader="none" w:pos="1268"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17.1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 does not apply to the extent any Increased Cost is:</w:t>
      </w:r>
    </w:p>
    <w:p>
      <w:pPr>
        <w:spacing w:after="0" w:line="133"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attributable to a Tax Deduction required by law to be made by the Company;</w:t>
      </w:r>
    </w:p>
    <w:p>
      <w:pPr>
        <w:spacing w:after="0" w:line="129" w:lineRule="exact"/>
        <w:rPr>
          <w:rFonts w:ascii="Times New Roman" w:cs="Times New Roman" w:eastAsia="Times New Roman" w:hAnsi="Times New Roman"/>
          <w:sz w:val="17"/>
          <w:szCs w:val="17"/>
          <w:color w:val="auto"/>
        </w:rPr>
      </w:pPr>
    </w:p>
    <w:p>
      <w:pPr>
        <w:ind w:left="1888" w:right="20" w:hanging="620"/>
        <w:spacing w:after="0" w:line="298" w:lineRule="auto"/>
        <w:tabs>
          <w:tab w:leader="none" w:pos="1888" w:val="left"/>
        </w:tabs>
        <w:numPr>
          <w:ilvl w:val="2"/>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compensated for by Clause 16.3 (</w:t>
      </w:r>
      <w:r>
        <w:rPr>
          <w:rFonts w:ascii="Times New Roman" w:cs="Times New Roman" w:eastAsia="Times New Roman" w:hAnsi="Times New Roman"/>
          <w:sz w:val="17"/>
          <w:szCs w:val="17"/>
          <w:i w:val="1"/>
          <w:iCs w:val="1"/>
          <w:color w:val="auto"/>
        </w:rPr>
        <w:t>Tax indemnity</w:t>
      </w:r>
      <w:r>
        <w:rPr>
          <w:rFonts w:ascii="Times New Roman" w:cs="Times New Roman" w:eastAsia="Times New Roman" w:hAnsi="Times New Roman"/>
          <w:sz w:val="17"/>
          <w:szCs w:val="17"/>
          <w:color w:val="auto"/>
        </w:rPr>
        <w:t>) (or would have been compensated for under Clause 16.3 (</w:t>
      </w:r>
      <w:r>
        <w:rPr>
          <w:rFonts w:ascii="Times New Roman" w:cs="Times New Roman" w:eastAsia="Times New Roman" w:hAnsi="Times New Roman"/>
          <w:sz w:val="17"/>
          <w:szCs w:val="17"/>
          <w:i w:val="1"/>
          <w:iCs w:val="1"/>
          <w:color w:val="auto"/>
        </w:rPr>
        <w:t>Tax indemnity</w:t>
      </w:r>
      <w:r>
        <w:rPr>
          <w:rFonts w:ascii="Times New Roman" w:cs="Times New Roman" w:eastAsia="Times New Roman" w:hAnsi="Times New Roman"/>
          <w:sz w:val="17"/>
          <w:szCs w:val="17"/>
          <w:color w:val="auto"/>
        </w:rPr>
        <w:t>) but was not so compensated solely because any of the exclusions in paragraph (b) of Clause 16.3 (</w:t>
      </w:r>
      <w:r>
        <w:rPr>
          <w:rFonts w:ascii="Times New Roman" w:cs="Times New Roman" w:eastAsia="Times New Roman" w:hAnsi="Times New Roman"/>
          <w:sz w:val="17"/>
          <w:szCs w:val="17"/>
          <w:i w:val="1"/>
          <w:iCs w:val="1"/>
          <w:color w:val="auto"/>
        </w:rPr>
        <w:t>Tax indemnity</w:t>
      </w:r>
      <w:r>
        <w:rPr>
          <w:rFonts w:ascii="Times New Roman" w:cs="Times New Roman" w:eastAsia="Times New Roman" w:hAnsi="Times New Roman"/>
          <w:sz w:val="17"/>
          <w:szCs w:val="17"/>
          <w:color w:val="auto"/>
        </w:rPr>
        <w:t>) applied);</w:t>
      </w:r>
    </w:p>
    <w:p>
      <w:pPr>
        <w:spacing w:after="0" w:line="52"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attributable to a FATCA Deduction required to be made by a Party;</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attributable to the wilful breach by the relevant Finance Party or its Affiliates of any law or regulation; or</w:t>
      </w:r>
    </w:p>
    <w:p>
      <w:pPr>
        <w:spacing w:after="0" w:line="131" w:lineRule="exact"/>
        <w:rPr>
          <w:rFonts w:ascii="Times New Roman" w:cs="Times New Roman" w:eastAsia="Times New Roman" w:hAnsi="Times New Roman"/>
          <w:sz w:val="17"/>
          <w:szCs w:val="17"/>
          <w:color w:val="auto"/>
        </w:rPr>
      </w:pPr>
    </w:p>
    <w:p>
      <w:pPr>
        <w:ind w:left="1888" w:right="40" w:hanging="620"/>
        <w:spacing w:after="0" w:line="266" w:lineRule="auto"/>
        <w:tabs>
          <w:tab w:leader="none" w:pos="1888" w:val="left"/>
        </w:tabs>
        <w:numPr>
          <w:ilvl w:val="2"/>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Times New Roman" w:cs="Times New Roman" w:eastAsia="Times New Roman" w:hAnsi="Times New Roman"/>
          <w:sz w:val="17"/>
          <w:szCs w:val="17"/>
          <w:b w:val="1"/>
          <w:bCs w:val="1"/>
          <w:color w:val="auto"/>
        </w:rPr>
        <w:t>Basel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or any other law or regulation which implements Basel II (whether such implementation, application or compliance is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government, regulator, Finance Party or any of its Affiliates).</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Clause 17.3, a reference to a “</w:t>
      </w:r>
      <w:r>
        <w:rPr>
          <w:rFonts w:ascii="Times New Roman" w:cs="Times New Roman" w:eastAsia="Times New Roman" w:hAnsi="Times New Roman"/>
          <w:sz w:val="17"/>
          <w:szCs w:val="17"/>
          <w:b w:val="1"/>
          <w:bCs w:val="1"/>
          <w:color w:val="auto"/>
        </w:rPr>
        <w:t>Tax Deduction</w:t>
      </w:r>
      <w:r>
        <w:rPr>
          <w:rFonts w:ascii="Times New Roman" w:cs="Times New Roman" w:eastAsia="Times New Roman" w:hAnsi="Times New Roman"/>
          <w:sz w:val="17"/>
          <w:szCs w:val="17"/>
          <w:color w:val="auto"/>
        </w:rPr>
        <w:t>” has the same meaning given to the term in Clause 16.1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366"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indemnities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131" w:lineRule="exact"/>
        <w:rPr>
          <w:sz w:val="20"/>
          <w:szCs w:val="20"/>
          <w:color w:val="auto"/>
        </w:rPr>
      </w:pPr>
    </w:p>
    <w:p>
      <w:pPr>
        <w:ind w:left="1268" w:right="200" w:hanging="523"/>
        <w:spacing w:after="0" w:line="277" w:lineRule="auto"/>
        <w:tabs>
          <w:tab w:leader="none" w:pos="1268"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sum due from the Company under the Finance Documents (a “</w:t>
      </w:r>
      <w:r>
        <w:rPr>
          <w:rFonts w:ascii="Times New Roman" w:cs="Times New Roman" w:eastAsia="Times New Roman" w:hAnsi="Times New Roman"/>
          <w:sz w:val="17"/>
          <w:szCs w:val="17"/>
          <w:b w:val="1"/>
          <w:bCs w:val="1"/>
          <w:color w:val="auto"/>
        </w:rPr>
        <w:t>Sum</w:t>
      </w:r>
      <w:r>
        <w:rPr>
          <w:rFonts w:ascii="Times New Roman" w:cs="Times New Roman" w:eastAsia="Times New Roman" w:hAnsi="Times New Roman"/>
          <w:sz w:val="17"/>
          <w:szCs w:val="17"/>
          <w:color w:val="auto"/>
        </w:rPr>
        <w:t>”), or any order, judgment or award given or made in relation to a Sum, has to be converted from the currency (the “</w:t>
      </w:r>
      <w:r>
        <w:rPr>
          <w:rFonts w:ascii="Times New Roman" w:cs="Times New Roman" w:eastAsia="Times New Roman" w:hAnsi="Times New Roman"/>
          <w:sz w:val="17"/>
          <w:szCs w:val="17"/>
          <w:b w:val="1"/>
          <w:bCs w:val="1"/>
          <w:color w:val="auto"/>
        </w:rPr>
        <w:t>First Currency</w:t>
      </w:r>
      <w:r>
        <w:rPr>
          <w:rFonts w:ascii="Times New Roman" w:cs="Times New Roman" w:eastAsia="Times New Roman" w:hAnsi="Times New Roman"/>
          <w:sz w:val="17"/>
          <w:szCs w:val="17"/>
          <w:color w:val="auto"/>
        </w:rPr>
        <w:t>”) in which that Sum is payable into another currency (the “</w:t>
      </w:r>
      <w:r>
        <w:rPr>
          <w:rFonts w:ascii="Times New Roman" w:cs="Times New Roman" w:eastAsia="Times New Roman" w:hAnsi="Times New Roman"/>
          <w:sz w:val="17"/>
          <w:szCs w:val="17"/>
          <w:b w:val="1"/>
          <w:bCs w:val="1"/>
          <w:color w:val="auto"/>
        </w:rPr>
        <w:t>Second Currency</w:t>
      </w:r>
      <w:r>
        <w:rPr>
          <w:rFonts w:ascii="Times New Roman" w:cs="Times New Roman" w:eastAsia="Times New Roman" w:hAnsi="Times New Roman"/>
          <w:sz w:val="17"/>
          <w:szCs w:val="17"/>
          <w:color w:val="auto"/>
        </w:rPr>
        <w:t>”) for the purpose of:</w:t>
      </w:r>
    </w:p>
    <w:p>
      <w:pPr>
        <w:spacing w:after="0" w:line="7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or filing a claim or proof against the Company; or</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or enforcing an order, judgment or award in relation to any litigation or arbitration proceedings,</w:t>
      </w:r>
    </w:p>
    <w:p>
      <w:pPr>
        <w:spacing w:after="0" w:line="118" w:lineRule="exact"/>
        <w:rPr>
          <w:sz w:val="20"/>
          <w:szCs w:val="20"/>
          <w:color w:val="auto"/>
        </w:rPr>
      </w:pPr>
    </w:p>
    <w:p>
      <w:pPr>
        <w:ind w:left="1288" w:right="260"/>
        <w:spacing w:after="0" w:line="267" w:lineRule="auto"/>
        <w:rPr>
          <w:sz w:val="20"/>
          <w:szCs w:val="20"/>
          <w:color w:val="auto"/>
        </w:rPr>
      </w:pPr>
      <w:r>
        <w:rPr>
          <w:rFonts w:ascii="Times New Roman" w:cs="Times New Roman" w:eastAsia="Times New Roman" w:hAnsi="Times New Roman"/>
          <w:sz w:val="17"/>
          <w:szCs w:val="17"/>
          <w:color w:val="auto"/>
        </w:rPr>
        <w:t>the Company shall as an independent obligation, within five (5) Business Days of demand, indemnify each Finance Party to whom that Sum is due against any cost, loss or liability arising out of or as a result of the conversion including any discrepancy between</w:t>
      </w:r>
    </w:p>
    <w:p>
      <w:pPr>
        <w:spacing w:after="0" w:line="1" w:lineRule="exact"/>
        <w:rPr>
          <w:sz w:val="20"/>
          <w:szCs w:val="20"/>
          <w:color w:val="auto"/>
        </w:rPr>
      </w:pPr>
    </w:p>
    <w:p>
      <w:pPr>
        <w:ind w:left="1288" w:right="520" w:hanging="8"/>
        <w:spacing w:after="0" w:line="273" w:lineRule="auto"/>
        <w:tabs>
          <w:tab w:leader="none" w:pos="1573"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exchange used to convert that Sum from the First Currency into the Second Currency and (B) the rate or rates of exchange available to that person at the time of its receipt of that Sum.</w:t>
      </w:r>
    </w:p>
    <w:p>
      <w:pPr>
        <w:spacing w:after="0" w:line="99"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75" w:name="page376"/>
    <w:bookmarkEnd w:id="375"/>
    <w:p>
      <w:pPr>
        <w:ind w:left="1268" w:right="440" w:hanging="523"/>
        <w:spacing w:after="0" w:line="295" w:lineRule="auto"/>
        <w:tabs>
          <w:tab w:leader="none" w:pos="1268"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waives any right it may have in any jurisdiction to pay any amount under the Finance Documents in a currency or currency unit other than that in which it is expressed to be payable.</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Other indemnities</w:t>
      </w:r>
    </w:p>
    <w:p>
      <w:pPr>
        <w:spacing w:after="0" w:line="120" w:lineRule="exact"/>
        <w:rPr>
          <w:sz w:val="20"/>
          <w:szCs w:val="20"/>
          <w:color w:val="auto"/>
        </w:rPr>
      </w:pPr>
    </w:p>
    <w:p>
      <w:pPr>
        <w:ind w:left="748" w:right="320"/>
        <w:spacing w:after="0" w:line="295" w:lineRule="auto"/>
        <w:rPr>
          <w:sz w:val="20"/>
          <w:szCs w:val="20"/>
          <w:color w:val="auto"/>
        </w:rPr>
      </w:pPr>
      <w:r>
        <w:rPr>
          <w:rFonts w:ascii="Times New Roman" w:cs="Times New Roman" w:eastAsia="Times New Roman" w:hAnsi="Times New Roman"/>
          <w:sz w:val="17"/>
          <w:szCs w:val="17"/>
          <w:color w:val="auto"/>
        </w:rPr>
        <w:t>The Company shall (or shall procure that a member of the Group will), within five (5) Business Days of demand, indemnify each Finance Party against any cost, loss or liability incurred by it as a result of:</w:t>
      </w:r>
    </w:p>
    <w:p>
      <w:pPr>
        <w:spacing w:after="0" w:line="55" w:lineRule="exact"/>
        <w:rPr>
          <w:sz w:val="20"/>
          <w:szCs w:val="20"/>
          <w:color w:val="auto"/>
        </w:rPr>
      </w:pPr>
    </w:p>
    <w:p>
      <w:pPr>
        <w:ind w:left="1268" w:hanging="523"/>
        <w:spacing w:after="0"/>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Event of Default;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information produced or approved by it being or being alleged to be misleading and/or deceptive in any respect;</w:t>
      </w:r>
    </w:p>
    <w:p>
      <w:pPr>
        <w:spacing w:after="0" w:line="131" w:lineRule="exact"/>
        <w:rPr>
          <w:rFonts w:ascii="Times New Roman" w:cs="Times New Roman" w:eastAsia="Times New Roman" w:hAnsi="Times New Roman"/>
          <w:sz w:val="17"/>
          <w:szCs w:val="17"/>
          <w:color w:val="auto"/>
        </w:rPr>
      </w:pPr>
    </w:p>
    <w:p>
      <w:pPr>
        <w:ind w:left="1268" w:right="360" w:hanging="523"/>
        <w:spacing w:after="0" w:line="295" w:lineRule="auto"/>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enquiry, investigation, subpoena (or similar order) or litigation with respect to the Company, any Subsidiary Guarantor, or the transactions contemplated or financed under this Agreement;</w:t>
      </w:r>
    </w:p>
    <w:p>
      <w:pPr>
        <w:spacing w:after="0" w:line="55" w:lineRule="exact"/>
        <w:rPr>
          <w:rFonts w:ascii="Times New Roman" w:cs="Times New Roman" w:eastAsia="Times New Roman" w:hAnsi="Times New Roman"/>
          <w:sz w:val="17"/>
          <w:szCs w:val="17"/>
          <w:color w:val="auto"/>
        </w:rPr>
      </w:pPr>
    </w:p>
    <w:p>
      <w:pPr>
        <w:ind w:left="1268" w:right="140" w:hanging="523"/>
        <w:spacing w:after="0" w:line="288" w:lineRule="auto"/>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by the Company or a Subsidiary Guarantor to pay any amount due under a Finance Document on its due date or in the relevant currency, including without limitation, any cost, loss or liability arising as a result of Clause 31 (</w:t>
      </w:r>
      <w:r>
        <w:rPr>
          <w:rFonts w:ascii="Times New Roman" w:cs="Times New Roman" w:eastAsia="Times New Roman" w:hAnsi="Times New Roman"/>
          <w:sz w:val="17"/>
          <w:szCs w:val="17"/>
          <w:i w:val="1"/>
          <w:iCs w:val="1"/>
          <w:color w:val="auto"/>
        </w:rPr>
        <w:t>Sharing among the Finance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Parties</w:t>
      </w:r>
      <w:r>
        <w:rPr>
          <w:rFonts w:ascii="Times New Roman" w:cs="Times New Roman" w:eastAsia="Times New Roman" w:hAnsi="Times New Roman"/>
          <w:sz w:val="17"/>
          <w:szCs w:val="17"/>
          <w:color w:val="auto"/>
        </w:rPr>
        <w:t>);</w:t>
      </w:r>
    </w:p>
    <w:p>
      <w:pPr>
        <w:spacing w:after="0" w:line="275" w:lineRule="exact"/>
        <w:rPr>
          <w:rFonts w:ascii="Times New Roman" w:cs="Times New Roman" w:eastAsia="Times New Roman" w:hAnsi="Times New Roman"/>
          <w:sz w:val="17"/>
          <w:szCs w:val="17"/>
          <w:color w:val="auto"/>
        </w:rPr>
      </w:pPr>
    </w:p>
    <w:p>
      <w:pPr>
        <w:ind w:left="1268" w:right="120" w:hanging="523"/>
        <w:spacing w:after="0" w:line="276" w:lineRule="auto"/>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or making arrangements to fund, its participation in a Loan requested by the Company in a Utilisation Request but not made by reason of the operation of any one or more of the provisions of this Agreement (other than by reason of default or negligence by that Finance Party alone); or</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Loan (or part of a Loan) not being prepaid in accordance with a notice of prepayment given by the Company.</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Indemnity to the Agent</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shall promptly indemnify the Agent against any cost, loss or liability incurred by the Agent (acting reasonably) as a result of:</w:t>
      </w:r>
    </w:p>
    <w:p>
      <w:pPr>
        <w:spacing w:after="0" w:line="131" w:lineRule="exact"/>
        <w:rPr>
          <w:sz w:val="20"/>
          <w:szCs w:val="20"/>
          <w:color w:val="auto"/>
        </w:rPr>
      </w:pPr>
    </w:p>
    <w:p>
      <w:pPr>
        <w:ind w:left="1268" w:hanging="523"/>
        <w:spacing w:after="0"/>
        <w:tabs>
          <w:tab w:leader="none" w:pos="1268"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investigating any event which it reasonably believes is a Default;</w:t>
      </w:r>
    </w:p>
    <w:p>
      <w:pPr>
        <w:spacing w:after="0" w:line="131" w:lineRule="exact"/>
        <w:rPr>
          <w:rFonts w:ascii="Times New Roman" w:cs="Times New Roman" w:eastAsia="Times New Roman" w:hAnsi="Times New Roman"/>
          <w:sz w:val="17"/>
          <w:szCs w:val="17"/>
          <w:color w:val="auto"/>
        </w:rPr>
      </w:pPr>
    </w:p>
    <w:p>
      <w:pPr>
        <w:ind w:left="1268" w:right="40" w:hanging="523"/>
        <w:spacing w:after="0" w:line="267" w:lineRule="auto"/>
        <w:tabs>
          <w:tab w:leader="none" w:pos="1268"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acting or relying on any notice, request or instruction which it reasonably believes to be genuine, correct and appropriately authorised; or</w:t>
      </w:r>
    </w:p>
    <w:p>
      <w:pPr>
        <w:spacing w:after="0" w:line="318"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instructing lawyers, accountants, tax advisers, surveyors or other professional advisers or experts as permitted under this Agreement.</w:t>
      </w:r>
    </w:p>
    <w:p>
      <w:pPr>
        <w:spacing w:after="0" w:line="364"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Mitigation by the Lenders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133" w:lineRule="exact"/>
        <w:rPr>
          <w:sz w:val="20"/>
          <w:szCs w:val="20"/>
          <w:color w:val="auto"/>
        </w:rPr>
      </w:pPr>
    </w:p>
    <w:p>
      <w:pPr>
        <w:ind w:left="1268" w:right="200" w:hanging="523"/>
        <w:spacing w:after="0" w:line="269" w:lineRule="auto"/>
        <w:tabs>
          <w:tab w:leader="none" w:pos="1268"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Finance Party shall, in consultation with the Company, take all reasonable steps to mitigate any circumstances which arise and which would result in any amount becoming payable under or pursuant to, or cancelled pursuant to, any of Clause 9.1 (</w:t>
      </w:r>
      <w:r>
        <w:rPr>
          <w:rFonts w:ascii="Times New Roman" w:cs="Times New Roman" w:eastAsia="Times New Roman" w:hAnsi="Times New Roman"/>
          <w:sz w:val="17"/>
          <w:szCs w:val="17"/>
          <w:i w:val="1"/>
          <w:iCs w:val="1"/>
          <w:color w:val="auto"/>
        </w:rPr>
        <w:t>Illegality</w:t>
      </w:r>
      <w:r>
        <w:rPr>
          <w:rFonts w:ascii="Times New Roman" w:cs="Times New Roman" w:eastAsia="Times New Roman" w:hAnsi="Times New Roman"/>
          <w:sz w:val="17"/>
          <w:szCs w:val="17"/>
          <w:color w:val="auto"/>
        </w:rPr>
        <w:t>), Clause 16 (</w:t>
      </w:r>
      <w:r>
        <w:rPr>
          <w:rFonts w:ascii="Times New Roman" w:cs="Times New Roman" w:eastAsia="Times New Roman" w:hAnsi="Times New Roman"/>
          <w:sz w:val="17"/>
          <w:szCs w:val="17"/>
          <w:i w:val="1"/>
          <w:iCs w:val="1"/>
          <w:color w:val="auto"/>
        </w:rPr>
        <w:t>Tax gross-up and indemnities</w:t>
      </w:r>
      <w:r>
        <w:rPr>
          <w:rFonts w:ascii="Times New Roman" w:cs="Times New Roman" w:eastAsia="Times New Roman" w:hAnsi="Times New Roman"/>
          <w:sz w:val="17"/>
          <w:szCs w:val="17"/>
          <w:color w:val="auto"/>
        </w:rPr>
        <w:t>) or Clause 17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 including (but not limited to) transferring its rights and obligations under the Finance Documents to another Affiliate or Facility Office.</w:t>
      </w:r>
    </w:p>
    <w:p>
      <w:pPr>
        <w:spacing w:after="0" w:line="104"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376" w:name="page377"/>
    <w:bookmarkEnd w:id="376"/>
    <w:p>
      <w:pPr>
        <w:ind w:left="1268" w:hanging="523"/>
        <w:spacing w:after="0"/>
        <w:tabs>
          <w:tab w:leader="none" w:pos="1268"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Paragraph (a) above does not in any way limit the obligations of the Company under the Finance Documents.</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33" w:lineRule="exact"/>
        <w:rPr>
          <w:sz w:val="20"/>
          <w:szCs w:val="20"/>
          <w:color w:val="auto"/>
        </w:rPr>
      </w:pPr>
    </w:p>
    <w:p>
      <w:pPr>
        <w:ind w:left="1268" w:right="200" w:hanging="523"/>
        <w:spacing w:after="0" w:line="295" w:lineRule="auto"/>
        <w:tabs>
          <w:tab w:leader="none" w:pos="1268"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indemnify each Finance Party for all costs and expenses reasonably incurred by that Finance Party as a result of steps taken by it under Clause 19.1 (</w:t>
      </w:r>
      <w:r>
        <w:rPr>
          <w:rFonts w:ascii="Times New Roman" w:cs="Times New Roman" w:eastAsia="Times New Roman" w:hAnsi="Times New Roman"/>
          <w:sz w:val="17"/>
          <w:szCs w:val="17"/>
          <w:i w:val="1"/>
          <w:iCs w:val="1"/>
          <w:color w:val="auto"/>
        </w:rPr>
        <w:t>Mitigation</w:t>
      </w:r>
      <w:r>
        <w:rPr>
          <w:rFonts w:ascii="Times New Roman" w:cs="Times New Roman" w:eastAsia="Times New Roman" w:hAnsi="Times New Roman"/>
          <w:sz w:val="17"/>
          <w:szCs w:val="17"/>
          <w:color w:val="auto"/>
        </w:rPr>
        <w:t>).</w:t>
      </w:r>
    </w:p>
    <w:p>
      <w:pPr>
        <w:spacing w:after="0" w:line="53" w:lineRule="exact"/>
        <w:rPr>
          <w:rFonts w:ascii="Times New Roman" w:cs="Times New Roman" w:eastAsia="Times New Roman" w:hAnsi="Times New Roman"/>
          <w:sz w:val="17"/>
          <w:szCs w:val="17"/>
          <w:color w:val="auto"/>
        </w:rPr>
      </w:pPr>
    </w:p>
    <w:p>
      <w:pPr>
        <w:ind w:left="1268" w:right="640" w:hanging="523"/>
        <w:spacing w:after="0" w:line="298" w:lineRule="auto"/>
        <w:tabs>
          <w:tab w:leader="none" w:pos="1268"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Finance Party is not obliged to take any steps under Clause 19.1 (</w:t>
      </w:r>
      <w:r>
        <w:rPr>
          <w:rFonts w:ascii="Times New Roman" w:cs="Times New Roman" w:eastAsia="Times New Roman" w:hAnsi="Times New Roman"/>
          <w:sz w:val="17"/>
          <w:szCs w:val="17"/>
          <w:i w:val="1"/>
          <w:iCs w:val="1"/>
          <w:color w:val="auto"/>
        </w:rPr>
        <w:t>Mitigation</w:t>
      </w:r>
      <w:r>
        <w:rPr>
          <w:rFonts w:ascii="Times New Roman" w:cs="Times New Roman" w:eastAsia="Times New Roman" w:hAnsi="Times New Roman"/>
          <w:sz w:val="17"/>
          <w:szCs w:val="17"/>
          <w:color w:val="auto"/>
        </w:rPr>
        <w:t>) if, in the opinion of that Finance Party (acting reasonably), to do so might be prejudicial to it.</w:t>
      </w:r>
    </w:p>
    <w:p>
      <w:pPr>
        <w:spacing w:after="0" w:line="28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Costs and expenses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120" w:lineRule="exact"/>
        <w:rPr>
          <w:sz w:val="20"/>
          <w:szCs w:val="20"/>
          <w:color w:val="auto"/>
        </w:rPr>
      </w:pPr>
    </w:p>
    <w:p>
      <w:pPr>
        <w:ind w:left="748"/>
        <w:spacing w:after="0" w:line="269" w:lineRule="auto"/>
        <w:rPr>
          <w:sz w:val="20"/>
          <w:szCs w:val="20"/>
          <w:color w:val="auto"/>
        </w:rPr>
      </w:pPr>
      <w:r>
        <w:rPr>
          <w:rFonts w:ascii="Times New Roman" w:cs="Times New Roman" w:eastAsia="Times New Roman" w:hAnsi="Times New Roman"/>
          <w:sz w:val="17"/>
          <w:szCs w:val="17"/>
          <w:color w:val="auto"/>
        </w:rPr>
        <w:t>The Company shall within five (5) Business Days (other than in respect of costs and expenses required to be paid as a condition to Utilisation, which shall be payable in accordance with such condition) on demand pay the Agent and the Arrangers the amount of all costs and expenses (including legal fees, subject to caps (if any) that may be agreed with the applicable legal counsel) reasonably incurred by any of them in connection with the negotiation, preparation, printing, execution, syndication of:</w:t>
      </w:r>
    </w:p>
    <w:p>
      <w:pPr>
        <w:spacing w:after="0" w:line="78" w:lineRule="exact"/>
        <w:rPr>
          <w:sz w:val="20"/>
          <w:szCs w:val="20"/>
          <w:color w:val="auto"/>
        </w:rPr>
      </w:pPr>
    </w:p>
    <w:p>
      <w:pPr>
        <w:ind w:left="1268" w:hanging="523"/>
        <w:spacing w:after="0"/>
        <w:tabs>
          <w:tab w:leader="none" w:pos="1268"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Facility;</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any other documents referred to in this Agreement; and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Finance Documents executed after the date of this Agreement and any other documents referred to therein.</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120" w:lineRule="exact"/>
        <w:rPr>
          <w:sz w:val="20"/>
          <w:szCs w:val="20"/>
          <w:color w:val="auto"/>
        </w:rPr>
      </w:pPr>
    </w:p>
    <w:p>
      <w:pPr>
        <w:ind w:left="748" w:right="100"/>
        <w:spacing w:after="0" w:line="266" w:lineRule="auto"/>
        <w:rPr>
          <w:sz w:val="20"/>
          <w:szCs w:val="20"/>
          <w:color w:val="auto"/>
        </w:rPr>
      </w:pPr>
      <w:r>
        <w:rPr>
          <w:rFonts w:ascii="Times New Roman" w:cs="Times New Roman" w:eastAsia="Times New Roman" w:hAnsi="Times New Roman"/>
          <w:sz w:val="17"/>
          <w:szCs w:val="17"/>
          <w:color w:val="auto"/>
        </w:rPr>
        <w:t>If (a) the Company or a Subsidiary Guarantor requests an amendment, waiver or consent or (b) an amendment or is required pursuant to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 Clause 32.10 (</w:t>
      </w:r>
      <w:r>
        <w:rPr>
          <w:rFonts w:ascii="Times New Roman" w:cs="Times New Roman" w:eastAsia="Times New Roman" w:hAnsi="Times New Roman"/>
          <w:sz w:val="17"/>
          <w:szCs w:val="17"/>
          <w:i w:val="1"/>
          <w:iCs w:val="1"/>
          <w:color w:val="auto"/>
        </w:rPr>
        <w:t>Change of currency</w:t>
      </w:r>
      <w:r>
        <w:rPr>
          <w:rFonts w:ascii="Times New Roman" w:cs="Times New Roman" w:eastAsia="Times New Roman" w:hAnsi="Times New Roman"/>
          <w:sz w:val="17"/>
          <w:szCs w:val="17"/>
          <w:color w:val="auto"/>
        </w:rPr>
        <w:t>), Clause 38.3 (</w:t>
      </w:r>
      <w:r>
        <w:rPr>
          <w:rFonts w:ascii="Times New Roman" w:cs="Times New Roman" w:eastAsia="Times New Roman" w:hAnsi="Times New Roman"/>
          <w:sz w:val="17"/>
          <w:szCs w:val="17"/>
          <w:i w:val="1"/>
          <w:iCs w:val="1"/>
          <w:color w:val="auto"/>
        </w:rPr>
        <w:t>Extension of Commitments</w:t>
      </w:r>
      <w:r>
        <w:rPr>
          <w:rFonts w:ascii="Times New Roman" w:cs="Times New Roman" w:eastAsia="Times New Roman" w:hAnsi="Times New Roman"/>
          <w:sz w:val="17"/>
          <w:szCs w:val="17"/>
          <w:color w:val="auto"/>
        </w:rPr>
        <w:t>), Clause 38.6 (</w:t>
      </w:r>
      <w:r>
        <w:rPr>
          <w:rFonts w:ascii="Times New Roman" w:cs="Times New Roman" w:eastAsia="Times New Roman" w:hAnsi="Times New Roman"/>
          <w:sz w:val="17"/>
          <w:szCs w:val="17"/>
          <w:i w:val="1"/>
          <w:iCs w:val="1"/>
          <w:color w:val="auto"/>
        </w:rPr>
        <w:t>Changes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reference rates</w:t>
      </w:r>
      <w:r>
        <w:rPr>
          <w:rFonts w:ascii="Times New Roman" w:cs="Times New Roman" w:eastAsia="Times New Roman" w:hAnsi="Times New Roman"/>
          <w:sz w:val="17"/>
          <w:szCs w:val="17"/>
          <w:color w:val="auto"/>
        </w:rPr>
        <w:t>) or any other provision of this Agreement, the Company shall, within five (5) Business Days of demand, reimburse the Agent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amount of all costs and expenses (including legal fees, disbursements and other out of pocket expenses) reasonably incurred or made by the Agent and/or the Arrangers in responding to, evaluating, negotiating or complying with that request or requirement.</w:t>
      </w:r>
    </w:p>
    <w:p>
      <w:pPr>
        <w:spacing w:after="0" w:line="313"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Enforcement and preservation costs</w:t>
      </w:r>
    </w:p>
    <w:p>
      <w:pPr>
        <w:spacing w:after="0" w:line="120" w:lineRule="exact"/>
        <w:rPr>
          <w:sz w:val="20"/>
          <w:szCs w:val="20"/>
          <w:color w:val="auto"/>
        </w:rPr>
      </w:pPr>
    </w:p>
    <w:p>
      <w:pPr>
        <w:ind w:left="748" w:right="180"/>
        <w:spacing w:after="0" w:line="269" w:lineRule="auto"/>
        <w:rPr>
          <w:sz w:val="20"/>
          <w:szCs w:val="20"/>
          <w:color w:val="auto"/>
        </w:rPr>
      </w:pPr>
      <w:r>
        <w:rPr>
          <w:rFonts w:ascii="Times New Roman" w:cs="Times New Roman" w:eastAsia="Times New Roman" w:hAnsi="Times New Roman"/>
          <w:sz w:val="17"/>
          <w:szCs w:val="17"/>
          <w:color w:val="auto"/>
        </w:rPr>
        <w:t>The Company shall, within five (5) Business Days of demand, pay to each Finance Party the amount of all costs and expenses (including legal fees, disbursements and other out of pocket expenses) incurred by that Finance Party in connection with the protection or enforcement of or the preservation of any rights under any Finance Document and any proceedings instituted by or against any Finance Party as a consequence of enforcing such rights.</w:t>
      </w:r>
    </w:p>
    <w:p>
      <w:pPr>
        <w:spacing w:after="0" w:line="104"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377" w:name="page378"/>
    <w:bookmarkEnd w:id="377"/>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8</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Representations, undertakings and Events of Default</w:t>
      </w:r>
    </w:p>
    <w:p>
      <w:pPr>
        <w:spacing w:after="0" w:line="111" w:lineRule="exact"/>
        <w:rPr>
          <w:sz w:val="20"/>
          <w:szCs w:val="20"/>
          <w:color w:val="auto"/>
        </w:rPr>
      </w:pPr>
    </w:p>
    <w:p>
      <w:pPr>
        <w:ind w:left="748" w:hanging="748"/>
        <w:spacing w:after="0"/>
        <w:tabs>
          <w:tab w:leader="none" w:pos="748" w:val="left"/>
        </w:tabs>
        <w:numPr>
          <w:ilvl w:val="0"/>
          <w:numId w:val="4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21.1General</w:t>
      </w:r>
    </w:p>
    <w:p>
      <w:pPr>
        <w:spacing w:after="0" w:line="118" w:lineRule="exact"/>
        <w:rPr>
          <w:sz w:val="20"/>
          <w:szCs w:val="20"/>
          <w:color w:val="auto"/>
        </w:rPr>
      </w:pPr>
    </w:p>
    <w:p>
      <w:pPr>
        <w:ind w:left="748" w:right="140"/>
        <w:spacing w:after="0" w:line="298" w:lineRule="auto"/>
        <w:rPr>
          <w:sz w:val="20"/>
          <w:szCs w:val="20"/>
          <w:color w:val="auto"/>
        </w:rPr>
      </w:pPr>
      <w:r>
        <w:rPr>
          <w:rFonts w:ascii="Times New Roman" w:cs="Times New Roman" w:eastAsia="Times New Roman" w:hAnsi="Times New Roman"/>
          <w:sz w:val="17"/>
          <w:szCs w:val="17"/>
          <w:color w:val="auto"/>
        </w:rPr>
        <w:t>The Company makes the representations and warranties set out in this Clause 21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to each Finance Party at the times set out herein.</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Times when representations made</w:t>
      </w:r>
    </w:p>
    <w:p>
      <w:pPr>
        <w:spacing w:after="0" w:line="131" w:lineRule="exact"/>
        <w:rPr>
          <w:sz w:val="20"/>
          <w:szCs w:val="20"/>
          <w:color w:val="auto"/>
        </w:rPr>
      </w:pPr>
    </w:p>
    <w:p>
      <w:pPr>
        <w:ind w:left="1268" w:hanging="523"/>
        <w:spacing w:after="0"/>
        <w:tabs>
          <w:tab w:leader="none" w:pos="1268"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representations and warranties in Clause 21 (</w:t>
      </w:r>
      <w:r>
        <w:rPr>
          <w:rFonts w:ascii="Times New Roman" w:cs="Times New Roman" w:eastAsia="Times New Roman" w:hAnsi="Times New Roman"/>
          <w:sz w:val="17"/>
          <w:szCs w:val="17"/>
          <w:i w:val="1"/>
          <w:iCs w:val="1"/>
          <w:color w:val="auto"/>
        </w:rPr>
        <w:t>Representations</w:t>
      </w:r>
      <w:r>
        <w:rPr>
          <w:rFonts w:ascii="Times New Roman" w:cs="Times New Roman" w:eastAsia="Times New Roman" w:hAnsi="Times New Roman"/>
          <w:sz w:val="17"/>
          <w:szCs w:val="17"/>
          <w:color w:val="auto"/>
        </w:rPr>
        <w:t>) are made by the Company on the date of this Agreement.</w:t>
      </w:r>
    </w:p>
    <w:p>
      <w:pPr>
        <w:spacing w:after="0" w:line="133"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Repeating Representations are deemed to be made by the Company on:</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each Utilisation Request;</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Utilisation Date; and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each Interest Period.</w:t>
      </w:r>
    </w:p>
    <w:p>
      <w:pPr>
        <w:spacing w:after="0" w:line="129" w:lineRule="exact"/>
        <w:rPr>
          <w:rFonts w:ascii="Times New Roman" w:cs="Times New Roman" w:eastAsia="Times New Roman" w:hAnsi="Times New Roman"/>
          <w:sz w:val="17"/>
          <w:szCs w:val="17"/>
          <w:color w:val="auto"/>
        </w:rPr>
      </w:pPr>
    </w:p>
    <w:p>
      <w:pPr>
        <w:ind w:left="1268" w:right="100" w:hanging="523"/>
        <w:spacing w:after="0" w:line="277" w:lineRule="auto"/>
        <w:tabs>
          <w:tab w:leader="none" w:pos="1268"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in Clause 21.14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are deemed to be made by the Company in respect of each set of financial statements supplied to the Agent on the date such financial statements are delivered and shall only be made once in respect of each set of financial statements.</w:t>
      </w:r>
    </w:p>
    <w:p>
      <w:pPr>
        <w:spacing w:after="0" w:line="70" w:lineRule="exact"/>
        <w:rPr>
          <w:rFonts w:ascii="Times New Roman" w:cs="Times New Roman" w:eastAsia="Times New Roman" w:hAnsi="Times New Roman"/>
          <w:sz w:val="17"/>
          <w:szCs w:val="17"/>
          <w:color w:val="auto"/>
        </w:rPr>
      </w:pPr>
    </w:p>
    <w:p>
      <w:pPr>
        <w:ind w:left="1268" w:right="200" w:hanging="523"/>
        <w:spacing w:after="0" w:line="295" w:lineRule="auto"/>
        <w:tabs>
          <w:tab w:leader="none" w:pos="1268"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representation or warranty deemed to be made after the date of this Agreement shall be deemed to be made by reference to the facts and circumstances existing at the date the representation or warranty is deemed to be made.</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133" w:lineRule="exact"/>
        <w:rPr>
          <w:sz w:val="20"/>
          <w:szCs w:val="20"/>
          <w:color w:val="auto"/>
        </w:rPr>
      </w:pPr>
    </w:p>
    <w:p>
      <w:pPr>
        <w:ind w:left="1268" w:right="720" w:hanging="523"/>
        <w:spacing w:after="0" w:line="295" w:lineRule="auto"/>
        <w:tabs>
          <w:tab w:leader="none" w:pos="1268"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corporation duly incorporated or organised, as the case may be, and validly existing under the law of its jurisdiction of incorporation or organisation, as the case may be.</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Member has the power to own its assets and carry on its business as it is being conducted.</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Binding obligations</w:t>
      </w:r>
    </w:p>
    <w:p>
      <w:pPr>
        <w:spacing w:after="0" w:line="120" w:lineRule="exact"/>
        <w:rPr>
          <w:sz w:val="20"/>
          <w:szCs w:val="20"/>
          <w:color w:val="auto"/>
        </w:rPr>
      </w:pPr>
    </w:p>
    <w:p>
      <w:pPr>
        <w:ind w:left="748" w:right="20"/>
        <w:spacing w:after="0" w:line="295" w:lineRule="auto"/>
        <w:rPr>
          <w:sz w:val="20"/>
          <w:szCs w:val="20"/>
          <w:color w:val="auto"/>
        </w:rPr>
      </w:pPr>
      <w:r>
        <w:rPr>
          <w:rFonts w:ascii="Times New Roman" w:cs="Times New Roman" w:eastAsia="Times New Roman" w:hAnsi="Times New Roman"/>
          <w:sz w:val="17"/>
          <w:szCs w:val="17"/>
          <w:color w:val="auto"/>
        </w:rPr>
        <w:t>Subject to the Legal Reservations, the obligations expressed to be assumed by it in each Transaction Document to which it is a party are legal, valid, binding and enforceable obligations.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Pari passu</w:t>
      </w:r>
    </w:p>
    <w:p>
      <w:pPr>
        <w:spacing w:after="0" w:line="118" w:lineRule="exact"/>
        <w:rPr>
          <w:sz w:val="20"/>
          <w:szCs w:val="20"/>
          <w:color w:val="auto"/>
        </w:rPr>
      </w:pPr>
    </w:p>
    <w:p>
      <w:pPr>
        <w:ind w:left="748" w:right="220"/>
        <w:spacing w:after="0" w:line="298" w:lineRule="auto"/>
        <w:rPr>
          <w:sz w:val="20"/>
          <w:szCs w:val="20"/>
          <w:color w:val="auto"/>
        </w:rPr>
      </w:pPr>
      <w:r>
        <w:rPr>
          <w:rFonts w:ascii="Times New Roman" w:cs="Times New Roman" w:eastAsia="Times New Roman" w:hAnsi="Times New Roman"/>
          <w:sz w:val="17"/>
          <w:szCs w:val="17"/>
          <w:color w:val="auto"/>
        </w:rPr>
        <w:t xml:space="preserve">Its payment obligations under the Finance Documents rank at least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claims of all its other unsecured and unsubordinated creditors, except for obligations mandatorily preferred by law applying to companies generally.</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Its entry into and performance of, and the transactions contemplated by, the Transaction Documents do not and will not conflict with:</w:t>
      </w:r>
    </w:p>
    <w:p>
      <w:pPr>
        <w:spacing w:after="0" w:line="131" w:lineRule="exact"/>
        <w:rPr>
          <w:sz w:val="20"/>
          <w:szCs w:val="20"/>
          <w:color w:val="auto"/>
        </w:rPr>
      </w:pPr>
    </w:p>
    <w:p>
      <w:pPr>
        <w:ind w:left="1268" w:hanging="523"/>
        <w:spacing w:after="0"/>
        <w:tabs>
          <w:tab w:leader="none" w:pos="1268"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law or regulation applicable to it;</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378" w:name="page379"/>
    <w:bookmarkEnd w:id="378"/>
    <w:p>
      <w:pPr>
        <w:ind w:left="1260" w:hanging="523"/>
        <w:spacing w:after="0"/>
        <w:tabs>
          <w:tab w:leader="none" w:pos="126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constitutional documents of any Group Member; or</w:t>
      </w:r>
    </w:p>
    <w:p>
      <w:pPr>
        <w:spacing w:after="0" w:line="131" w:lineRule="exact"/>
        <w:rPr>
          <w:rFonts w:ascii="Times New Roman" w:cs="Times New Roman" w:eastAsia="Times New Roman" w:hAnsi="Times New Roman"/>
          <w:sz w:val="17"/>
          <w:szCs w:val="17"/>
          <w:color w:val="auto"/>
        </w:rPr>
      </w:pPr>
    </w:p>
    <w:p>
      <w:pPr>
        <w:ind w:left="1260" w:right="200" w:hanging="523"/>
        <w:spacing w:after="0" w:line="276" w:lineRule="auto"/>
        <w:tabs>
          <w:tab w:leader="none" w:pos="126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or instrument binding upon it or any of its Subsidiaries or any of the Group’s assets or constitute a default or termination event (however described) under any such agreement or instrument, except where a Material Adverse Effect does not or would not be reasonably expected to occur.</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120" w:lineRule="exact"/>
        <w:rPr>
          <w:sz w:val="20"/>
          <w:szCs w:val="20"/>
          <w:color w:val="auto"/>
        </w:rPr>
      </w:pPr>
    </w:p>
    <w:p>
      <w:pPr>
        <w:jc w:val="both"/>
        <w:ind w:left="740" w:right="200"/>
        <w:spacing w:after="0" w:line="295" w:lineRule="auto"/>
        <w:rPr>
          <w:sz w:val="20"/>
          <w:szCs w:val="20"/>
          <w:color w:val="auto"/>
        </w:rPr>
      </w:pPr>
      <w:r>
        <w:rPr>
          <w:rFonts w:ascii="Times New Roman" w:cs="Times New Roman" w:eastAsia="Times New Roman" w:hAnsi="Times New Roman"/>
          <w:sz w:val="17"/>
          <w:szCs w:val="17"/>
          <w:color w:val="auto"/>
        </w:rPr>
        <w:t>It has the power to enter into, perform and deliver, and has taken all necessary corporate action to authorise its entry into, performance and delivery of, the Transaction Documents to which it is or will be a party and the transactions contemplated by those Transaction Documents.</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133" w:lineRule="exact"/>
        <w:rPr>
          <w:sz w:val="20"/>
          <w:szCs w:val="20"/>
          <w:color w:val="auto"/>
        </w:rPr>
      </w:pPr>
    </w:p>
    <w:p>
      <w:pPr>
        <w:ind w:left="1260" w:hanging="523"/>
        <w:spacing w:after="0"/>
        <w:tabs>
          <w:tab w:leader="none" w:pos="1260"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Authorisations required:</w:t>
      </w:r>
    </w:p>
    <w:p>
      <w:pPr>
        <w:spacing w:after="0" w:line="131" w:lineRule="exact"/>
        <w:rPr>
          <w:rFonts w:ascii="Times New Roman" w:cs="Times New Roman" w:eastAsia="Times New Roman" w:hAnsi="Times New Roman"/>
          <w:sz w:val="17"/>
          <w:szCs w:val="17"/>
          <w:color w:val="auto"/>
        </w:rPr>
      </w:pPr>
    </w:p>
    <w:p>
      <w:pPr>
        <w:ind w:left="1880" w:right="380" w:hanging="620"/>
        <w:spacing w:after="0" w:line="295" w:lineRule="auto"/>
        <w:tabs>
          <w:tab w:leader="none" w:pos="1880" w:val="left"/>
        </w:tabs>
        <w:numPr>
          <w:ilvl w:val="1"/>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enable it to lawfully enter into, exercise its rights and comply with its obligations under the Transaction Documents to which it is a party; and</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the Transaction Documents to which it is a party admissible in evidence in its Relevant Jurisdictions,</w:t>
      </w:r>
    </w:p>
    <w:p>
      <w:pPr>
        <w:spacing w:after="0" w:line="1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have been obtained or effected and are in full force and effect.</w:t>
      </w:r>
    </w:p>
    <w:p>
      <w:pPr>
        <w:spacing w:after="0" w:line="131" w:lineRule="exact"/>
        <w:rPr>
          <w:sz w:val="20"/>
          <w:szCs w:val="20"/>
          <w:color w:val="auto"/>
        </w:rPr>
      </w:pPr>
    </w:p>
    <w:p>
      <w:pPr>
        <w:ind w:left="1260" w:right="140" w:hanging="523"/>
        <w:spacing w:after="0" w:line="276" w:lineRule="auto"/>
        <w:tabs>
          <w:tab w:leader="none" w:pos="1260"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Authorisations necessary for the Group to carry out its business relating to the Projects, where the failure of obtaining such Authorisations has or would reasonably be expected to have a Material Adverse Effect, have been obtained or effected and are in full force and effect.</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Subject to the Legal Reservations:</w:t>
      </w:r>
    </w:p>
    <w:p>
      <w:pPr>
        <w:spacing w:after="0" w:line="131" w:lineRule="exact"/>
        <w:rPr>
          <w:sz w:val="20"/>
          <w:szCs w:val="20"/>
          <w:color w:val="auto"/>
        </w:rPr>
      </w:pPr>
    </w:p>
    <w:p>
      <w:pPr>
        <w:ind w:left="1260" w:hanging="523"/>
        <w:spacing w:after="0"/>
        <w:tabs>
          <w:tab w:leader="none" w:pos="1260"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choice of governing law of the Finance Documents will be recognised and enforced in its Relevant Jurisdictions; and</w:t>
      </w:r>
    </w:p>
    <w:p>
      <w:pPr>
        <w:spacing w:after="0" w:line="131" w:lineRule="exact"/>
        <w:rPr>
          <w:rFonts w:ascii="Times New Roman" w:cs="Times New Roman" w:eastAsia="Times New Roman" w:hAnsi="Times New Roman"/>
          <w:sz w:val="17"/>
          <w:szCs w:val="17"/>
          <w:color w:val="auto"/>
        </w:rPr>
      </w:pPr>
    </w:p>
    <w:p>
      <w:pPr>
        <w:ind w:left="1260" w:right="240" w:hanging="523"/>
        <w:spacing w:after="0" w:line="295" w:lineRule="auto"/>
        <w:tabs>
          <w:tab w:leader="none" w:pos="1260"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judgment obtained in relation to a Finance Document in the jurisdiction of the governing law of that Finance Document will be recognised and enforced in its Relevant Jurisdictions.</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21.10</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120" w:lineRule="exact"/>
        <w:rPr>
          <w:sz w:val="20"/>
          <w:szCs w:val="20"/>
          <w:color w:val="auto"/>
        </w:rPr>
      </w:pPr>
    </w:p>
    <w:p>
      <w:pPr>
        <w:ind w:left="740" w:right="420"/>
        <w:spacing w:after="0" w:line="295" w:lineRule="auto"/>
        <w:rPr>
          <w:sz w:val="20"/>
          <w:szCs w:val="20"/>
          <w:color w:val="auto"/>
        </w:rPr>
      </w:pPr>
      <w:r>
        <w:rPr>
          <w:rFonts w:ascii="Times New Roman" w:cs="Times New Roman" w:eastAsia="Times New Roman" w:hAnsi="Times New Roman"/>
          <w:sz w:val="17"/>
          <w:szCs w:val="17"/>
          <w:color w:val="auto"/>
        </w:rPr>
        <w:t>It is not required under the laws of its Relevant Jurisdiction or at its address specified in this Agreement to make any deduction for or on account of Tax from any payment it may make under any Finance Document.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21.11</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133" w:lineRule="exact"/>
        <w:rPr>
          <w:sz w:val="20"/>
          <w:szCs w:val="20"/>
          <w:color w:val="auto"/>
        </w:rPr>
      </w:pPr>
    </w:p>
    <w:p>
      <w:pPr>
        <w:ind w:left="1260" w:right="160" w:hanging="523"/>
        <w:spacing w:after="0" w:line="295" w:lineRule="auto"/>
        <w:tabs>
          <w:tab w:leader="none" w:pos="126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is continuing or would reasonably be expected to result from the making of any Utilisation or the entry into, the performance of, or any transaction contemplated by, any Transaction Document.</w:t>
      </w:r>
    </w:p>
    <w:p>
      <w:pPr>
        <w:spacing w:after="0" w:line="55" w:lineRule="exact"/>
        <w:rPr>
          <w:rFonts w:ascii="Times New Roman" w:cs="Times New Roman" w:eastAsia="Times New Roman" w:hAnsi="Times New Roman"/>
          <w:sz w:val="17"/>
          <w:szCs w:val="17"/>
          <w:color w:val="auto"/>
        </w:rPr>
      </w:pPr>
    </w:p>
    <w:p>
      <w:pPr>
        <w:ind w:left="1260" w:right="20" w:hanging="523"/>
        <w:spacing w:after="0" w:line="269" w:lineRule="auto"/>
        <w:tabs>
          <w:tab w:leader="none" w:pos="126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Group Member or to which any assets of the Group are subject which has or would reasonably be expected to have a Material Adverse Effect.</w:t>
      </w:r>
    </w:p>
    <w:p>
      <w:pPr>
        <w:spacing w:after="0" w:line="104"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379" w:name="page380"/>
    <w:bookmarkEnd w:id="379"/>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21.12</w:t>
      </w:r>
      <w:r>
        <w:rPr>
          <w:sz w:val="20"/>
          <w:szCs w:val="20"/>
          <w:color w:val="auto"/>
        </w:rPr>
        <w:tab/>
      </w:r>
      <w:r>
        <w:rPr>
          <w:rFonts w:ascii="Times New Roman" w:cs="Times New Roman" w:eastAsia="Times New Roman" w:hAnsi="Times New Roman"/>
          <w:sz w:val="16"/>
          <w:szCs w:val="16"/>
          <w:b w:val="1"/>
          <w:bCs w:val="1"/>
          <w:color w:val="auto"/>
        </w:rPr>
        <w:t>Taxation</w:t>
      </w:r>
    </w:p>
    <w:p>
      <w:pPr>
        <w:spacing w:after="0" w:line="120"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17"/>
          <w:szCs w:val="17"/>
          <w:color w:val="auto"/>
        </w:rPr>
        <w:t>No Group Member is materially overdue in the filing of any Tax returns nor is any Group Member overdue in the payment of any amount in respect of Tax, (a) where the failure to file or pay the Tax has or would reasonably be expected to have a Material Adverse Effect or (b) unless such payment is being contested in good faith by appropriate measures and sufficient reserves in cash or other liquid assets have been retained in accordance with GAAP in respect of such payment.</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21.13</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Save as disclosed in writing to the Agent and the Arrangers prior to the date of this Agreement:</w:t>
      </w:r>
    </w:p>
    <w:p>
      <w:pPr>
        <w:spacing w:after="0" w:line="131" w:lineRule="exact"/>
        <w:rPr>
          <w:sz w:val="20"/>
          <w:szCs w:val="20"/>
          <w:color w:val="auto"/>
        </w:rPr>
      </w:pPr>
    </w:p>
    <w:p>
      <w:pPr>
        <w:ind w:left="1260" w:right="60" w:hanging="523"/>
        <w:spacing w:after="0" w:line="276" w:lineRule="auto"/>
        <w:tabs>
          <w:tab w:leader="none" w:pos="12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factual information provided by the Company or on its behalf for the preparation of the Financial Model was true and accurate in all material respects as at the date of the relevant report or document containing the information or (as the case may be) as at the date the information is expressed to be given.</w:t>
      </w:r>
    </w:p>
    <w:p>
      <w:pPr>
        <w:spacing w:after="0" w:line="70" w:lineRule="exact"/>
        <w:rPr>
          <w:rFonts w:ascii="Times New Roman" w:cs="Times New Roman" w:eastAsia="Times New Roman" w:hAnsi="Times New Roman"/>
          <w:sz w:val="17"/>
          <w:szCs w:val="17"/>
          <w:color w:val="auto"/>
        </w:rPr>
      </w:pPr>
    </w:p>
    <w:p>
      <w:pPr>
        <w:ind w:left="1260" w:right="180" w:hanging="523"/>
        <w:spacing w:after="0" w:line="276" w:lineRule="auto"/>
        <w:tabs>
          <w:tab w:leader="none" w:pos="12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contained in the Financial Model were arrived at after careful consideration and prepared in good faith and with due care on the basis of recent historical information at the time and on the basis of assumptions which were reasonable at the time at which they were prepared and supplied.</w:t>
      </w:r>
    </w:p>
    <w:p>
      <w:pPr>
        <w:spacing w:after="0" w:line="70" w:lineRule="exact"/>
        <w:rPr>
          <w:rFonts w:ascii="Times New Roman" w:cs="Times New Roman" w:eastAsia="Times New Roman" w:hAnsi="Times New Roman"/>
          <w:sz w:val="17"/>
          <w:szCs w:val="17"/>
          <w:color w:val="auto"/>
        </w:rPr>
      </w:pPr>
    </w:p>
    <w:p>
      <w:pPr>
        <w:ind w:left="1260" w:right="60" w:hanging="523"/>
        <w:spacing w:after="0" w:line="276" w:lineRule="auto"/>
        <w:tabs>
          <w:tab w:leader="none" w:pos="12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expressions of opinion or intention provided by the Company or on its behalf for the purposes of any Financial Model were made after careful consideration and (as at the date of the relevant report or document containing the expression of opinion or intention) based on reasonable grounds.</w:t>
      </w:r>
    </w:p>
    <w:p>
      <w:pPr>
        <w:spacing w:after="0" w:line="70" w:lineRule="exact"/>
        <w:rPr>
          <w:rFonts w:ascii="Times New Roman" w:cs="Times New Roman" w:eastAsia="Times New Roman" w:hAnsi="Times New Roman"/>
          <w:sz w:val="17"/>
          <w:szCs w:val="17"/>
          <w:color w:val="auto"/>
        </w:rPr>
      </w:pPr>
    </w:p>
    <w:p>
      <w:pPr>
        <w:ind w:left="1260" w:right="140" w:hanging="523"/>
        <w:spacing w:after="0" w:line="295" w:lineRule="auto"/>
        <w:tabs>
          <w:tab w:leader="none" w:pos="12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written factual information provided by the Company or on its behalf to a Finance Party was true, complete and accurate in all material respects as at the date it was provided and was not misleading in any material respect.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21.14</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33" w:lineRule="exact"/>
        <w:rPr>
          <w:sz w:val="20"/>
          <w:szCs w:val="20"/>
          <w:color w:val="auto"/>
        </w:rPr>
      </w:pPr>
    </w:p>
    <w:p>
      <w:pPr>
        <w:ind w:left="1260" w:right="380" w:hanging="523"/>
        <w:spacing w:after="0" w:line="276" w:lineRule="auto"/>
        <w:tabs>
          <w:tab w:leader="none" w:pos="12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most recently supplied to the Agent (which, at the date of this Agreement, are the Original Financial Statements) were prepared in accordance with GAAP consistently applied save to the extent expressly disclosed in such financial statements.</w:t>
      </w:r>
    </w:p>
    <w:p>
      <w:pPr>
        <w:spacing w:after="0" w:line="70" w:lineRule="exact"/>
        <w:rPr>
          <w:rFonts w:ascii="Times New Roman" w:cs="Times New Roman" w:eastAsia="Times New Roman" w:hAnsi="Times New Roman"/>
          <w:sz w:val="17"/>
          <w:szCs w:val="17"/>
          <w:color w:val="auto"/>
        </w:rPr>
      </w:pPr>
    </w:p>
    <w:p>
      <w:pPr>
        <w:ind w:left="1260" w:right="100" w:hanging="523"/>
        <w:spacing w:after="0" w:line="269" w:lineRule="auto"/>
        <w:tabs>
          <w:tab w:leader="none" w:pos="12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most recently supplied to the Agent (which, at the date of this Agreement, are the Original Financial Statements) present fairly, in all material respects (if audited) or fairly represent (if unaudited) the financial condition and operations (consolidated in the case of the Company) of the person and for the period to which they relate, save to the extent expressly disclosed in such financial statements.</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21.15</w:t>
      </w:r>
      <w:r>
        <w:rPr>
          <w:sz w:val="20"/>
          <w:szCs w:val="20"/>
          <w:color w:val="auto"/>
        </w:rPr>
        <w:tab/>
      </w:r>
      <w:r>
        <w:rPr>
          <w:rFonts w:ascii="Times New Roman" w:cs="Times New Roman" w:eastAsia="Times New Roman" w:hAnsi="Times New Roman"/>
          <w:sz w:val="17"/>
          <w:szCs w:val="17"/>
          <w:b w:val="1"/>
          <w:bCs w:val="1"/>
          <w:color w:val="auto"/>
        </w:rPr>
        <w:t>No proceedings pending or threatened</w:t>
      </w:r>
    </w:p>
    <w:p>
      <w:pPr>
        <w:spacing w:after="0" w:line="120" w:lineRule="exact"/>
        <w:rPr>
          <w:sz w:val="20"/>
          <w:szCs w:val="20"/>
          <w:color w:val="auto"/>
        </w:rPr>
      </w:pPr>
    </w:p>
    <w:p>
      <w:pPr>
        <w:ind w:left="740"/>
        <w:spacing w:after="0" w:line="266" w:lineRule="auto"/>
        <w:rPr>
          <w:sz w:val="20"/>
          <w:szCs w:val="20"/>
          <w:color w:val="auto"/>
        </w:rPr>
      </w:pPr>
      <w:r>
        <w:rPr>
          <w:rFonts w:ascii="Times New Roman" w:cs="Times New Roman" w:eastAsia="Times New Roman" w:hAnsi="Times New Roman"/>
          <w:sz w:val="17"/>
          <w:szCs w:val="17"/>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Agent, to the best of its knowledge and belief and having made due and careful enquiry, no litigation, arbitration, administrative proceedings or investigations of, or before, any court, arbitral body or other Governmental Authority which has or would reasonably be expected to have an Excluded Project Material Adverse Effect have been started or threatened against any Group Member.</w:t>
      </w:r>
    </w:p>
    <w:p>
      <w:pPr>
        <w:spacing w:after="0" w:line="106"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80" w:name="page381"/>
    <w:bookmarkEnd w:id="380"/>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21.16</w:t>
      </w:r>
      <w:r>
        <w:rPr>
          <w:sz w:val="20"/>
          <w:szCs w:val="20"/>
          <w:color w:val="auto"/>
        </w:rPr>
        <w:tab/>
      </w:r>
      <w:r>
        <w:rPr>
          <w:rFonts w:ascii="Times New Roman" w:cs="Times New Roman" w:eastAsia="Times New Roman" w:hAnsi="Times New Roman"/>
          <w:sz w:val="17"/>
          <w:szCs w:val="17"/>
          <w:b w:val="1"/>
          <w:bCs w:val="1"/>
          <w:color w:val="auto"/>
        </w:rPr>
        <w:t>No breach of laws</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 Group Member has breached any law or regulation which breach has or would reasonably be expected to have a Material Adverse Effect.</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21.17</w:t>
      </w:r>
      <w:r>
        <w:rPr>
          <w:sz w:val="20"/>
          <w:szCs w:val="20"/>
          <w:color w:val="auto"/>
        </w:rPr>
        <w:tab/>
      </w:r>
      <w:r>
        <w:rPr>
          <w:rFonts w:ascii="Times New Roman" w:cs="Times New Roman" w:eastAsia="Times New Roman" w:hAnsi="Times New Roman"/>
          <w:sz w:val="17"/>
          <w:szCs w:val="17"/>
          <w:b w:val="1"/>
          <w:bCs w:val="1"/>
          <w:color w:val="auto"/>
        </w:rPr>
        <w:t>Environmental laws</w:t>
      </w:r>
    </w:p>
    <w:p>
      <w:pPr>
        <w:spacing w:after="0" w:line="118" w:lineRule="exact"/>
        <w:rPr>
          <w:sz w:val="20"/>
          <w:szCs w:val="20"/>
          <w:color w:val="auto"/>
        </w:rPr>
      </w:pPr>
    </w:p>
    <w:p>
      <w:pPr>
        <w:ind w:left="740" w:right="20"/>
        <w:spacing w:after="0" w:line="277" w:lineRule="auto"/>
        <w:rPr>
          <w:sz w:val="20"/>
          <w:szCs w:val="20"/>
          <w:color w:val="auto"/>
        </w:rPr>
      </w:pPr>
      <w:r>
        <w:rPr>
          <w:rFonts w:ascii="Times New Roman" w:cs="Times New Roman" w:eastAsia="Times New Roman" w:hAnsi="Times New Roman"/>
          <w:sz w:val="17"/>
          <w:szCs w:val="17"/>
          <w:color w:val="auto"/>
        </w:rPr>
        <w:t>Each Group Member is in compliance with Clause 24.3 (</w:t>
      </w:r>
      <w:r>
        <w:rPr>
          <w:rFonts w:ascii="Times New Roman" w:cs="Times New Roman" w:eastAsia="Times New Roman" w:hAnsi="Times New Roman"/>
          <w:sz w:val="17"/>
          <w:szCs w:val="17"/>
          <w:i w:val="1"/>
          <w:iCs w:val="1"/>
          <w:color w:val="auto"/>
        </w:rPr>
        <w:t>Environmental compliance</w:t>
      </w:r>
      <w:r>
        <w:rPr>
          <w:rFonts w:ascii="Times New Roman" w:cs="Times New Roman" w:eastAsia="Times New Roman" w:hAnsi="Times New Roman"/>
          <w:sz w:val="17"/>
          <w:szCs w:val="17"/>
          <w:color w:val="auto"/>
        </w:rPr>
        <w:t>) and to the best of its knowledge and belief (having made due and careful enquiry) no circumstances have occurred which would prevent such compliance in a manner or to an extent which has or would reasonably be expected to have a Material Adverse Effect.</w:t>
      </w:r>
    </w:p>
    <w:p>
      <w:pPr>
        <w:spacing w:after="0" w:line="3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21.18</w:t>
      </w:r>
      <w:r>
        <w:rPr>
          <w:sz w:val="20"/>
          <w:szCs w:val="20"/>
          <w:color w:val="auto"/>
        </w:rPr>
        <w:tab/>
      </w:r>
      <w:r>
        <w:rPr>
          <w:rFonts w:ascii="Times New Roman" w:cs="Times New Roman" w:eastAsia="Times New Roman" w:hAnsi="Times New Roman"/>
          <w:sz w:val="17"/>
          <w:szCs w:val="17"/>
          <w:b w:val="1"/>
          <w:bCs w:val="1"/>
          <w:color w:val="auto"/>
        </w:rPr>
        <w:t>Good title to assets</w:t>
      </w:r>
    </w:p>
    <w:p>
      <w:pPr>
        <w:spacing w:after="0" w:line="120" w:lineRule="exact"/>
        <w:rPr>
          <w:sz w:val="20"/>
          <w:szCs w:val="20"/>
          <w:color w:val="auto"/>
        </w:rPr>
      </w:pPr>
    </w:p>
    <w:p>
      <w:pPr>
        <w:ind w:left="740" w:right="20"/>
        <w:spacing w:after="0" w:line="295" w:lineRule="auto"/>
        <w:rPr>
          <w:sz w:val="20"/>
          <w:szCs w:val="20"/>
          <w:color w:val="auto"/>
        </w:rPr>
      </w:pPr>
      <w:r>
        <w:rPr>
          <w:rFonts w:ascii="Times New Roman" w:cs="Times New Roman" w:eastAsia="Times New Roman" w:hAnsi="Times New Roman"/>
          <w:sz w:val="17"/>
          <w:szCs w:val="17"/>
          <w:color w:val="auto"/>
        </w:rPr>
        <w:t>Each Group Member has good, valid and marketable title to, or valid leases or licences of or is otherwise permitted to use the assets necessary to carry on its business as currently conducted.</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21.19</w:t>
      </w:r>
      <w:r>
        <w:rPr>
          <w:sz w:val="20"/>
          <w:szCs w:val="20"/>
          <w:color w:val="auto"/>
        </w:rPr>
        <w:tab/>
      </w:r>
      <w:r>
        <w:rPr>
          <w:rFonts w:ascii="Times New Roman" w:cs="Times New Roman" w:eastAsia="Times New Roman" w:hAnsi="Times New Roman"/>
          <w:sz w:val="17"/>
          <w:szCs w:val="17"/>
          <w:b w:val="1"/>
          <w:bCs w:val="1"/>
          <w:color w:val="auto"/>
        </w:rPr>
        <w:t>Security and Financial Indebtedness</w:t>
      </w:r>
    </w:p>
    <w:p>
      <w:pPr>
        <w:spacing w:after="0" w:line="133" w:lineRule="exact"/>
        <w:rPr>
          <w:sz w:val="20"/>
          <w:szCs w:val="20"/>
          <w:color w:val="auto"/>
        </w:rPr>
      </w:pPr>
    </w:p>
    <w:p>
      <w:pPr>
        <w:ind w:left="1260" w:right="640" w:hanging="523"/>
        <w:spacing w:after="0" w:line="295" w:lineRule="auto"/>
        <w:tabs>
          <w:tab w:leader="none" w:pos="1260"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Security or Quasi-Security exists over all or any of the present or future assets of any Group Member other than Permitted Security.</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Member has any Financial Indebtedness outstanding other than Permitted Group Financial Indebtedness.</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21.20</w:t>
      </w:r>
      <w:r>
        <w:rPr>
          <w:sz w:val="20"/>
          <w:szCs w:val="20"/>
          <w:color w:val="auto"/>
        </w:rPr>
        <w:tab/>
      </w:r>
      <w:r>
        <w:rPr>
          <w:rFonts w:ascii="Times New Roman" w:cs="Times New Roman" w:eastAsia="Times New Roman" w:hAnsi="Times New Roman"/>
          <w:sz w:val="17"/>
          <w:szCs w:val="17"/>
          <w:b w:val="1"/>
          <w:bCs w:val="1"/>
          <w:color w:val="auto"/>
        </w:rPr>
        <w:t>Anti-corruption</w:t>
      </w:r>
    </w:p>
    <w:p>
      <w:pPr>
        <w:spacing w:after="0" w:line="120" w:lineRule="exact"/>
        <w:rPr>
          <w:sz w:val="20"/>
          <w:szCs w:val="20"/>
          <w:color w:val="auto"/>
        </w:rPr>
      </w:pPr>
    </w:p>
    <w:p>
      <w:pPr>
        <w:ind w:left="740" w:right="20"/>
        <w:spacing w:after="0" w:line="262" w:lineRule="auto"/>
        <w:rPr>
          <w:sz w:val="20"/>
          <w:szCs w:val="20"/>
          <w:color w:val="auto"/>
        </w:rPr>
      </w:pPr>
      <w:r>
        <w:rPr>
          <w:rFonts w:ascii="Times New Roman" w:cs="Times New Roman" w:eastAsia="Times New Roman" w:hAnsi="Times New Roman"/>
          <w:sz w:val="17"/>
          <w:szCs w:val="17"/>
          <w:color w:val="auto"/>
        </w:rPr>
        <w:t>Neither it nor any of its Subsidiaries nor (to its knowledge) any director, officer, or employee thereof has taken any illegal action in furtherance of an offer, payment, promise to pay, or authorization or approval of the payment or giving of money, property, gifts or anything else of value, directly or indirectly, to any person to improperly influence official action by that person for the benefit of it or its Subsidiaries or to otherwise secure an improper business advantage for it or its Subsidiaries which would breach the US Foreign and Corrupt Practices Act 1977, as amended; the UK Bribery Act 2010, as amended or any other applicable anti-bribery or corruption law or regulation (together “</w:t>
      </w:r>
      <w:r>
        <w:rPr>
          <w:rFonts w:ascii="Times New Roman" w:cs="Times New Roman" w:eastAsia="Times New Roman" w:hAnsi="Times New Roman"/>
          <w:sz w:val="17"/>
          <w:szCs w:val="17"/>
          <w:b w:val="1"/>
          <w:b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Anti-Bribery and Corruption Laws</w:t>
      </w:r>
      <w:r>
        <w:rPr>
          <w:rFonts w:ascii="Times New Roman" w:cs="Times New Roman" w:eastAsia="Times New Roman" w:hAnsi="Times New Roman"/>
          <w:sz w:val="17"/>
          <w:szCs w:val="17"/>
          <w:color w:val="auto"/>
        </w:rPr>
        <w:t>”); and it and its Subsidiaries have conducted their business in compliance with all applicable Anti-Bribery and Corruption Laws and have instituted and maintained policies and procedures designed to promote and achieve compliance with such laws.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21.21</w:t>
      </w:r>
      <w:r>
        <w:rPr>
          <w:sz w:val="20"/>
          <w:szCs w:val="20"/>
          <w:color w:val="auto"/>
        </w:rPr>
        <w:tab/>
      </w:r>
      <w:r>
        <w:rPr>
          <w:rFonts w:ascii="Times New Roman" w:cs="Times New Roman" w:eastAsia="Times New Roman" w:hAnsi="Times New Roman"/>
          <w:sz w:val="17"/>
          <w:szCs w:val="17"/>
          <w:b w:val="1"/>
          <w:bCs w:val="1"/>
          <w:color w:val="auto"/>
        </w:rPr>
        <w:t>Anti-money laundering</w:t>
      </w:r>
    </w:p>
    <w:p>
      <w:pPr>
        <w:spacing w:after="0" w:line="120" w:lineRule="exact"/>
        <w:rPr>
          <w:sz w:val="20"/>
          <w:szCs w:val="20"/>
          <w:color w:val="auto"/>
        </w:rPr>
      </w:pPr>
    </w:p>
    <w:p>
      <w:pPr>
        <w:ind w:left="740" w:right="220"/>
        <w:spacing w:after="0" w:line="264" w:lineRule="auto"/>
        <w:rPr>
          <w:sz w:val="20"/>
          <w:szCs w:val="20"/>
          <w:color w:val="auto"/>
        </w:rPr>
      </w:pPr>
      <w:r>
        <w:rPr>
          <w:rFonts w:ascii="Times New Roman" w:cs="Times New Roman" w:eastAsia="Times New Roman" w:hAnsi="Times New Roman"/>
          <w:sz w:val="17"/>
          <w:szCs w:val="17"/>
          <w:color w:val="auto"/>
        </w:rPr>
        <w:t>The operations of it and its Subsidiaries are and have been conducted at all times in material compliance with all applicable financial recordkeeping and reporting requirements and the applicable anti-money laundering statutes of jurisdictions where it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it or any of its Subsidiaries with respect to the Anti-Money Laundering Laws is pending or, to the best of its knowledge, threatened.</w:t>
      </w:r>
    </w:p>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21.22</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133" w:lineRule="exact"/>
        <w:rPr>
          <w:sz w:val="20"/>
          <w:szCs w:val="20"/>
          <w:color w:val="auto"/>
        </w:rPr>
      </w:pPr>
    </w:p>
    <w:p>
      <w:pPr>
        <w:ind w:left="1260" w:right="340" w:hanging="523"/>
        <w:spacing w:after="0" w:line="295" w:lineRule="auto"/>
        <w:tabs>
          <w:tab w:leader="none" w:pos="1260"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it nor any of its Subsidiaries, nor (to its knowledge) any director, officer, or employee thereof is a Sanctioned Person, or is owned or controlled by a Sanctioned Person.</w:t>
      </w:r>
    </w:p>
    <w:p>
      <w:pPr>
        <w:spacing w:after="0" w:line="55" w:lineRule="exact"/>
        <w:rPr>
          <w:rFonts w:ascii="Times New Roman" w:cs="Times New Roman" w:eastAsia="Times New Roman" w:hAnsi="Times New Roman"/>
          <w:sz w:val="17"/>
          <w:szCs w:val="17"/>
          <w:color w:val="auto"/>
        </w:rPr>
      </w:pPr>
    </w:p>
    <w:p>
      <w:pPr>
        <w:ind w:left="1260" w:right="80" w:hanging="523"/>
        <w:spacing w:after="0" w:line="276" w:lineRule="auto"/>
        <w:tabs>
          <w:tab w:leader="none" w:pos="1260"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past five (5) years, it and its Subsidiaries have not knowingly engaged in, and are not now knowingly engaged in any dealings or transactions with any Sanctioned Person, or in any country or territory that at the time of the dealing or transaction is or was a Sanctioned Country.</w:t>
      </w:r>
    </w:p>
    <w:p>
      <w:pPr>
        <w:spacing w:after="0" w:line="9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81" w:name="page382"/>
    <w:bookmarkEnd w:id="381"/>
    <w:p>
      <w:pPr>
        <w:ind w:left="748" w:hanging="748"/>
        <w:spacing w:after="0"/>
        <w:tabs>
          <w:tab w:leader="none" w:pos="748" w:val="left"/>
        </w:tabs>
        <w:numPr>
          <w:ilvl w:val="0"/>
          <w:numId w:val="4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Information undertakings</w:t>
      </w:r>
    </w:p>
    <w:p>
      <w:pPr>
        <w:spacing w:after="0" w:line="118" w:lineRule="exact"/>
        <w:rPr>
          <w:rFonts w:ascii="Times New Roman" w:cs="Times New Roman" w:eastAsia="Times New Roman" w:hAnsi="Times New Roman"/>
          <w:sz w:val="17"/>
          <w:szCs w:val="17"/>
          <w:b w:val="1"/>
          <w:bCs w:val="1"/>
          <w:color w:val="auto"/>
        </w:rPr>
      </w:pPr>
    </w:p>
    <w:p>
      <w:pPr>
        <w:ind w:left="748" w:right="36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covenants in this Clause 22 (</w:t>
      </w:r>
      <w:r>
        <w:rPr>
          <w:rFonts w:ascii="Times New Roman" w:cs="Times New Roman" w:eastAsia="Times New Roman" w:hAnsi="Times New Roman"/>
          <w:sz w:val="17"/>
          <w:szCs w:val="17"/>
          <w:i w:val="1"/>
          <w:iCs w:val="1"/>
          <w:color w:val="auto"/>
        </w:rPr>
        <w:t>Information undertakings</w:t>
      </w:r>
      <w:r>
        <w:rPr>
          <w:rFonts w:ascii="Times New Roman" w:cs="Times New Roman" w:eastAsia="Times New Roman" w:hAnsi="Times New Roman"/>
          <w:sz w:val="17"/>
          <w:szCs w:val="17"/>
          <w:color w:val="auto"/>
        </w:rPr>
        <w:t>) remain in force from the date of this Agreement for so long as any amount is outstanding under the Finance Documents or any Commitment is in force.</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In this Agreement:</w:t>
      </w:r>
    </w:p>
    <w:p>
      <w:pPr>
        <w:spacing w:after="0" w:line="116" w:lineRule="exact"/>
        <w:rPr>
          <w:sz w:val="20"/>
          <w:szCs w:val="20"/>
          <w:color w:val="auto"/>
        </w:rPr>
      </w:pPr>
    </w:p>
    <w:p>
      <w:pPr>
        <w:ind w:left="748" w:right="4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Annual Financial Statements</w:t>
      </w:r>
      <w:r>
        <w:rPr>
          <w:rFonts w:ascii="Times New Roman" w:cs="Times New Roman" w:eastAsia="Times New Roman" w:hAnsi="Times New Roman"/>
          <w:sz w:val="17"/>
          <w:szCs w:val="17"/>
          <w:color w:val="auto"/>
        </w:rPr>
        <w:t>” means the financial statements for a Financial Year delivered pursuant to paragraph (a) of Clause 22.2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Quarterly Financial Statements</w:t>
      </w:r>
      <w:r>
        <w:rPr>
          <w:rFonts w:ascii="Times New Roman" w:cs="Times New Roman" w:eastAsia="Times New Roman" w:hAnsi="Times New Roman"/>
          <w:sz w:val="17"/>
          <w:szCs w:val="17"/>
          <w:color w:val="auto"/>
        </w:rPr>
        <w:t>” means the financial statements delivered pursuant to paragraph (b) of Clause 22.2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Financial Statements</w:t>
      </w:r>
      <w:r>
        <w:rPr>
          <w:rFonts w:ascii="Times New Roman" w:cs="Times New Roman" w:eastAsia="Times New Roman" w:hAnsi="Times New Roman"/>
          <w:sz w:val="17"/>
          <w:szCs w:val="17"/>
          <w:color w:val="auto"/>
        </w:rPr>
        <w:t>” means Annual Financial Statements or Quarterly Financial Statements, as the context requires.</w:t>
      </w:r>
    </w:p>
    <w:p>
      <w:pPr>
        <w:spacing w:after="0" w:line="36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shall supply to the Agent in sufficient copies for all the Lenders:</w:t>
      </w:r>
    </w:p>
    <w:p>
      <w:pPr>
        <w:spacing w:after="0" w:line="131" w:lineRule="exact"/>
        <w:rPr>
          <w:sz w:val="20"/>
          <w:szCs w:val="20"/>
          <w:color w:val="auto"/>
        </w:rPr>
      </w:pPr>
    </w:p>
    <w:p>
      <w:pPr>
        <w:ind w:left="1268" w:hanging="523"/>
        <w:spacing w:after="0"/>
        <w:tabs>
          <w:tab w:leader="none" w:pos="1268"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they are available, but in any event within 120 days after the end of each of its Financial Years:</w:t>
      </w:r>
    </w:p>
    <w:p>
      <w:pPr>
        <w:spacing w:after="0" w:line="131" w:lineRule="exact"/>
        <w:rPr>
          <w:rFonts w:ascii="Times New Roman" w:cs="Times New Roman" w:eastAsia="Times New Roman" w:hAnsi="Times New Roman"/>
          <w:sz w:val="17"/>
          <w:szCs w:val="17"/>
          <w:color w:val="auto"/>
        </w:rPr>
      </w:pPr>
    </w:p>
    <w:p>
      <w:pPr>
        <w:ind w:left="1888" w:right="700" w:hanging="620"/>
        <w:spacing w:after="0" w:line="295" w:lineRule="auto"/>
        <w:tabs>
          <w:tab w:leader="none" w:pos="1888" w:val="left"/>
        </w:tabs>
        <w:numPr>
          <w:ilvl w:val="1"/>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audited consolidated financial statements for that Financial Year reported on without any “going concern” or like qualification or exception, or any other qualification arising out of the scope of each audit, by the Auditors; and</w:t>
      </w:r>
    </w:p>
    <w:p>
      <w:pPr>
        <w:spacing w:after="0" w:line="55" w:lineRule="exact"/>
        <w:rPr>
          <w:rFonts w:ascii="Times New Roman" w:cs="Times New Roman" w:eastAsia="Times New Roman" w:hAnsi="Times New Roman"/>
          <w:sz w:val="17"/>
          <w:szCs w:val="17"/>
          <w:color w:val="auto"/>
        </w:rPr>
      </w:pPr>
    </w:p>
    <w:p>
      <w:pPr>
        <w:ind w:left="1888" w:right="320" w:hanging="620"/>
        <w:spacing w:after="0" w:line="295" w:lineRule="auto"/>
        <w:tabs>
          <w:tab w:leader="none" w:pos="1888" w:val="left"/>
        </w:tabs>
        <w:numPr>
          <w:ilvl w:val="1"/>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consolidated financial statements for the Group (upon which the Auditors will perform certain agreed upon procedures to verify their correctness); and</w:t>
      </w:r>
    </w:p>
    <w:p>
      <w:pPr>
        <w:spacing w:after="0" w:line="55" w:lineRule="exact"/>
        <w:rPr>
          <w:rFonts w:ascii="Times New Roman" w:cs="Times New Roman" w:eastAsia="Times New Roman" w:hAnsi="Times New Roman"/>
          <w:sz w:val="17"/>
          <w:szCs w:val="17"/>
          <w:color w:val="auto"/>
        </w:rPr>
      </w:pPr>
    </w:p>
    <w:p>
      <w:pPr>
        <w:ind w:left="1268" w:right="60" w:hanging="523"/>
        <w:spacing w:after="0" w:line="269" w:lineRule="auto"/>
        <w:tabs>
          <w:tab w:leader="none" w:pos="1268"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they are available, but in any event within 60 days after the end of each Financial Quarter of each of its Financial Years, its unaudited consolidated financial statements for that Financial Quarter (together with consolidating financial statements), prepared without taking into account any contribution from any Excluded Project Revenues, any Excluded Project, Excluded Subsidiary or any other entity outside the Group.</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Provision and contents of Compliance Certificate</w:t>
      </w:r>
    </w:p>
    <w:p>
      <w:pPr>
        <w:spacing w:after="0" w:line="133" w:lineRule="exact"/>
        <w:rPr>
          <w:sz w:val="20"/>
          <w:szCs w:val="20"/>
          <w:color w:val="auto"/>
        </w:rPr>
      </w:pPr>
    </w:p>
    <w:p>
      <w:pPr>
        <w:ind w:left="1268" w:hanging="523"/>
        <w:spacing w:after="0"/>
        <w:tabs>
          <w:tab w:leader="none" w:pos="1268"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supply a Compliance Certificate to the Agent with each set of Relevant Financial Statements of the Company.</w:t>
      </w:r>
    </w:p>
    <w:p>
      <w:pPr>
        <w:spacing w:after="0" w:line="131" w:lineRule="exact"/>
        <w:rPr>
          <w:rFonts w:ascii="Times New Roman" w:cs="Times New Roman" w:eastAsia="Times New Roman" w:hAnsi="Times New Roman"/>
          <w:sz w:val="17"/>
          <w:szCs w:val="17"/>
          <w:color w:val="auto"/>
        </w:rPr>
      </w:pPr>
    </w:p>
    <w:p>
      <w:pPr>
        <w:ind w:left="1268" w:right="20" w:hanging="523"/>
        <w:spacing w:after="0" w:line="269" w:lineRule="auto"/>
        <w:tabs>
          <w:tab w:leader="none" w:pos="1268"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Compliance Certificate shall, among other things, set out (in reasonable detail) computations of Senior Leverage, Total Leverage and Interest Cover for each Relevant Period, computations as to compliance with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and the Margin computations set out in the definition of “Margin” as at the date as at which the corresponding Relevant Financial Statements were drawn up.</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Compliance Certificate shall be signed by an Authorised Representative.</w:t>
      </w:r>
    </w:p>
    <w:p>
      <w:pPr>
        <w:spacing w:after="0" w:line="15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79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382" w:name="page383"/>
    <w:bookmarkEnd w:id="382"/>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22.4</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133" w:lineRule="exact"/>
        <w:rPr>
          <w:sz w:val="20"/>
          <w:szCs w:val="20"/>
          <w:color w:val="auto"/>
        </w:rPr>
      </w:pPr>
    </w:p>
    <w:p>
      <w:pPr>
        <w:ind w:left="1260" w:hanging="523"/>
        <w:spacing w:after="0"/>
        <w:tabs>
          <w:tab w:leader="none" w:pos="1260" w:val="left"/>
        </w:tabs>
        <w:numPr>
          <w:ilvl w:val="0"/>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procure that: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set of Relevant Financial Statements includes a balance sheet, profit and loss account and cashflow statement;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set of Annual Financial Statements shall be audited by the Auditors; and</w:t>
      </w:r>
    </w:p>
    <w:p>
      <w:pPr>
        <w:spacing w:after="0" w:line="131" w:lineRule="exact"/>
        <w:rPr>
          <w:rFonts w:ascii="Times New Roman" w:cs="Times New Roman" w:eastAsia="Times New Roman" w:hAnsi="Times New Roman"/>
          <w:sz w:val="17"/>
          <w:szCs w:val="17"/>
          <w:color w:val="auto"/>
        </w:rPr>
      </w:pPr>
    </w:p>
    <w:p>
      <w:pPr>
        <w:ind w:left="1880" w:right="80" w:hanging="620"/>
        <w:spacing w:after="0" w:line="295" w:lineRule="auto"/>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set of Quarterly Financial Statements includes equivalent figures for the Financial Year to date and each set of Relevant Financial Statements sets forth in comparative form figures for the previous year.</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procure that each set of Relevant Financial Statements:</w:t>
      </w:r>
    </w:p>
    <w:p>
      <w:pPr>
        <w:spacing w:after="0" w:line="131" w:lineRule="exact"/>
        <w:rPr>
          <w:rFonts w:ascii="Times New Roman" w:cs="Times New Roman" w:eastAsia="Times New Roman" w:hAnsi="Times New Roman"/>
          <w:sz w:val="17"/>
          <w:szCs w:val="17"/>
          <w:color w:val="auto"/>
        </w:rPr>
      </w:pPr>
    </w:p>
    <w:p>
      <w:pPr>
        <w:ind w:left="1880" w:right="80" w:hanging="620"/>
        <w:spacing w:after="0" w:line="266" w:lineRule="auto"/>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certified by an Authorised Representative as presenting fairly, in all material respects, (in the case of Annual Financial Statements for any Financial Year), or fairly representing (in other cases), its financial condition and operations as at the date as at which those financial statements were drawn up, and in the case of its audited Original Financial Statements, fairly representing (as at the time such financial statements are delivered) its consolidated financial condition and results of operations and present fairly, in all material respects, its consolidated financial condition and results of operations; and</w:t>
      </w:r>
    </w:p>
    <w:p>
      <w:pPr>
        <w:spacing w:after="0" w:line="79" w:lineRule="exact"/>
        <w:rPr>
          <w:rFonts w:ascii="Times New Roman" w:cs="Times New Roman" w:eastAsia="Times New Roman" w:hAnsi="Times New Roman"/>
          <w:sz w:val="17"/>
          <w:szCs w:val="17"/>
          <w:color w:val="auto"/>
        </w:rPr>
      </w:pPr>
    </w:p>
    <w:p>
      <w:pPr>
        <w:ind w:left="1880" w:right="160" w:hanging="620"/>
        <w:spacing w:after="0" w:line="269" w:lineRule="auto"/>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prepared using GAAP, accounting practices and financial reference periods substantially consistent with those applied in the preparation of the Financial Model and the Original Financial Statements unless the Company notifies the Agent that there has been a change in GAAP, or the accounting practices and its Auditors (or, if appropriate, the Auditors of the relevant Group Member), in which case, it shall deliver to the Agent:</w:t>
      </w:r>
    </w:p>
    <w:p>
      <w:pPr>
        <w:spacing w:after="0" w:line="77" w:lineRule="exact"/>
        <w:rPr>
          <w:rFonts w:ascii="Times New Roman" w:cs="Times New Roman" w:eastAsia="Times New Roman" w:hAnsi="Times New Roman"/>
          <w:sz w:val="17"/>
          <w:szCs w:val="17"/>
          <w:color w:val="auto"/>
        </w:rPr>
      </w:pPr>
    </w:p>
    <w:p>
      <w:pPr>
        <w:ind w:left="2420" w:right="260" w:hanging="520"/>
        <w:spacing w:after="0" w:line="276" w:lineRule="auto"/>
        <w:tabs>
          <w:tab w:leader="none" w:pos="2420" w:val="left"/>
        </w:tabs>
        <w:numPr>
          <w:ilvl w:val="2"/>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change necessary for those financial statements to reflect GAAP, or accounting practices upon which the Financial Model or, as the case may be, any Original Financial Statements or subsequent financial statements were prepared; and</w:t>
      </w:r>
    </w:p>
    <w:p>
      <w:pPr>
        <w:spacing w:after="0" w:line="70" w:lineRule="exact"/>
        <w:rPr>
          <w:rFonts w:ascii="Times New Roman" w:cs="Times New Roman" w:eastAsia="Times New Roman" w:hAnsi="Times New Roman"/>
          <w:sz w:val="17"/>
          <w:szCs w:val="17"/>
          <w:color w:val="auto"/>
        </w:rPr>
      </w:pPr>
    </w:p>
    <w:p>
      <w:pPr>
        <w:ind w:left="2420" w:right="160" w:hanging="520"/>
        <w:spacing w:after="0" w:line="264" w:lineRule="auto"/>
        <w:tabs>
          <w:tab w:leader="none" w:pos="2420" w:val="left"/>
        </w:tabs>
        <w:numPr>
          <w:ilvl w:val="2"/>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sufficient information, in form and substance as may be reasonably required by the Agent, to enable the Lenders to determine whether comparable computations to those referred to in Clause 22.3 (</w:t>
      </w:r>
      <w:r>
        <w:rPr>
          <w:rFonts w:ascii="Times New Roman" w:cs="Times New Roman" w:eastAsia="Times New Roman" w:hAnsi="Times New Roman"/>
          <w:sz w:val="17"/>
          <w:szCs w:val="17"/>
          <w:i w:val="1"/>
          <w:iCs w:val="1"/>
          <w:color w:val="auto"/>
        </w:rPr>
        <w:t>Provision and contents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Compliance Certificate</w:t>
      </w:r>
      <w:r>
        <w:rPr>
          <w:rFonts w:ascii="Times New Roman" w:cs="Times New Roman" w:eastAsia="Times New Roman" w:hAnsi="Times New Roman"/>
          <w:sz w:val="17"/>
          <w:szCs w:val="17"/>
          <w:color w:val="auto"/>
        </w:rPr>
        <w:t>) have been made, to determine whether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has been complied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to determine the Margin as set out in the definition of “Margin” and to make an accurate comparison between the financial position indicated in those financial statements and the Financial Model, the Original Financial Statements or, as the case may be, any subsequent financial statements.</w:t>
      </w:r>
    </w:p>
    <w:p>
      <w:pPr>
        <w:spacing w:after="0" w:line="82" w:lineRule="exact"/>
        <w:rPr>
          <w:rFonts w:ascii="Times New Roman" w:cs="Times New Roman" w:eastAsia="Times New Roman" w:hAnsi="Times New Roman"/>
          <w:sz w:val="17"/>
          <w:szCs w:val="17"/>
          <w:color w:val="auto"/>
        </w:rPr>
      </w:pPr>
    </w:p>
    <w:p>
      <w:pPr>
        <w:ind w:left="1260" w:right="120" w:hanging="523"/>
        <w:spacing w:after="0" w:line="295" w:lineRule="auto"/>
        <w:tabs>
          <w:tab w:leader="none" w:pos="1260" w:val="left"/>
        </w:tabs>
        <w:numPr>
          <w:ilvl w:val="0"/>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notifies the Agent of any change in accordance with paragraph (b)(ii) above, the Company and Agent shall enter into negotiations in good faith with a view to agreeing:</w:t>
      </w:r>
    </w:p>
    <w:p>
      <w:pPr>
        <w:spacing w:after="0" w:line="55" w:lineRule="exact"/>
        <w:rPr>
          <w:rFonts w:ascii="Times New Roman" w:cs="Times New Roman" w:eastAsia="Times New Roman" w:hAnsi="Times New Roman"/>
          <w:sz w:val="17"/>
          <w:szCs w:val="17"/>
          <w:color w:val="auto"/>
        </w:rPr>
      </w:pPr>
    </w:p>
    <w:p>
      <w:pPr>
        <w:ind w:left="1880" w:right="720" w:hanging="620"/>
        <w:spacing w:after="0" w:line="295" w:lineRule="auto"/>
        <w:tabs>
          <w:tab w:leader="none" w:pos="1880"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change might result in any material alteration in the commercial effect of any of the terms of this Agreement; and</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83" w:name="page384"/>
    <w:bookmarkEnd w:id="383"/>
    <w:p>
      <w:pPr>
        <w:ind w:left="1880" w:hanging="620"/>
        <w:spacing w:after="0" w:line="260" w:lineRule="auto"/>
        <w:tabs>
          <w:tab w:leader="none" w:pos="1880"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so, any amendments to this Agreement which may be necessary to ensure that the change does not result in any material alteration in the commercial effect of those terms, and, if any amendments are agreed they shall take effect and be binding on each of the Parties in accordance with their terms. If no such agreement is reached within thirty (30) days of that notification of change, the Agent shall (if so requested by the Majority Lenders) instruct the Auditors or independent accountants (approved by the Company or, in the absence of such approval within five (5) days of request by the Agent of such approval, a firm with recognised expertise) to determine any amendments to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the Margin computations set out in the definition of “Margin” and any other terms of this Agreement which the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Auditors, or as the case may be, accountants. The cost and expense of the Auditors or accountants shall be for the account of the Company.</w:t>
      </w:r>
    </w:p>
    <w:p>
      <w:pPr>
        <w:spacing w:after="0" w:line="200" w:lineRule="exact"/>
        <w:rPr>
          <w:sz w:val="20"/>
          <w:szCs w:val="20"/>
          <w:color w:val="auto"/>
        </w:rPr>
      </w:pPr>
    </w:p>
    <w:p>
      <w:pPr>
        <w:spacing w:after="0" w:line="33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22.5</w:t>
      </w:r>
      <w:r>
        <w:rPr>
          <w:sz w:val="20"/>
          <w:szCs w:val="20"/>
          <w:color w:val="auto"/>
        </w:rPr>
        <w:tab/>
      </w:r>
      <w:r>
        <w:rPr>
          <w:rFonts w:ascii="Times New Roman" w:cs="Times New Roman" w:eastAsia="Times New Roman" w:hAnsi="Times New Roman"/>
          <w:sz w:val="16"/>
          <w:szCs w:val="16"/>
          <w:b w:val="1"/>
          <w:bCs w:val="1"/>
          <w:color w:val="auto"/>
        </w:rPr>
        <w:t>Year-end</w:t>
      </w:r>
    </w:p>
    <w:p>
      <w:pPr>
        <w:spacing w:after="0" w:line="120" w:lineRule="exact"/>
        <w:rPr>
          <w:sz w:val="20"/>
          <w:szCs w:val="20"/>
          <w:color w:val="auto"/>
        </w:rPr>
      </w:pPr>
    </w:p>
    <w:p>
      <w:pPr>
        <w:ind w:left="740" w:right="200"/>
        <w:spacing w:after="0" w:line="276" w:lineRule="auto"/>
        <w:rPr>
          <w:sz w:val="20"/>
          <w:szCs w:val="20"/>
          <w:color w:val="auto"/>
        </w:rPr>
      </w:pPr>
      <w:r>
        <w:rPr>
          <w:rFonts w:ascii="Times New Roman" w:cs="Times New Roman" w:eastAsia="Times New Roman" w:hAnsi="Times New Roman"/>
          <w:sz w:val="17"/>
          <w:szCs w:val="17"/>
          <w:color w:val="auto"/>
        </w:rPr>
        <w:t>The Company shall not change its Financial Year-end or Financial Quarter-end dates and shall procure that each Financial Year-end of each other member of the Group falls on 31 December and each Financial Quarter-end of each other member of the Group falls on the relevant Quarter Date.</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22.6</w:t>
      </w:r>
      <w:r>
        <w:rPr>
          <w:sz w:val="20"/>
          <w:szCs w:val="20"/>
          <w:color w:val="auto"/>
        </w:rPr>
        <w:tab/>
      </w:r>
      <w:r>
        <w:rPr>
          <w:rFonts w:ascii="Times New Roman" w:cs="Times New Roman" w:eastAsia="Times New Roman" w:hAnsi="Times New Roman"/>
          <w:sz w:val="17"/>
          <w:szCs w:val="17"/>
          <w:b w:val="1"/>
          <w:bCs w:val="1"/>
          <w:color w:val="auto"/>
        </w:rPr>
        <w:t>Concession and Land Concessions</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 shall:</w:t>
      </w:r>
    </w:p>
    <w:p>
      <w:pPr>
        <w:spacing w:after="0" w:line="131" w:lineRule="exact"/>
        <w:rPr>
          <w:sz w:val="20"/>
          <w:szCs w:val="20"/>
          <w:color w:val="auto"/>
        </w:rPr>
      </w:pPr>
    </w:p>
    <w:p>
      <w:pPr>
        <w:ind w:left="1260" w:hanging="523"/>
        <w:spacing w:after="0"/>
        <w:tabs>
          <w:tab w:leader="none" w:pos="1260"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Agent promptly upon receiving:</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consultations with the Macau SAR in relation to any termination of the Concession;</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consultations with the Macau SAR in relation to any termination or rescission of the Land Concession;</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negotiations with the Macau SAR pursuant to article 88 of the Concession;</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from the Macau SAR pursuant to clause 3 of article 85 of the Concession;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from the Macau SAR pursuant to clause 4 of article 85 of the Concession,</w:t>
      </w:r>
    </w:p>
    <w:p>
      <w:pPr>
        <w:spacing w:after="0" w:line="1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and keep the Agent fully appraised thereof; and</w:t>
      </w:r>
    </w:p>
    <w:p>
      <w:pPr>
        <w:spacing w:after="0" w:line="131" w:lineRule="exact"/>
        <w:rPr>
          <w:sz w:val="20"/>
          <w:szCs w:val="20"/>
          <w:color w:val="auto"/>
        </w:rPr>
      </w:pPr>
    </w:p>
    <w:p>
      <w:pPr>
        <w:ind w:left="1260" w:right="100" w:hanging="523"/>
        <w:spacing w:after="0" w:line="273" w:lineRule="auto"/>
        <w:tabs>
          <w:tab w:leader="none" w:pos="1260"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receipt of a request from the Agent (acting on the instructions of the Majority Lenders), supply to the Agent (in sufficient copies for all the Lenders, if the Agent so requests), a copy of each written notice which is delivered under or in connection with the Concession or any Land Concession (and which is relevant and material to the interests of the Finance Parties (taken as a whole)).</w:t>
      </w:r>
    </w:p>
    <w:p>
      <w:pPr>
        <w:spacing w:after="0" w:line="200" w:lineRule="exact"/>
        <w:rPr>
          <w:sz w:val="20"/>
          <w:szCs w:val="20"/>
          <w:color w:val="auto"/>
        </w:rPr>
      </w:pPr>
    </w:p>
    <w:p>
      <w:pPr>
        <w:spacing w:after="0" w:line="32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 shall supply to the Agent (in sufficient copies for all the Lenders, if the Agent so requests):</w:t>
      </w:r>
    </w:p>
    <w:p>
      <w:pPr>
        <w:spacing w:after="0" w:line="131" w:lineRule="exact"/>
        <w:rPr>
          <w:sz w:val="20"/>
          <w:szCs w:val="20"/>
          <w:color w:val="auto"/>
        </w:rPr>
      </w:pPr>
    </w:p>
    <w:p>
      <w:pPr>
        <w:ind w:left="1260" w:right="260" w:hanging="523"/>
        <w:spacing w:after="0" w:line="276" w:lineRule="auto"/>
        <w:tabs>
          <w:tab w:leader="none" w:pos="1260"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same time as they are dispatched, copies of all documents dispatched by the Company or a Subsidiary Guarantor to its shareholders generally (or any class of them) or dispatched by the Company or a Subsidiary Guarantor to its creditors generally (or any class of them);</w:t>
      </w:r>
    </w:p>
    <w:p>
      <w:pPr>
        <w:spacing w:after="0" w:line="9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384" w:name="page385"/>
    <w:bookmarkEnd w:id="384"/>
    <w:p>
      <w:pPr>
        <w:ind w:left="1260" w:right="20" w:hanging="523"/>
        <w:spacing w:after="0" w:line="266"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promptly upon becoming aware of them, the details of any litigation, arbitration or investigation by a Governmental Authority or other administrative proceedings which are current, threatened or pending against any member of the Group which would involve a loss, liability, or a potential or alleged loss or liability, exceeding USD50,000,000 (or its equivalent) or which has or would reasonably be expected to have an Excluded Project Material Adverse Effect, or any material development in any such proceedings, in each case together with such other information concerning such proceedings as the Agent may reasonably require;</w:t>
      </w:r>
    </w:p>
    <w:p>
      <w:pPr>
        <w:spacing w:after="0" w:line="79" w:lineRule="exact"/>
        <w:rPr>
          <w:rFonts w:ascii="Times New Roman" w:cs="Times New Roman" w:eastAsia="Times New Roman" w:hAnsi="Times New Roman"/>
          <w:sz w:val="17"/>
          <w:szCs w:val="17"/>
          <w:color w:val="auto"/>
        </w:rPr>
      </w:pPr>
    </w:p>
    <w:p>
      <w:pPr>
        <w:ind w:left="1260" w:right="20" w:hanging="523"/>
        <w:spacing w:after="0" w:line="295"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becoming aware of them, the details of any judgment or order of a court, arbitral body or agency which is made against any member of the Group and which might have a Material Adverse Effect;</w:t>
      </w:r>
    </w:p>
    <w:p>
      <w:pPr>
        <w:spacing w:after="0" w:line="55" w:lineRule="exact"/>
        <w:rPr>
          <w:rFonts w:ascii="Times New Roman" w:cs="Times New Roman" w:eastAsia="Times New Roman" w:hAnsi="Times New Roman"/>
          <w:sz w:val="17"/>
          <w:szCs w:val="17"/>
          <w:color w:val="auto"/>
        </w:rPr>
      </w:pPr>
    </w:p>
    <w:p>
      <w:pPr>
        <w:ind w:left="1260" w:right="80" w:hanging="523"/>
        <w:spacing w:after="0" w:line="266"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same time, and to the extent permitted by any applicable law, regulation or any other restriction imposed by a stock exchange or regulatory authority and provided such notification is not prohibited by any confidentiality obligations owed by any member of the Group to any Sponsor or any other person in connection with the acquisition of a member of the Group or Bondco or any of its Subsidiaries) details of an issue, allocation or transfer of the legal or beneficial ownership of or change of control of any share of any member of the Group, Bondco or any Subsidiary of any of the foregoing;</w:t>
      </w:r>
    </w:p>
    <w:p>
      <w:pPr>
        <w:spacing w:after="0" w:line="79" w:lineRule="exact"/>
        <w:rPr>
          <w:rFonts w:ascii="Times New Roman" w:cs="Times New Roman" w:eastAsia="Times New Roman" w:hAnsi="Times New Roman"/>
          <w:sz w:val="17"/>
          <w:szCs w:val="17"/>
          <w:color w:val="auto"/>
        </w:rPr>
      </w:pPr>
    </w:p>
    <w:p>
      <w:pPr>
        <w:ind w:left="1260" w:right="80" w:hanging="523"/>
        <w:spacing w:after="0" w:line="295"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any filing made with any stock exchange or regulatory authority in respect of circumstances that could give rise to a change of control of any share of any member of the Group at the same time as that filing is made;</w:t>
      </w:r>
    </w:p>
    <w:p>
      <w:pPr>
        <w:spacing w:after="0" w:line="55" w:lineRule="exact"/>
        <w:rPr>
          <w:rFonts w:ascii="Times New Roman" w:cs="Times New Roman" w:eastAsia="Times New Roman" w:hAnsi="Times New Roman"/>
          <w:sz w:val="17"/>
          <w:szCs w:val="17"/>
          <w:color w:val="auto"/>
        </w:rPr>
      </w:pPr>
    </w:p>
    <w:p>
      <w:pPr>
        <w:ind w:left="1260" w:right="100" w:hanging="523"/>
        <w:spacing w:after="0" w:line="295"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on request, such further information regarding the financial condition, assets and operations of any member of the Group or an updated group structure chart as any Finance Party through the Agent may reasonably request;</w:t>
      </w:r>
    </w:p>
    <w:p>
      <w:pPr>
        <w:spacing w:after="0" w:line="55" w:lineRule="exact"/>
        <w:rPr>
          <w:rFonts w:ascii="Times New Roman" w:cs="Times New Roman" w:eastAsia="Times New Roman" w:hAnsi="Times New Roman"/>
          <w:sz w:val="17"/>
          <w:szCs w:val="17"/>
          <w:color w:val="auto"/>
        </w:rPr>
      </w:pPr>
    </w:p>
    <w:p>
      <w:pPr>
        <w:ind w:left="1260" w:right="200" w:hanging="523"/>
        <w:spacing w:after="0" w:line="276" w:lineRule="auto"/>
        <w:tabs>
          <w:tab w:leader="none" w:pos="126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on request (acting reasonably and to the extent being prepared), the most recent quarterly unaudited consolidated financial statements and/or audited annual financial statements (as the case may be) of Melco (and, in the case of such annual financial statements, audited by the Auditors) in each case to the extent that such financial statements are not publicly available; and</w:t>
      </w:r>
    </w:p>
    <w:p>
      <w:pPr>
        <w:spacing w:after="0" w:line="70" w:lineRule="exact"/>
        <w:rPr>
          <w:sz w:val="20"/>
          <w:szCs w:val="20"/>
          <w:color w:val="auto"/>
        </w:rPr>
      </w:pPr>
    </w:p>
    <w:p>
      <w:pPr>
        <w:ind w:left="1260" w:right="120" w:hanging="523"/>
        <w:spacing w:after="0" w:line="269" w:lineRule="auto"/>
        <w:tabs>
          <w:tab w:leader="none" w:pos="1260"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any incurrence of such Financial Indebtedness or the establishment of a facility for the incurrence of such Financial Indebtedness, subject to any confidentiality requirements of a Governmental Authority of the Macau SAR, details of any Financial Indebtedness incurred or any facility established in respect of Financial Indebtedness that may be incurred under paragraph (h) of the definition of “Permitted Group Financial Indebtedness”.</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133" w:lineRule="exact"/>
        <w:rPr>
          <w:sz w:val="20"/>
          <w:szCs w:val="20"/>
          <w:color w:val="auto"/>
        </w:rPr>
      </w:pPr>
    </w:p>
    <w:p>
      <w:pPr>
        <w:ind w:left="1260" w:right="40" w:hanging="523"/>
        <w:spacing w:after="0" w:line="295" w:lineRule="auto"/>
        <w:tabs>
          <w:tab w:leader="none" w:pos="126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the Agent of any Default (and the steps, if any, being taken to remedy it) promptly upon becoming aware of its occurrence.</w:t>
      </w:r>
    </w:p>
    <w:p>
      <w:pPr>
        <w:spacing w:after="0" w:line="55" w:lineRule="exact"/>
        <w:rPr>
          <w:rFonts w:ascii="Times New Roman" w:cs="Times New Roman" w:eastAsia="Times New Roman" w:hAnsi="Times New Roman"/>
          <w:sz w:val="17"/>
          <w:szCs w:val="17"/>
          <w:color w:val="auto"/>
        </w:rPr>
      </w:pPr>
    </w:p>
    <w:p>
      <w:pPr>
        <w:ind w:left="1260" w:right="80" w:hanging="523"/>
        <w:spacing w:after="0" w:line="276" w:lineRule="auto"/>
        <w:tabs>
          <w:tab w:leader="none" w:pos="126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a request by the Agent, the Company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70" w:lineRule="exact"/>
        <w:rPr>
          <w:rFonts w:ascii="Times New Roman" w:cs="Times New Roman" w:eastAsia="Times New Roman" w:hAnsi="Times New Roman"/>
          <w:sz w:val="17"/>
          <w:szCs w:val="17"/>
          <w:color w:val="auto"/>
        </w:rPr>
      </w:pPr>
    </w:p>
    <w:p>
      <w:pPr>
        <w:ind w:left="1260" w:right="560" w:hanging="523"/>
        <w:spacing w:after="0" w:line="295" w:lineRule="auto"/>
        <w:tabs>
          <w:tab w:leader="none" w:pos="126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the Agent of the occurrence promptly upon becoming aware thereof of an event of default (however described) under or in respect of any Bondco Indebtedness.</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85" w:name="page386"/>
    <w:bookmarkEnd w:id="385"/>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22.9</w:t>
      </w:r>
      <w:r>
        <w:rPr>
          <w:sz w:val="20"/>
          <w:szCs w:val="20"/>
          <w:color w:val="auto"/>
        </w:rPr>
        <w:tab/>
      </w:r>
      <w:r>
        <w:rPr>
          <w:rFonts w:ascii="Times New Roman" w:cs="Times New Roman" w:eastAsia="Times New Roman" w:hAnsi="Times New Roman"/>
          <w:sz w:val="17"/>
          <w:szCs w:val="17"/>
          <w:b w:val="1"/>
          <w:bCs w:val="1"/>
          <w:color w:val="auto"/>
        </w:rPr>
        <w:t>“Know your customer” checks</w:t>
      </w:r>
    </w:p>
    <w:p>
      <w:pPr>
        <w:spacing w:after="0" w:line="133" w:lineRule="exact"/>
        <w:rPr>
          <w:sz w:val="20"/>
          <w:szCs w:val="20"/>
          <w:color w:val="auto"/>
        </w:rPr>
      </w:pPr>
    </w:p>
    <w:p>
      <w:pPr>
        <w:ind w:left="1268" w:hanging="523"/>
        <w:spacing w:after="0"/>
        <w:tabs>
          <w:tab w:leader="none" w:pos="1268"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w:t>
      </w:r>
    </w:p>
    <w:p>
      <w:pPr>
        <w:spacing w:after="0" w:line="131" w:lineRule="exact"/>
        <w:rPr>
          <w:rFonts w:ascii="Times New Roman" w:cs="Times New Roman" w:eastAsia="Times New Roman" w:hAnsi="Times New Roman"/>
          <w:sz w:val="17"/>
          <w:szCs w:val="17"/>
          <w:color w:val="auto"/>
        </w:rPr>
      </w:pPr>
    </w:p>
    <w:p>
      <w:pPr>
        <w:ind w:left="1888" w:right="200" w:hanging="620"/>
        <w:spacing w:after="0" w:line="295" w:lineRule="auto"/>
        <w:tabs>
          <w:tab w:leader="none" w:pos="1888"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existing law or regulation or the introduction of or any change in (or in the interpretation, administration or application of) any law or regulation made after the date of this Agreement;</w:t>
      </w:r>
    </w:p>
    <w:p>
      <w:pPr>
        <w:spacing w:after="0" w:line="55" w:lineRule="exact"/>
        <w:rPr>
          <w:rFonts w:ascii="Times New Roman" w:cs="Times New Roman" w:eastAsia="Times New Roman" w:hAnsi="Times New Roman"/>
          <w:sz w:val="17"/>
          <w:szCs w:val="17"/>
          <w:color w:val="auto"/>
        </w:rPr>
      </w:pPr>
    </w:p>
    <w:p>
      <w:pPr>
        <w:ind w:left="1888" w:right="60" w:hanging="620"/>
        <w:spacing w:after="0" w:line="295" w:lineRule="auto"/>
        <w:tabs>
          <w:tab w:leader="none" w:pos="1888"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status of a member of the Group or the composition of the shareholders of a member of the Group after the date of this Agreement; or</w:t>
      </w:r>
    </w:p>
    <w:p>
      <w:pPr>
        <w:spacing w:after="0" w:line="55" w:lineRule="exact"/>
        <w:rPr>
          <w:rFonts w:ascii="Times New Roman" w:cs="Times New Roman" w:eastAsia="Times New Roman" w:hAnsi="Times New Roman"/>
          <w:sz w:val="17"/>
          <w:szCs w:val="17"/>
          <w:color w:val="auto"/>
        </w:rPr>
      </w:pPr>
    </w:p>
    <w:p>
      <w:pPr>
        <w:ind w:left="1888" w:right="480" w:hanging="620"/>
        <w:spacing w:after="0" w:line="295" w:lineRule="auto"/>
        <w:tabs>
          <w:tab w:leader="none" w:pos="1888"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proposed assignment or transfer by a Lender of any of its rights and/or obligations under this Agreement or any other Finance Document to a party that is not a Lender prior to such assignment or transfer,</w:t>
      </w:r>
    </w:p>
    <w:p>
      <w:pPr>
        <w:spacing w:after="0" w:line="42" w:lineRule="exact"/>
        <w:rPr>
          <w:sz w:val="20"/>
          <w:szCs w:val="20"/>
          <w:color w:val="auto"/>
        </w:rPr>
      </w:pPr>
    </w:p>
    <w:p>
      <w:pPr>
        <w:ind w:left="1288" w:right="80"/>
        <w:spacing w:after="0" w:line="262" w:lineRule="auto"/>
        <w:rPr>
          <w:sz w:val="20"/>
          <w:szCs w:val="20"/>
          <w:color w:val="auto"/>
        </w:rPr>
      </w:pPr>
      <w:r>
        <w:rPr>
          <w:rFonts w:ascii="Times New Roman" w:cs="Times New Roman" w:eastAsia="Times New Roman" w:hAnsi="Times New Roman"/>
          <w:sz w:val="17"/>
          <w:szCs w:val="17"/>
          <w:color w:val="auto"/>
        </w:rPr>
        <w:t>obliges the Agent or any Lender (or, in the case of paragraph (iii) above, any prospective new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83" w:lineRule="exact"/>
        <w:rPr>
          <w:sz w:val="20"/>
          <w:szCs w:val="20"/>
          <w:color w:val="auto"/>
        </w:rPr>
      </w:pPr>
    </w:p>
    <w:p>
      <w:pPr>
        <w:ind w:left="1268" w:right="60" w:hanging="523"/>
        <w:spacing w:after="0" w:line="269" w:lineRule="auto"/>
        <w:tabs>
          <w:tab w:leader="none" w:pos="1268" w:val="left"/>
        </w:tabs>
        <w:numPr>
          <w:ilvl w:val="1"/>
          <w:numId w:val="4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310"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covenants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Financial definitions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In this Agreement:</w:t>
      </w:r>
    </w:p>
    <w:p>
      <w:pPr>
        <w:spacing w:after="0" w:line="116"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Acceptable Government Securities</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1268" w:right="120" w:hanging="523"/>
        <w:spacing w:after="0" w:line="276" w:lineRule="auto"/>
        <w:tabs>
          <w:tab w:leader="none" w:pos="1268" w:val="left"/>
        </w:tabs>
        <w:numPr>
          <w:ilvl w:val="0"/>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 and</w:t>
      </w:r>
    </w:p>
    <w:p>
      <w:pPr>
        <w:spacing w:after="0" w:line="70" w:lineRule="exact"/>
        <w:rPr>
          <w:rFonts w:ascii="Times New Roman" w:cs="Times New Roman" w:eastAsia="Times New Roman" w:hAnsi="Times New Roman"/>
          <w:sz w:val="17"/>
          <w:szCs w:val="17"/>
          <w:color w:val="auto"/>
        </w:rPr>
      </w:pPr>
    </w:p>
    <w:p>
      <w:pPr>
        <w:ind w:left="1268" w:right="280" w:hanging="523"/>
        <w:spacing w:after="0" w:line="276" w:lineRule="auto"/>
        <w:tabs>
          <w:tab w:leader="none" w:pos="1268" w:val="left"/>
        </w:tabs>
        <w:numPr>
          <w:ilvl w:val="0"/>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5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Test Date</w:t>
      </w:r>
      <w:r>
        <w:rPr>
          <w:rFonts w:ascii="Times New Roman" w:cs="Times New Roman" w:eastAsia="Times New Roman" w:hAnsi="Times New Roman"/>
          <w:sz w:val="17"/>
          <w:szCs w:val="17"/>
          <w:color w:val="auto"/>
        </w:rPr>
        <w:t>” means each Test Date falling on or after the First Test Date.</w:t>
      </w:r>
    </w:p>
    <w:p>
      <w:pPr>
        <w:sectPr>
          <w:pgSz w:w="11900" w:h="16838" w:orient="portrait"/>
          <w:cols w:equalWidth="0" w:num="1">
            <w:col w:w="10668"/>
          </w:cols>
          <w:pgMar w:left="612" w:top="263" w:right="619" w:bottom="1440" w:gutter="0" w:footer="0" w:header="0"/>
        </w:sectPr>
      </w:pPr>
    </w:p>
    <w:p>
      <w:pPr>
        <w:spacing w:after="0" w:line="159"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948" w:space="720"/>
            <w:col w:w="3000"/>
          </w:cols>
          <w:pgMar w:left="612" w:top="263" w:right="619" w:bottom="1440" w:gutter="0" w:footer="0" w:header="0"/>
          <w:type w:val="continuous"/>
        </w:sectPr>
      </w:pPr>
    </w:p>
    <w:bookmarkStart w:id="386" w:name="page387"/>
    <w:bookmarkEnd w:id="386"/>
    <w:p>
      <w:pPr>
        <w:ind w:left="3" w:right="44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Borrowings</w:t>
      </w:r>
      <w:r>
        <w:rPr>
          <w:rFonts w:ascii="Times New Roman" w:cs="Times New Roman" w:eastAsia="Times New Roman" w:hAnsi="Times New Roman"/>
          <w:sz w:val="17"/>
          <w:szCs w:val="17"/>
          <w:color w:val="auto"/>
        </w:rPr>
        <w:t>” means, at any time, the outstanding principal, capital or nominal amount and any fixed or minimum premium payable on prepayment or redemption of any indebtedness for or in respect of:</w:t>
      </w:r>
    </w:p>
    <w:p>
      <w:pPr>
        <w:spacing w:after="0" w:line="52" w:lineRule="exact"/>
        <w:rPr>
          <w:sz w:val="20"/>
          <w:szCs w:val="20"/>
          <w:color w:val="auto"/>
        </w:rPr>
      </w:pPr>
    </w:p>
    <w:p>
      <w:pPr>
        <w:ind w:left="523" w:hanging="523"/>
        <w:spacing w:after="0"/>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moneys borrowed;</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by acceptance under any acceptance credit facility or dematerialised equivalent;</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pursuant to any note purchase facility or the issue of bonds, notes, debentures, loan stock or any similar instrument;</w:t>
      </w:r>
    </w:p>
    <w:p>
      <w:pPr>
        <w:spacing w:after="0" w:line="131" w:lineRule="exact"/>
        <w:rPr>
          <w:rFonts w:ascii="Times New Roman" w:cs="Times New Roman" w:eastAsia="Times New Roman" w:hAnsi="Times New Roman"/>
          <w:sz w:val="17"/>
          <w:szCs w:val="17"/>
          <w:color w:val="auto"/>
        </w:rPr>
      </w:pPr>
    </w:p>
    <w:p>
      <w:pPr>
        <w:ind w:left="523" w:right="400" w:hanging="523"/>
        <w:spacing w:after="0" w:line="295"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Capitalised Lease Obligations (and for the avoidance of doubt, any deposit paid to and retained by a member of the Group in connection with any lease of real property shall not fall within this paragraph (d));</w:t>
      </w:r>
    </w:p>
    <w:p>
      <w:pPr>
        <w:spacing w:after="0" w:line="55"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receivables sold or discounted (other than any receivables to the extent they are sold or discounted on a non-recourse basis (or where recourse is limited to customary warranties and indemnities));</w:t>
      </w:r>
    </w:p>
    <w:p>
      <w:pPr>
        <w:spacing w:after="0" w:line="55" w:lineRule="exact"/>
        <w:rPr>
          <w:rFonts w:ascii="Times New Roman" w:cs="Times New Roman" w:eastAsia="Times New Roman" w:hAnsi="Times New Roman"/>
          <w:sz w:val="17"/>
          <w:szCs w:val="17"/>
          <w:color w:val="auto"/>
        </w:rPr>
      </w:pPr>
    </w:p>
    <w:p>
      <w:pPr>
        <w:ind w:left="523" w:hanging="523"/>
        <w:spacing w:after="0" w:line="263"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counter-indemnity obligation in respect of a guarantee, bond, standby or documentary letter of credit or any other instrument issued by a bank or financial institution in respect of an underlying liability of an entity which is not a member of the Group which liability would fall within one of the other paragraphs of this definition, </w:t>
      </w:r>
      <w:r>
        <w:rPr>
          <w:rFonts w:ascii="Times New Roman" w:cs="Times New Roman" w:eastAsia="Times New Roman" w:hAnsi="Times New Roman"/>
          <w:sz w:val="17"/>
          <w:szCs w:val="17"/>
          <w:b w:val="1"/>
          <w:bCs w:val="1"/>
          <w:color w:val="auto"/>
        </w:rPr>
        <w:t>excluding</w:t>
      </w:r>
      <w:r>
        <w:rPr>
          <w:rFonts w:ascii="Times New Roman" w:cs="Times New Roman" w:eastAsia="Times New Roman" w:hAnsi="Times New Roman"/>
          <w:sz w:val="17"/>
          <w:szCs w:val="17"/>
          <w:color w:val="auto"/>
        </w:rPr>
        <w:t xml:space="preserve"> (i) any given in respect of (A) trade credit arising in the ordinary course of business or (B) any performance or similar bond guaranteeing performance by a member of the Group under any contract entered into in the ordinary course of trade; (ii) any documentary credit which is or is to the extent of being, cash collateralised and (iii) any contingent liability of a member of the Group under a Concession Guarantee Facility or any other bank guarantee or performance bond in each case that is required to be posted under the terms of the Land Concession or the Concession;</w:t>
      </w:r>
    </w:p>
    <w:p>
      <w:pPr>
        <w:spacing w:after="0" w:line="81" w:lineRule="exact"/>
        <w:rPr>
          <w:rFonts w:ascii="Times New Roman" w:cs="Times New Roman" w:eastAsia="Times New Roman" w:hAnsi="Times New Roman"/>
          <w:sz w:val="17"/>
          <w:szCs w:val="17"/>
          <w:color w:val="auto"/>
        </w:rPr>
      </w:pPr>
    </w:p>
    <w:p>
      <w:pPr>
        <w:ind w:left="523" w:right="140" w:hanging="523"/>
        <w:spacing w:after="0" w:line="295"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by the issue of redeemable shares which are redeemable (other than solely at the option of the issuer) on or before the Final Termination Date;</w:t>
      </w:r>
    </w:p>
    <w:p>
      <w:pPr>
        <w:spacing w:after="0" w:line="55" w:lineRule="exact"/>
        <w:rPr>
          <w:rFonts w:ascii="Times New Roman" w:cs="Times New Roman" w:eastAsia="Times New Roman" w:hAnsi="Times New Roman"/>
          <w:sz w:val="17"/>
          <w:szCs w:val="17"/>
          <w:color w:val="auto"/>
        </w:rPr>
      </w:pPr>
    </w:p>
    <w:p>
      <w:pPr>
        <w:jc w:val="both"/>
        <w:ind w:left="523" w:right="260" w:hanging="523"/>
        <w:spacing w:after="0" w:line="276"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of any liability under an advance or deferred purchase agreement if (i) one of the primary reasons behind the entry into the agreement is to raise finance or (ii) the agreement is in respect of the supply of assets or services and payment is due more than 180 days after the date of supply;</w:t>
      </w:r>
    </w:p>
    <w:p>
      <w:pPr>
        <w:spacing w:after="0" w:line="70" w:lineRule="exact"/>
        <w:rPr>
          <w:rFonts w:ascii="Times New Roman" w:cs="Times New Roman" w:eastAsia="Times New Roman" w:hAnsi="Times New Roman"/>
          <w:sz w:val="17"/>
          <w:szCs w:val="17"/>
          <w:color w:val="auto"/>
        </w:rPr>
      </w:pPr>
    </w:p>
    <w:p>
      <w:pPr>
        <w:ind w:left="523" w:right="500" w:hanging="523"/>
        <w:spacing w:after="0" w:line="295"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raised under any other transaction (including any forward sale or purchase, sale and sale back or sale and leaseback agreement) having the commercial effect of a borrowing; and</w:t>
      </w:r>
    </w:p>
    <w:p>
      <w:pPr>
        <w:spacing w:after="0" w:line="55" w:lineRule="exact"/>
        <w:rPr>
          <w:rFonts w:ascii="Times New Roman" w:cs="Times New Roman" w:eastAsia="Times New Roman" w:hAnsi="Times New Roman"/>
          <w:sz w:val="17"/>
          <w:szCs w:val="17"/>
          <w:color w:val="auto"/>
        </w:rPr>
      </w:pPr>
    </w:p>
    <w:p>
      <w:pPr>
        <w:ind w:left="523" w:right="480" w:hanging="523"/>
        <w:spacing w:after="0" w:line="295" w:lineRule="auto"/>
        <w:tabs>
          <w:tab w:leader="none" w:pos="523"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double counting) the amount of any liability in respect of any guarantee or indemnity for any of the items referred to in paragraphs (a) to (i) above,</w:t>
      </w:r>
    </w:p>
    <w:p>
      <w:pPr>
        <w:spacing w:after="0" w:line="42" w:lineRule="exact"/>
        <w:rPr>
          <w:sz w:val="20"/>
          <w:szCs w:val="20"/>
          <w:color w:val="auto"/>
        </w:rPr>
      </w:pPr>
    </w:p>
    <w:p>
      <w:pPr>
        <w:ind w:left="3" w:right="200"/>
        <w:spacing w:after="0" w:line="273" w:lineRule="auto"/>
        <w:rPr>
          <w:sz w:val="20"/>
          <w:szCs w:val="20"/>
          <w:color w:val="auto"/>
        </w:rPr>
      </w:pPr>
      <w:r>
        <w:rPr>
          <w:rFonts w:ascii="Times New Roman" w:cs="Times New Roman" w:eastAsia="Times New Roman" w:hAnsi="Times New Roman"/>
          <w:sz w:val="17"/>
          <w:szCs w:val="17"/>
          <w:color w:val="auto"/>
        </w:rPr>
        <w:t>excluding in each case (but only to the extent otherwise included) (I) any current trade receivables and payables arising between (x) on the one hand, members of the Group and (y) on the other, members of the Melco Group or Sponsor Group Shareholders, arising in the ordinary course of trading and (II) any Financial Indebtedness referred to in paragraph (h) of the definition of “Permitted Group Financial Indebtedness”.</w:t>
      </w:r>
    </w:p>
    <w:p>
      <w:pPr>
        <w:spacing w:after="0" w:line="272" w:lineRule="exact"/>
        <w:rPr>
          <w:sz w:val="20"/>
          <w:szCs w:val="20"/>
          <w:color w:val="auto"/>
        </w:rPr>
      </w:pPr>
    </w:p>
    <w:p>
      <w:pPr>
        <w:ind w:left="3" w:right="34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Capitalised Lease Obligations</w:t>
      </w:r>
      <w:r>
        <w:rPr>
          <w:rFonts w:ascii="Times New Roman" w:cs="Times New Roman" w:eastAsia="Times New Roman" w:hAnsi="Times New Roman"/>
          <w:sz w:val="17"/>
          <w:szCs w:val="17"/>
          <w:color w:val="auto"/>
        </w:rPr>
        <w:t>” means, with respect to any person, any obligation arising from leases or hire purchase contracts which, under GAAP would be required to be treated as a Finance Lease or otherwise capitalised in the (where applicable, audited) financial statements of that person, but only to the extent of that treatment and excluding (a) any obligation arising from an Excluded Lease, and</w:t>
      </w:r>
    </w:p>
    <w:p>
      <w:pPr>
        <w:spacing w:after="0" w:line="2" w:lineRule="exact"/>
        <w:rPr>
          <w:sz w:val="20"/>
          <w:szCs w:val="20"/>
          <w:color w:val="auto"/>
        </w:rPr>
      </w:pPr>
    </w:p>
    <w:p>
      <w:pPr>
        <w:ind w:left="3" w:right="140" w:hanging="2"/>
        <w:spacing w:after="0" w:line="273" w:lineRule="auto"/>
        <w:tabs>
          <w:tab w:leader="none" w:pos="250"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given by a Group Member in the ordinary course of business solely in connection with, or in respect of, any obligations of any other Group Member referred to in (a).</w:t>
      </w:r>
    </w:p>
    <w:p>
      <w:pPr>
        <w:spacing w:after="0" w:line="99"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87" w:name="page388"/>
    <w:bookmarkEnd w:id="387"/>
    <w:p>
      <w:pPr>
        <w:ind w:left="3" w:right="6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means, at any time, cash at bank credited to an account in the name of a member of the Group with an Acceptable Bank and to which a member of the Group is alone beneficially entitled and for so long as:</w:t>
      </w:r>
    </w:p>
    <w:p>
      <w:pPr>
        <w:spacing w:after="0" w:line="52" w:lineRule="exact"/>
        <w:rPr>
          <w:sz w:val="20"/>
          <w:szCs w:val="20"/>
          <w:color w:val="auto"/>
        </w:rPr>
      </w:pPr>
    </w:p>
    <w:p>
      <w:pPr>
        <w:ind w:left="523" w:hanging="523"/>
        <w:spacing w:after="0"/>
        <w:tabs>
          <w:tab w:leader="none" w:pos="523"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cash is repayable within 30 days of demand;</w:t>
      </w:r>
    </w:p>
    <w:p>
      <w:pPr>
        <w:spacing w:after="0" w:line="131" w:lineRule="exact"/>
        <w:rPr>
          <w:rFonts w:ascii="Times New Roman" w:cs="Times New Roman" w:eastAsia="Times New Roman" w:hAnsi="Times New Roman"/>
          <w:sz w:val="17"/>
          <w:szCs w:val="17"/>
          <w:color w:val="auto"/>
        </w:rPr>
      </w:pPr>
    </w:p>
    <w:p>
      <w:pPr>
        <w:ind w:left="523" w:right="120" w:hanging="523"/>
        <w:spacing w:after="0" w:line="295" w:lineRule="auto"/>
        <w:tabs>
          <w:tab w:leader="none" w:pos="523"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 of that cash is not contingent on the prior discharge of any other indebtedness of any member of the Group or of any other person whatsoever or on the satisfaction of any other condition;</w:t>
      </w:r>
    </w:p>
    <w:p>
      <w:pPr>
        <w:spacing w:after="0" w:line="55" w:lineRule="exact"/>
        <w:rPr>
          <w:rFonts w:ascii="Times New Roman" w:cs="Times New Roman" w:eastAsia="Times New Roman" w:hAnsi="Times New Roman"/>
          <w:sz w:val="17"/>
          <w:szCs w:val="17"/>
          <w:color w:val="auto"/>
        </w:rPr>
      </w:pPr>
    </w:p>
    <w:p>
      <w:pPr>
        <w:ind w:left="523" w:right="680" w:hanging="523"/>
        <w:spacing w:after="0" w:line="295" w:lineRule="auto"/>
        <w:tabs>
          <w:tab w:leader="none" w:pos="523"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Security over that cash, except Permitted Security falling under any of paragraph (a), (c) or (d) of the definition of “Permitted Security”; and</w:t>
      </w:r>
    </w:p>
    <w:p>
      <w:pPr>
        <w:spacing w:after="0" w:line="55" w:lineRule="exact"/>
        <w:rPr>
          <w:rFonts w:ascii="Times New Roman" w:cs="Times New Roman" w:eastAsia="Times New Roman" w:hAnsi="Times New Roman"/>
          <w:sz w:val="17"/>
          <w:szCs w:val="17"/>
          <w:color w:val="auto"/>
        </w:rPr>
      </w:pPr>
    </w:p>
    <w:p>
      <w:pPr>
        <w:ind w:left="523" w:right="180" w:hanging="523"/>
        <w:spacing w:after="0" w:line="295" w:lineRule="auto"/>
        <w:tabs>
          <w:tab w:leader="none" w:pos="523"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(a) above, such cash is otherwise freely and immediately available to be applied in repayment or prepayment of the Facilities.</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 Investments</w:t>
      </w:r>
      <w:r>
        <w:rPr>
          <w:rFonts w:ascii="Times New Roman" w:cs="Times New Roman" w:eastAsia="Times New Roman" w:hAnsi="Times New Roman"/>
          <w:sz w:val="17"/>
          <w:szCs w:val="17"/>
          <w:color w:val="auto"/>
        </w:rPr>
        <w:t>” means at any time:</w:t>
      </w:r>
    </w:p>
    <w:p>
      <w:pPr>
        <w:spacing w:after="0" w:line="133" w:lineRule="exact"/>
        <w:rPr>
          <w:sz w:val="20"/>
          <w:szCs w:val="20"/>
          <w:color w:val="auto"/>
        </w:rPr>
      </w:pPr>
    </w:p>
    <w:p>
      <w:pPr>
        <w:ind w:left="523" w:hanging="523"/>
        <w:spacing w:after="0"/>
        <w:tabs>
          <w:tab w:leader="none" w:pos="523"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maturing within one year after the relevant date of calculation and issued by an Acceptable Bank;</w:t>
      </w:r>
    </w:p>
    <w:p>
      <w:pPr>
        <w:spacing w:after="0" w:line="131" w:lineRule="exact"/>
        <w:rPr>
          <w:rFonts w:ascii="Times New Roman" w:cs="Times New Roman" w:eastAsia="Times New Roman" w:hAnsi="Times New Roman"/>
          <w:sz w:val="17"/>
          <w:szCs w:val="17"/>
          <w:color w:val="auto"/>
        </w:rPr>
      </w:pPr>
    </w:p>
    <w:p>
      <w:pPr>
        <w:ind w:left="523" w:right="20" w:hanging="523"/>
        <w:spacing w:after="0" w:line="269" w:lineRule="auto"/>
        <w:tabs>
          <w:tab w:leader="none" w:pos="523"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investment in marketable debt obligations issued or guaranteed by the government of any country or by an instrumentality or agency of any of them having an equivalent credit rating of either A-1 or higher by Standard &amp; Poor’s Rating Services or Fitch Ratings Ltd or P-1 or higher by Moody’s Investor Services Limited, maturing within one year after the relevant date of calculation and not convertible or exchangeable to any other security;</w:t>
      </w:r>
    </w:p>
    <w:p>
      <w:pPr>
        <w:spacing w:after="0" w:line="77"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paper not convertible or exchangeable to any other security:</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a recognised trading market exists;</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by an issuer incorporated in the United States of America;</w:t>
      </w:r>
    </w:p>
    <w:p>
      <w:pPr>
        <w:spacing w:after="0" w:line="131"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matures within one year after the relevant date of calculation; and</w:t>
      </w:r>
    </w:p>
    <w:p>
      <w:pPr>
        <w:spacing w:after="0" w:line="131" w:lineRule="exact"/>
        <w:rPr>
          <w:rFonts w:ascii="Times New Roman" w:cs="Times New Roman" w:eastAsia="Times New Roman" w:hAnsi="Times New Roman"/>
          <w:sz w:val="17"/>
          <w:szCs w:val="17"/>
          <w:color w:val="auto"/>
        </w:rPr>
      </w:pPr>
    </w:p>
    <w:p>
      <w:pPr>
        <w:ind w:left="1143" w:right="140" w:hanging="620"/>
        <w:spacing w:after="0" w:line="276" w:lineRule="auto"/>
        <w:tabs>
          <w:tab w:leader="none" w:pos="1143"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has a credit rating of either A-2 or higher by Standard &amp; Poor’s Rating Services or Fitch Ratings Ltd or P-2 or higher by Moody’s Investor Services Limited, or, if no rating is available in respect of the commercial paper, the issuer of which has, in respect of its long-term unsecured and non-credit enhanced debt obligations, an equivalent rating;</w:t>
      </w:r>
    </w:p>
    <w:p>
      <w:pPr>
        <w:spacing w:after="0" w:line="70" w:lineRule="exact"/>
        <w:rPr>
          <w:rFonts w:ascii="Times New Roman" w:cs="Times New Roman" w:eastAsia="Times New Roman" w:hAnsi="Times New Roman"/>
          <w:sz w:val="17"/>
          <w:szCs w:val="17"/>
          <w:color w:val="auto"/>
        </w:rPr>
      </w:pPr>
    </w:p>
    <w:p>
      <w:pPr>
        <w:ind w:left="523" w:right="120" w:hanging="523"/>
        <w:spacing w:after="0" w:line="276" w:lineRule="auto"/>
        <w:tabs>
          <w:tab w:leader="none" w:pos="523"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investment accessible within 30 days in money market funds which have a credit rating of either A-2 or higher by Standard &amp; Poor’s Rating Services or Fitch Ratings Ltd or P-2 or higher by Moody’s Investor Services Limited and which invest substantially all their assets in securities of the types described in paragraphs (a) to (c) above;</w:t>
      </w:r>
    </w:p>
    <w:p>
      <w:pPr>
        <w:spacing w:after="0" w:line="70" w:lineRule="exact"/>
        <w:rPr>
          <w:rFonts w:ascii="Times New Roman" w:cs="Times New Roman" w:eastAsia="Times New Roman" w:hAnsi="Times New Roman"/>
          <w:sz w:val="17"/>
          <w:szCs w:val="17"/>
          <w:color w:val="auto"/>
        </w:rPr>
      </w:pPr>
    </w:p>
    <w:p>
      <w:pPr>
        <w:ind w:left="523" w:right="60" w:hanging="523"/>
        <w:spacing w:after="0" w:line="276" w:lineRule="auto"/>
        <w:tabs>
          <w:tab w:leader="none" w:pos="523"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interest-bearing demand or time deposits (which may be represented by certificates of deposit) issued by Acceptable Banks or, if not issued by Acceptable Banks, secured at all times, in the manner and to the extent provided by law, by collateral security in Acceptable Government Securities, of a market value of no less than the amount of monies so invested;</w:t>
      </w:r>
    </w:p>
    <w:p>
      <w:pPr>
        <w:spacing w:after="0" w:line="97"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2" w:right="619" w:bottom="1440" w:gutter="0" w:footer="0" w:header="0"/>
        </w:sectPr>
      </w:pPr>
    </w:p>
    <w:bookmarkStart w:id="388" w:name="page389"/>
    <w:bookmarkEnd w:id="388"/>
    <w:p>
      <w:pPr>
        <w:ind w:left="523" w:right="360" w:hanging="523"/>
        <w:spacing w:after="0" w:line="295" w:lineRule="auto"/>
        <w:tabs>
          <w:tab w:leader="none" w:pos="523"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repurchase obligations with a term of not more than seven (7) days for underlying Acceptable Government Securities entered into with any financial institution meeting the qualifications specified in paragraph (e) above; or</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debt security approved by the Majority Lenders for this purpose,</w:t>
      </w:r>
    </w:p>
    <w:p>
      <w:pPr>
        <w:spacing w:after="0" w:line="118" w:lineRule="exact"/>
        <w:rPr>
          <w:sz w:val="20"/>
          <w:szCs w:val="20"/>
          <w:color w:val="auto"/>
        </w:rPr>
      </w:pPr>
    </w:p>
    <w:p>
      <w:pPr>
        <w:ind w:left="3" w:right="140"/>
        <w:spacing w:after="0" w:line="276" w:lineRule="auto"/>
        <w:rPr>
          <w:sz w:val="20"/>
          <w:szCs w:val="20"/>
          <w:color w:val="auto"/>
        </w:rPr>
      </w:pPr>
      <w:r>
        <w:rPr>
          <w:rFonts w:ascii="Times New Roman" w:cs="Times New Roman" w:eastAsia="Times New Roman" w:hAnsi="Times New Roman"/>
          <w:sz w:val="17"/>
          <w:szCs w:val="17"/>
          <w:color w:val="auto"/>
        </w:rPr>
        <w:t>in each case, to which any member of the Group is beneficially entitled at that time and which is not issued or guaranteed by any member of the Group or subject to any Security (other than Permitted Security falling under any of paragraph (a), (c) or (d) of the definition of “Permitted Security”).</w:t>
      </w:r>
    </w:p>
    <w:p>
      <w:pPr>
        <w:spacing w:after="0" w:line="55" w:lineRule="exact"/>
        <w:rPr>
          <w:sz w:val="20"/>
          <w:szCs w:val="20"/>
          <w:color w:val="auto"/>
        </w:rPr>
      </w:pPr>
    </w:p>
    <w:p>
      <w:pPr>
        <w:ind w:left="3" w:right="1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EBITDA</w:t>
      </w:r>
      <w:r>
        <w:rPr>
          <w:rFonts w:ascii="Times New Roman" w:cs="Times New Roman" w:eastAsia="Times New Roman" w:hAnsi="Times New Roman"/>
          <w:sz w:val="17"/>
          <w:szCs w:val="17"/>
          <w:color w:val="auto"/>
        </w:rPr>
        <w:t>” means, for any Relevant Period, the consolidated profits of the Group from ordinary activities before taxation for that Relevant Period:</w:t>
      </w:r>
    </w:p>
    <w:p>
      <w:pPr>
        <w:spacing w:after="0" w:line="50" w:lineRule="exact"/>
        <w:rPr>
          <w:sz w:val="20"/>
          <w:szCs w:val="20"/>
          <w:color w:val="auto"/>
        </w:rPr>
      </w:pPr>
    </w:p>
    <w:p>
      <w:pPr>
        <w:ind w:left="523" w:hanging="523"/>
        <w:spacing w:after="0"/>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deducting </w:t>
      </w:r>
      <w:r>
        <w:rPr>
          <w:rFonts w:ascii="Times New Roman" w:cs="Times New Roman" w:eastAsia="Times New Roman" w:hAnsi="Times New Roman"/>
          <w:sz w:val="17"/>
          <w:szCs w:val="17"/>
          <w:color w:val="auto"/>
        </w:rPr>
        <w:t>any income Tax expense (whether or not paid during that period) other than Tax on gross gaming revenue;</w:t>
      </w:r>
    </w:p>
    <w:p>
      <w:pPr>
        <w:spacing w:after="0" w:line="131" w:lineRule="exact"/>
        <w:rPr>
          <w:rFonts w:ascii="Times New Roman" w:cs="Times New Roman" w:eastAsia="Times New Roman" w:hAnsi="Times New Roman"/>
          <w:sz w:val="17"/>
          <w:szCs w:val="17"/>
          <w:color w:val="auto"/>
        </w:rPr>
      </w:pPr>
    </w:p>
    <w:p>
      <w:pPr>
        <w:ind w:left="523" w:right="40" w:hanging="523"/>
        <w:spacing w:after="0" w:line="298"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deducting </w:t>
      </w:r>
      <w:r>
        <w:rPr>
          <w:rFonts w:ascii="Times New Roman" w:cs="Times New Roman" w:eastAsia="Times New Roman" w:hAnsi="Times New Roman"/>
          <w:sz w:val="17"/>
          <w:szCs w:val="17"/>
          <w:color w:val="auto"/>
        </w:rPr>
        <w:t>any Consolidated Net Finance Charges (which, for the purposes of this paragraph (b) only, shall include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amount of any accrued interest or any other finance charges payable under any Sponsor Group Loan or Subordinated Debt);</w:t>
      </w:r>
    </w:p>
    <w:p>
      <w:pPr>
        <w:spacing w:after="0" w:line="5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taking into account </w:t>
      </w:r>
      <w:r>
        <w:rPr>
          <w:rFonts w:ascii="Times New Roman" w:cs="Times New Roman" w:eastAsia="Times New Roman" w:hAnsi="Times New Roman"/>
          <w:sz w:val="17"/>
          <w:szCs w:val="17"/>
          <w:color w:val="auto"/>
        </w:rPr>
        <w:t>any accrued interest owing to any member of the Group;</w:t>
      </w:r>
    </w:p>
    <w:p>
      <w:pPr>
        <w:spacing w:after="0" w:line="131"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taking into account </w:t>
      </w:r>
      <w:r>
        <w:rPr>
          <w:rFonts w:ascii="Times New Roman" w:cs="Times New Roman" w:eastAsia="Times New Roman" w:hAnsi="Times New Roman"/>
          <w:sz w:val="17"/>
          <w:szCs w:val="17"/>
          <w:color w:val="auto"/>
        </w:rPr>
        <w:t>any gains, losses or charges associated with hedges, options or other derivative instruments;</w:t>
      </w:r>
    </w:p>
    <w:p>
      <w:pPr>
        <w:spacing w:after="0" w:line="131" w:lineRule="exact"/>
        <w:rPr>
          <w:rFonts w:ascii="Times New Roman" w:cs="Times New Roman" w:eastAsia="Times New Roman" w:hAnsi="Times New Roman"/>
          <w:sz w:val="17"/>
          <w:szCs w:val="17"/>
          <w:color w:val="auto"/>
        </w:rPr>
      </w:pPr>
    </w:p>
    <w:p>
      <w:pPr>
        <w:ind w:left="523" w:right="460" w:hanging="523"/>
        <w:spacing w:after="0" w:line="298"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deducting </w:t>
      </w:r>
      <w:r>
        <w:rPr>
          <w:rFonts w:ascii="Times New Roman" w:cs="Times New Roman" w:eastAsia="Times New Roman" w:hAnsi="Times New Roman"/>
          <w:sz w:val="17"/>
          <w:szCs w:val="17"/>
          <w:color w:val="auto"/>
        </w:rPr>
        <w:t>any amount attributable to the amortisation of goodwill or other intangible assets or debt issuance costs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depreciation of tangible assets;</w:t>
      </w:r>
    </w:p>
    <w:p>
      <w:pPr>
        <w:spacing w:after="0" w:line="50" w:lineRule="exact"/>
        <w:rPr>
          <w:rFonts w:ascii="Times New Roman" w:cs="Times New Roman" w:eastAsia="Times New Roman" w:hAnsi="Times New Roman"/>
          <w:sz w:val="17"/>
          <w:szCs w:val="17"/>
          <w:color w:val="auto"/>
        </w:rPr>
      </w:pPr>
    </w:p>
    <w:p>
      <w:pPr>
        <w:ind w:left="523" w:right="220" w:hanging="523"/>
        <w:spacing w:after="0" w:line="298"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taking into account </w:t>
      </w:r>
      <w:r>
        <w:rPr>
          <w:rFonts w:ascii="Times New Roman" w:cs="Times New Roman" w:eastAsia="Times New Roman" w:hAnsi="Times New Roman"/>
          <w:sz w:val="17"/>
          <w:szCs w:val="17"/>
          <w:color w:val="auto"/>
        </w:rPr>
        <w:t>any items treated as Exceptional Items or extraordinary items (including the amount of any gain or loss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from the disposal of any interest in an Excluded Subsidiary);</w:t>
      </w:r>
    </w:p>
    <w:p>
      <w:pPr>
        <w:spacing w:after="0" w:line="50" w:lineRule="exact"/>
        <w:rPr>
          <w:rFonts w:ascii="Times New Roman" w:cs="Times New Roman" w:eastAsia="Times New Roman" w:hAnsi="Times New Roman"/>
          <w:sz w:val="17"/>
          <w:szCs w:val="17"/>
          <w:color w:val="auto"/>
        </w:rPr>
      </w:pPr>
    </w:p>
    <w:p>
      <w:pPr>
        <w:ind w:left="523" w:right="40" w:hanging="523"/>
        <w:spacing w:after="0" w:line="298"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after deducting </w:t>
      </w:r>
      <w:r>
        <w:rPr>
          <w:rFonts w:ascii="Times New Roman" w:cs="Times New Roman" w:eastAsia="Times New Roman" w:hAnsi="Times New Roman"/>
          <w:sz w:val="17"/>
          <w:szCs w:val="17"/>
          <w:color w:val="auto"/>
        </w:rPr>
        <w:t>the amount of any profit (or adding back the amount of any loss) of any member of the Group which is attributable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minority interests;</w:t>
      </w:r>
    </w:p>
    <w:p>
      <w:pPr>
        <w:spacing w:after="0" w:line="50" w:lineRule="exact"/>
        <w:rPr>
          <w:rFonts w:ascii="Times New Roman" w:cs="Times New Roman" w:eastAsia="Times New Roman" w:hAnsi="Times New Roman"/>
          <w:sz w:val="17"/>
          <w:szCs w:val="17"/>
          <w:color w:val="auto"/>
        </w:rPr>
      </w:pPr>
    </w:p>
    <w:p>
      <w:pPr>
        <w:ind w:left="523" w:right="120" w:hanging="523"/>
        <w:spacing w:after="0" w:line="270"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after deducting </w:t>
      </w:r>
      <w:r>
        <w:rPr>
          <w:rFonts w:ascii="Times New Roman" w:cs="Times New Roman" w:eastAsia="Times New Roman" w:hAnsi="Times New Roman"/>
          <w:sz w:val="17"/>
          <w:szCs w:val="17"/>
          <w:color w:val="auto"/>
        </w:rPr>
        <w:t>the amount of any profit of any investment or entity (which is not itself a member of the Group) in which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of the Group has an ownership interest to the extent that the amount of such profit included in the financial statements of the Group exceeds the amount (net of applicable withholding tax) received in cash by members of the Group through distributions by such investment or entity;</w:t>
      </w:r>
    </w:p>
    <w:p>
      <w:pPr>
        <w:spacing w:after="0" w:line="74" w:lineRule="exact"/>
        <w:rPr>
          <w:rFonts w:ascii="Times New Roman" w:cs="Times New Roman" w:eastAsia="Times New Roman" w:hAnsi="Times New Roman"/>
          <w:sz w:val="17"/>
          <w:szCs w:val="17"/>
          <w:color w:val="auto"/>
        </w:rPr>
      </w:pPr>
    </w:p>
    <w:p>
      <w:pPr>
        <w:ind w:left="523" w:right="180" w:hanging="523"/>
        <w:spacing w:after="0" w:line="298" w:lineRule="auto"/>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taking into account </w:t>
      </w:r>
      <w:r>
        <w:rPr>
          <w:rFonts w:ascii="Times New Roman" w:cs="Times New Roman" w:eastAsia="Times New Roman" w:hAnsi="Times New Roman"/>
          <w:sz w:val="17"/>
          <w:szCs w:val="17"/>
          <w:color w:val="auto"/>
        </w:rPr>
        <w:t>any realised and unrealised exchange gains and losses including those arising on translation of currency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debt; and</w:t>
      </w:r>
    </w:p>
    <w:p>
      <w:pPr>
        <w:spacing w:after="0" w:line="5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before taking into account </w:t>
      </w:r>
      <w:r>
        <w:rPr>
          <w:rFonts w:ascii="Times New Roman" w:cs="Times New Roman" w:eastAsia="Times New Roman" w:hAnsi="Times New Roman"/>
          <w:sz w:val="17"/>
          <w:szCs w:val="17"/>
          <w:color w:val="auto"/>
        </w:rPr>
        <w:t>any gain or loss arising from an upward or downward revaluation of any asset,</w:t>
      </w:r>
    </w:p>
    <w:p>
      <w:pPr>
        <w:spacing w:after="0" w:line="120" w:lineRule="exact"/>
        <w:rPr>
          <w:sz w:val="20"/>
          <w:szCs w:val="20"/>
          <w:color w:val="auto"/>
        </w:rPr>
      </w:pPr>
    </w:p>
    <w:p>
      <w:pPr>
        <w:ind w:left="3" w:right="80"/>
        <w:spacing w:after="0" w:line="269" w:lineRule="auto"/>
        <w:rPr>
          <w:sz w:val="20"/>
          <w:szCs w:val="20"/>
          <w:color w:val="auto"/>
        </w:rPr>
      </w:pPr>
      <w:r>
        <w:rPr>
          <w:rFonts w:ascii="Times New Roman" w:cs="Times New Roman" w:eastAsia="Times New Roman" w:hAnsi="Times New Roman"/>
          <w:sz w:val="17"/>
          <w:szCs w:val="17"/>
          <w:color w:val="auto"/>
        </w:rPr>
        <w:t>in each case, (A) without double counting to the extent added, deducted or taken into account, as the case may be, for the purposes of determining profits of the Group from ordinary activities before taxation and (B) without taking into account the amount of any profit or loss (but only, in each case, to the extent otherwise taken into account) of any member of the Group which is attributable to any Excluded Project, any Excluded Project Revenues or its interest in any Excluded Subsidiary.</w:t>
      </w:r>
    </w:p>
    <w:p>
      <w:pPr>
        <w:spacing w:after="0" w:line="104" w:lineRule="exact"/>
        <w:rPr>
          <w:sz w:val="20"/>
          <w:szCs w:val="20"/>
          <w:color w:val="auto"/>
        </w:rPr>
      </w:pPr>
    </w:p>
    <w:tbl>
      <w:tblPr>
        <w:tblLayout w:type="fixed"/>
        <w:tblInd w:w="4503"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389" w:name="page390"/>
    <w:bookmarkEnd w:id="389"/>
    <w:p>
      <w:pPr>
        <w:ind w:left="3" w:right="2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Consolidated Net Finance Charges</w:t>
      </w:r>
      <w:r>
        <w:rPr>
          <w:rFonts w:ascii="Times New Roman" w:cs="Times New Roman" w:eastAsia="Times New Roman" w:hAnsi="Times New Roman"/>
          <w:sz w:val="17"/>
          <w:szCs w:val="17"/>
          <w:color w:val="auto"/>
        </w:rPr>
        <w:t>” means, for any Relevant Period, the aggregate amount of the accrued interest, commission, fees, discounts, prepayment penalties or premiums and other finance payments in respect of Borrowings whether paid, payable or capitalised by any member of the Group in respect of that Relevant Period:</w:t>
      </w:r>
    </w:p>
    <w:p>
      <w:pPr>
        <w:spacing w:after="0" w:line="68" w:lineRule="exact"/>
        <w:rPr>
          <w:sz w:val="20"/>
          <w:szCs w:val="20"/>
          <w:color w:val="auto"/>
        </w:rPr>
      </w:pPr>
    </w:p>
    <w:p>
      <w:pPr>
        <w:ind w:left="523" w:hanging="523"/>
        <w:spacing w:after="0"/>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excluding </w:t>
      </w:r>
      <w:r>
        <w:rPr>
          <w:rFonts w:ascii="Times New Roman" w:cs="Times New Roman" w:eastAsia="Times New Roman" w:hAnsi="Times New Roman"/>
          <w:sz w:val="17"/>
          <w:szCs w:val="17"/>
          <w:color w:val="auto"/>
        </w:rPr>
        <w:t>any such obligations owed to any other member of the Group;</w:t>
      </w:r>
    </w:p>
    <w:p>
      <w:pPr>
        <w:spacing w:after="0" w:line="131" w:lineRule="exact"/>
        <w:rPr>
          <w:rFonts w:ascii="Times New Roman" w:cs="Times New Roman" w:eastAsia="Times New Roman" w:hAnsi="Times New Roman"/>
          <w:sz w:val="17"/>
          <w:szCs w:val="17"/>
          <w:color w:val="auto"/>
        </w:rPr>
      </w:pPr>
    </w:p>
    <w:p>
      <w:pPr>
        <w:ind w:left="523" w:right="20" w:hanging="523"/>
        <w:spacing w:after="0" w:line="277" w:lineRule="auto"/>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including </w:t>
      </w:r>
      <w:r>
        <w:rPr>
          <w:rFonts w:ascii="Times New Roman" w:cs="Times New Roman" w:eastAsia="Times New Roman" w:hAnsi="Times New Roman"/>
          <w:sz w:val="17"/>
          <w:szCs w:val="17"/>
          <w:color w:val="auto"/>
        </w:rPr>
        <w:t>the interest element of leasing and hire purchase payments in respect of Finance Leases (but, for the avoidance of doubt,</w:t>
      </w:r>
      <w:r>
        <w:rPr>
          <w:rFonts w:ascii="Times New Roman" w:cs="Times New Roman" w:eastAsia="Times New Roman" w:hAnsi="Times New Roman"/>
          <w:sz w:val="17"/>
          <w:szCs w:val="17"/>
          <w:b w:val="1"/>
          <w:bCs w:val="1"/>
          <w:color w:val="auto"/>
        </w:rPr>
        <w:t xml:space="preserve"> excluding </w:t>
      </w:r>
      <w:r>
        <w:rPr>
          <w:rFonts w:ascii="Times New Roman" w:cs="Times New Roman" w:eastAsia="Times New Roman" w:hAnsi="Times New Roman"/>
          <w:sz w:val="17"/>
          <w:szCs w:val="17"/>
          <w:color w:val="auto"/>
        </w:rPr>
        <w:t>any rental payments in respect of any operating lease or leases which, in accordance with GAAP, are treated as an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or in respect of any Excluded Leases);</w:t>
      </w:r>
    </w:p>
    <w:p>
      <w:pPr>
        <w:spacing w:after="0" w:line="68" w:lineRule="exact"/>
        <w:rPr>
          <w:rFonts w:ascii="Times New Roman" w:cs="Times New Roman" w:eastAsia="Times New Roman" w:hAnsi="Times New Roman"/>
          <w:sz w:val="17"/>
          <w:szCs w:val="17"/>
          <w:color w:val="auto"/>
        </w:rPr>
      </w:pPr>
    </w:p>
    <w:p>
      <w:pPr>
        <w:ind w:left="523" w:hanging="523"/>
        <w:spacing w:after="0" w:line="298" w:lineRule="auto"/>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including </w:t>
      </w:r>
      <w:r>
        <w:rPr>
          <w:rFonts w:ascii="Times New Roman" w:cs="Times New Roman" w:eastAsia="Times New Roman" w:hAnsi="Times New Roman"/>
          <w:sz w:val="17"/>
          <w:szCs w:val="17"/>
          <w:color w:val="auto"/>
        </w:rPr>
        <w:t>any accrued commission, fees, discounts and other finance payments payable by any member of the Group to counterparties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any interest rate or other hedging arrangement;</w:t>
      </w:r>
    </w:p>
    <w:p>
      <w:pPr>
        <w:spacing w:after="0" w:line="50" w:lineRule="exact"/>
        <w:rPr>
          <w:rFonts w:ascii="Times New Roman" w:cs="Times New Roman" w:eastAsia="Times New Roman" w:hAnsi="Times New Roman"/>
          <w:sz w:val="17"/>
          <w:szCs w:val="17"/>
          <w:color w:val="auto"/>
        </w:rPr>
      </w:pPr>
    </w:p>
    <w:p>
      <w:pPr>
        <w:ind w:left="523" w:right="40" w:hanging="523"/>
        <w:spacing w:after="0" w:line="298" w:lineRule="auto"/>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deducting </w:t>
      </w:r>
      <w:r>
        <w:rPr>
          <w:rFonts w:ascii="Times New Roman" w:cs="Times New Roman" w:eastAsia="Times New Roman" w:hAnsi="Times New Roman"/>
          <w:sz w:val="17"/>
          <w:szCs w:val="17"/>
          <w:color w:val="auto"/>
        </w:rPr>
        <w:t>any accrued commission, fees, discounts and other finance payments owing to any member of the Group under any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rate or other hedging arrangement;</w:t>
      </w:r>
    </w:p>
    <w:p>
      <w:pPr>
        <w:spacing w:after="0" w:line="5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deducting </w:t>
      </w:r>
      <w:r>
        <w:rPr>
          <w:rFonts w:ascii="Times New Roman" w:cs="Times New Roman" w:eastAsia="Times New Roman" w:hAnsi="Times New Roman"/>
          <w:sz w:val="17"/>
          <w:szCs w:val="17"/>
          <w:color w:val="auto"/>
        </w:rPr>
        <w:t>any accrued interest owing to any member of the Group on any Cash or Cash Equivalent Investments;</w:t>
      </w:r>
    </w:p>
    <w:p>
      <w:pPr>
        <w:spacing w:after="0" w:line="131" w:lineRule="exact"/>
        <w:rPr>
          <w:rFonts w:ascii="Times New Roman" w:cs="Times New Roman" w:eastAsia="Times New Roman" w:hAnsi="Times New Roman"/>
          <w:sz w:val="17"/>
          <w:szCs w:val="17"/>
          <w:color w:val="auto"/>
        </w:rPr>
      </w:pPr>
    </w:p>
    <w:p>
      <w:pPr>
        <w:ind w:left="523" w:right="220" w:hanging="523"/>
        <w:spacing w:after="0" w:line="298" w:lineRule="auto"/>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excluding </w:t>
      </w:r>
      <w:r>
        <w:rPr>
          <w:rFonts w:ascii="Times New Roman" w:cs="Times New Roman" w:eastAsia="Times New Roman" w:hAnsi="Times New Roman"/>
          <w:sz w:val="17"/>
          <w:szCs w:val="17"/>
          <w:color w:val="auto"/>
        </w:rPr>
        <w:t>any interest or other finance payments (capitalised or otherwise) in respect of any Sponsor Group Loans or Subordinated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Debt; and</w:t>
      </w:r>
    </w:p>
    <w:p>
      <w:pPr>
        <w:spacing w:after="0" w:line="5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excluding </w:t>
      </w:r>
      <w:r>
        <w:rPr>
          <w:rFonts w:ascii="Times New Roman" w:cs="Times New Roman" w:eastAsia="Times New Roman" w:hAnsi="Times New Roman"/>
          <w:sz w:val="17"/>
          <w:szCs w:val="17"/>
          <w:color w:val="auto"/>
        </w:rPr>
        <w:t>any accrued commission and fees payable by the Company under any Fee Letters or amortisation of debt issuance costs.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Senior Debt</w:t>
      </w:r>
      <w:r>
        <w:rPr>
          <w:rFonts w:ascii="Times New Roman" w:cs="Times New Roman" w:eastAsia="Times New Roman" w:hAnsi="Times New Roman"/>
          <w:sz w:val="17"/>
          <w:szCs w:val="17"/>
          <w:color w:val="auto"/>
        </w:rPr>
        <w:t>” means, at any time, the aggregate amount of all obligations of the Group for or in respect of Borrowings but:</w:t>
      </w:r>
    </w:p>
    <w:p>
      <w:pPr>
        <w:spacing w:after="0" w:line="131" w:lineRule="exact"/>
        <w:rPr>
          <w:sz w:val="20"/>
          <w:szCs w:val="20"/>
          <w:color w:val="auto"/>
        </w:rPr>
      </w:pPr>
    </w:p>
    <w:p>
      <w:pPr>
        <w:ind w:left="523" w:hanging="523"/>
        <w:spacing w:after="0"/>
        <w:tabs>
          <w:tab w:leader="none" w:pos="523"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excluding </w:t>
      </w:r>
      <w:r>
        <w:rPr>
          <w:rFonts w:ascii="Times New Roman" w:cs="Times New Roman" w:eastAsia="Times New Roman" w:hAnsi="Times New Roman"/>
          <w:sz w:val="17"/>
          <w:szCs w:val="17"/>
          <w:color w:val="auto"/>
        </w:rPr>
        <w:t>any such obligations to any other member of the Group and any Sponsor Group Loans or Subordinated Debt;</w:t>
      </w:r>
    </w:p>
    <w:p>
      <w:pPr>
        <w:spacing w:after="0" w:line="131" w:lineRule="exact"/>
        <w:rPr>
          <w:rFonts w:ascii="Times New Roman" w:cs="Times New Roman" w:eastAsia="Times New Roman" w:hAnsi="Times New Roman"/>
          <w:sz w:val="17"/>
          <w:szCs w:val="17"/>
          <w:color w:val="auto"/>
        </w:rPr>
      </w:pPr>
    </w:p>
    <w:p>
      <w:pPr>
        <w:ind w:left="523" w:right="140" w:hanging="523"/>
        <w:spacing w:after="0" w:line="267" w:lineRule="auto"/>
        <w:tabs>
          <w:tab w:leader="none" w:pos="523"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including </w:t>
      </w:r>
      <w:r>
        <w:rPr>
          <w:rFonts w:ascii="Times New Roman" w:cs="Times New Roman" w:eastAsia="Times New Roman" w:hAnsi="Times New Roman"/>
          <w:sz w:val="17"/>
          <w:szCs w:val="17"/>
          <w:color w:val="auto"/>
        </w:rPr>
        <w:t>any obligations under or in respect of any Bond Guarantee, (i) excluding any Bond Guarantees to the extent they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on substantially the same terms as the Subordination Deed or otherwise on terms acceptable to the Agent (acting on the instructions of the Majority Lenders, acting reasonably) and (ii) in the case of Bond Guarantees provided by a Group Member other than the Company, only to the extent such Bond Guarantees are provided in accordance with paragraph (g)(ii)(A) of the definition of “Permitted Group Guarantee”; and</w:t>
      </w:r>
    </w:p>
    <w:p>
      <w:pPr>
        <w:spacing w:after="0" w:line="7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including</w:t>
      </w:r>
      <w:r>
        <w:rPr>
          <w:rFonts w:ascii="Times New Roman" w:cs="Times New Roman" w:eastAsia="Times New Roman" w:hAnsi="Times New Roman"/>
          <w:sz w:val="17"/>
          <w:szCs w:val="17"/>
          <w:color w:val="auto"/>
        </w:rPr>
        <w:t>, in the case of finance leases, only the capitalised value therefor,</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and so that no amount shall be included or excluded more than once.</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Total Debt</w:t>
      </w:r>
      <w:r>
        <w:rPr>
          <w:rFonts w:ascii="Times New Roman" w:cs="Times New Roman" w:eastAsia="Times New Roman" w:hAnsi="Times New Roman"/>
          <w:sz w:val="17"/>
          <w:szCs w:val="17"/>
          <w:color w:val="auto"/>
        </w:rPr>
        <w:t>” means, at any time, the aggregate amount of all obligations of the Group for or in respect of Borrowings but:</w:t>
      </w:r>
    </w:p>
    <w:p>
      <w:pPr>
        <w:spacing w:after="0" w:line="131" w:lineRule="exact"/>
        <w:rPr>
          <w:sz w:val="20"/>
          <w:szCs w:val="20"/>
          <w:color w:val="auto"/>
        </w:rPr>
      </w:pPr>
    </w:p>
    <w:p>
      <w:pPr>
        <w:ind w:left="523" w:hanging="523"/>
        <w:spacing w:after="0"/>
        <w:tabs>
          <w:tab w:leader="none" w:pos="523"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excluding </w:t>
      </w:r>
      <w:r>
        <w:rPr>
          <w:rFonts w:ascii="Times New Roman" w:cs="Times New Roman" w:eastAsia="Times New Roman" w:hAnsi="Times New Roman"/>
          <w:sz w:val="17"/>
          <w:szCs w:val="17"/>
          <w:color w:val="auto"/>
        </w:rPr>
        <w:t>any such obligations to any other member of the Group and any Sponsor Group Loans or Subordinated Debt;</w:t>
      </w:r>
    </w:p>
    <w:p>
      <w:pPr>
        <w:spacing w:after="0" w:line="131" w:lineRule="exact"/>
        <w:rPr>
          <w:rFonts w:ascii="Times New Roman" w:cs="Times New Roman" w:eastAsia="Times New Roman" w:hAnsi="Times New Roman"/>
          <w:sz w:val="17"/>
          <w:szCs w:val="17"/>
          <w:color w:val="auto"/>
        </w:rPr>
      </w:pPr>
    </w:p>
    <w:p>
      <w:pPr>
        <w:ind w:left="523" w:right="260" w:hanging="523"/>
        <w:spacing w:after="0" w:line="277" w:lineRule="auto"/>
        <w:tabs>
          <w:tab w:leader="none" w:pos="523"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including </w:t>
      </w:r>
      <w:r>
        <w:rPr>
          <w:rFonts w:ascii="Times New Roman" w:cs="Times New Roman" w:eastAsia="Times New Roman" w:hAnsi="Times New Roman"/>
          <w:sz w:val="17"/>
          <w:szCs w:val="17"/>
          <w:color w:val="auto"/>
        </w:rPr>
        <w:t>any obligations under or in respect of any Bond Guarantee (but excluding them to the extent they are subordinated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substantially the same terms as the Subordination Deed or otherwise on terms acceptable to the Agent (acting on the instructions of the Majority Lenders, acting reasonably)); and</w:t>
      </w:r>
    </w:p>
    <w:p>
      <w:pPr>
        <w:spacing w:after="0" w:line="68"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including</w:t>
      </w:r>
      <w:r>
        <w:rPr>
          <w:rFonts w:ascii="Times New Roman" w:cs="Times New Roman" w:eastAsia="Times New Roman" w:hAnsi="Times New Roman"/>
          <w:sz w:val="17"/>
          <w:szCs w:val="17"/>
          <w:color w:val="auto"/>
        </w:rPr>
        <w:t>, in the case of finance leases, only the capitalised value therefor,</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and so that no amount shall be included or excluded more than once.</w:t>
      </w:r>
    </w:p>
    <w:p>
      <w:pPr>
        <w:sectPr>
          <w:pgSz w:w="11900" w:h="16838" w:orient="portrait"/>
          <w:cols w:equalWidth="0" w:num="1">
            <w:col w:w="9923"/>
          </w:cols>
          <w:pgMar w:left="1357" w:top="263" w:right="619" w:bottom="1440" w:gutter="0" w:footer="0" w:header="0"/>
        </w:sectPr>
      </w:pPr>
    </w:p>
    <w:p>
      <w:pPr>
        <w:spacing w:after="0" w:line="157" w:lineRule="exact"/>
        <w:rPr>
          <w:sz w:val="20"/>
          <w:szCs w:val="20"/>
          <w:color w:val="auto"/>
        </w:rPr>
      </w:pPr>
    </w:p>
    <w:p>
      <w:pPr>
        <w:ind w:left="4503"/>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203" w:space="720"/>
            <w:col w:w="3000"/>
          </w:cols>
          <w:pgMar w:left="1357" w:top="263" w:right="619" w:bottom="1440" w:gutter="0" w:footer="0" w:header="0"/>
          <w:type w:val="continuous"/>
        </w:sectPr>
      </w:pPr>
    </w:p>
    <w:bookmarkStart w:id="390" w:name="page391"/>
    <w:bookmarkEnd w:id="390"/>
    <w:p>
      <w:pPr>
        <w:ind w:left="740" w:right="18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Excluded Lease</w:t>
      </w:r>
      <w:r>
        <w:rPr>
          <w:rFonts w:ascii="Times New Roman" w:cs="Times New Roman" w:eastAsia="Times New Roman" w:hAnsi="Times New Roman"/>
          <w:sz w:val="17"/>
          <w:szCs w:val="17"/>
          <w:color w:val="auto"/>
        </w:rPr>
        <w:t>” means any lease or hire purchase contract, or a liability under which, which would, in accordance with GAAP be treated as an operating lease liability on the balance sheet of the relevant entity.</w:t>
      </w:r>
    </w:p>
    <w:p>
      <w:pPr>
        <w:spacing w:after="0" w:line="37" w:lineRule="exact"/>
        <w:rPr>
          <w:sz w:val="20"/>
          <w:szCs w:val="20"/>
          <w:color w:val="auto"/>
        </w:rPr>
      </w:pPr>
    </w:p>
    <w:p>
      <w:pPr>
        <w:ind w:left="740" w:right="1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Exceptional Items</w:t>
      </w:r>
      <w:r>
        <w:rPr>
          <w:rFonts w:ascii="Times New Roman" w:cs="Times New Roman" w:eastAsia="Times New Roman" w:hAnsi="Times New Roman"/>
          <w:sz w:val="17"/>
          <w:szCs w:val="17"/>
          <w:color w:val="auto"/>
        </w:rPr>
        <w:t>” means any material items of an unusual or non-recurring nature which represent gains or losses including those arising in connection with:</w:t>
      </w:r>
    </w:p>
    <w:p>
      <w:pPr>
        <w:spacing w:after="0" w:line="52" w:lineRule="exact"/>
        <w:rPr>
          <w:sz w:val="20"/>
          <w:szCs w:val="20"/>
          <w:color w:val="auto"/>
        </w:rPr>
      </w:pPr>
    </w:p>
    <w:p>
      <w:pPr>
        <w:ind w:left="1260" w:hanging="523"/>
        <w:spacing w:after="0"/>
        <w:tabs>
          <w:tab w:leader="none" w:pos="126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restructuring of the activities of an entity and reversals of any provisions for the cost of restructuring;</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disposals, revaluations or impairment of non-current assets;</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disposals of assets associated with discontinued operations;</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or repayment of indebtedness, refinancing transactions or amendment or modifications; or</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costs incurred in connection with any acquisition, investment or recapitalization.</w:t>
      </w:r>
    </w:p>
    <w:p>
      <w:pPr>
        <w:spacing w:after="0" w:line="116" w:lineRule="exact"/>
        <w:rPr>
          <w:sz w:val="20"/>
          <w:szCs w:val="20"/>
          <w:color w:val="auto"/>
        </w:rPr>
      </w:pPr>
    </w:p>
    <w:p>
      <w:pPr>
        <w:ind w:left="740" w:right="6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Finance Lease</w:t>
      </w:r>
      <w:r>
        <w:rPr>
          <w:rFonts w:ascii="Times New Roman" w:cs="Times New Roman" w:eastAsia="Times New Roman" w:hAnsi="Times New Roman"/>
          <w:sz w:val="17"/>
          <w:szCs w:val="17"/>
          <w:color w:val="auto"/>
        </w:rPr>
        <w:t>” means any lease or hire purchase contract, or a liability under which, which would, in accordance with GAAP, be treated as a balance sheet liability (other than an Excluded Lease).</w:t>
      </w: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Quarter</w:t>
      </w:r>
      <w:r>
        <w:rPr>
          <w:rFonts w:ascii="Times New Roman" w:cs="Times New Roman" w:eastAsia="Times New Roman" w:hAnsi="Times New Roman"/>
          <w:sz w:val="17"/>
          <w:szCs w:val="17"/>
          <w:color w:val="auto"/>
        </w:rPr>
        <w:t>” means the period commencing on the day after one Quarter Date and ending on the next Quarter Date.</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Year</w:t>
      </w:r>
      <w:r>
        <w:rPr>
          <w:rFonts w:ascii="Times New Roman" w:cs="Times New Roman" w:eastAsia="Times New Roman" w:hAnsi="Times New Roman"/>
          <w:sz w:val="17"/>
          <w:szCs w:val="17"/>
          <w:color w:val="auto"/>
        </w:rPr>
        <w:t>” means the annual accounting period of the Group ending on or about 31 December in each year.</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Test Date</w:t>
      </w:r>
      <w:r>
        <w:rPr>
          <w:rFonts w:ascii="Times New Roman" w:cs="Times New Roman" w:eastAsia="Times New Roman" w:hAnsi="Times New Roman"/>
          <w:sz w:val="17"/>
          <w:szCs w:val="17"/>
          <w:color w:val="auto"/>
        </w:rPr>
        <w:t>” means 30 September 2020.</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Cover</w:t>
      </w:r>
      <w:r>
        <w:rPr>
          <w:rFonts w:ascii="Times New Roman" w:cs="Times New Roman" w:eastAsia="Times New Roman" w:hAnsi="Times New Roman"/>
          <w:sz w:val="17"/>
          <w:szCs w:val="17"/>
          <w:color w:val="auto"/>
        </w:rPr>
        <w:t>” means the ratio of Consolidated EBITDA to Consolidated Net Finance Charges in respect of any Relevant Period.</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 Date</w:t>
      </w:r>
      <w:r>
        <w:rPr>
          <w:rFonts w:ascii="Times New Roman" w:cs="Times New Roman" w:eastAsia="Times New Roman" w:hAnsi="Times New Roman"/>
          <w:sz w:val="17"/>
          <w:szCs w:val="17"/>
          <w:color w:val="auto"/>
        </w:rPr>
        <w:t>” means each of 31 March, 30 June, 30 September and 31 December.</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each period of twelve months ending on the last day of each Financial Quarter of the Company’s financial year.</w:t>
      </w:r>
    </w:p>
    <w:p>
      <w:pPr>
        <w:spacing w:after="0" w:line="118" w:lineRule="exact"/>
        <w:rPr>
          <w:sz w:val="20"/>
          <w:szCs w:val="20"/>
          <w:color w:val="auto"/>
        </w:rPr>
      </w:pPr>
    </w:p>
    <w:p>
      <w:pPr>
        <w:ind w:left="740" w:right="3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Senior Leverage</w:t>
      </w:r>
      <w:r>
        <w:rPr>
          <w:rFonts w:ascii="Times New Roman" w:cs="Times New Roman" w:eastAsia="Times New Roman" w:hAnsi="Times New Roman"/>
          <w:sz w:val="17"/>
          <w:szCs w:val="17"/>
          <w:color w:val="auto"/>
        </w:rPr>
        <w:t>” means the ratio of Consolidated Senior Debt on a specified date to Consolidated EBITDA in respect of any Relevant Period ending on such date.</w:t>
      </w: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Test Date</w:t>
      </w:r>
      <w:r>
        <w:rPr>
          <w:rFonts w:ascii="Times New Roman" w:cs="Times New Roman" w:eastAsia="Times New Roman" w:hAnsi="Times New Roman"/>
          <w:sz w:val="17"/>
          <w:szCs w:val="17"/>
          <w:color w:val="auto"/>
        </w:rPr>
        <w:t>” means each Quarter Date.</w:t>
      </w:r>
    </w:p>
    <w:p>
      <w:pPr>
        <w:spacing w:after="0" w:line="118" w:lineRule="exact"/>
        <w:rPr>
          <w:sz w:val="20"/>
          <w:szCs w:val="20"/>
          <w:color w:val="auto"/>
        </w:rPr>
      </w:pPr>
    </w:p>
    <w:p>
      <w:pPr>
        <w:ind w:left="740"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Leverage</w:t>
      </w:r>
      <w:r>
        <w:rPr>
          <w:rFonts w:ascii="Times New Roman" w:cs="Times New Roman" w:eastAsia="Times New Roman" w:hAnsi="Times New Roman"/>
          <w:sz w:val="17"/>
          <w:szCs w:val="17"/>
          <w:color w:val="auto"/>
        </w:rPr>
        <w:t>” means the ratio of Consolidated Total Debt on a specified date to Consolidated EBITDA in respect of any Relevant Period ending on such date.</w:t>
      </w:r>
    </w:p>
    <w:p>
      <w:pPr>
        <w:spacing w:after="0" w:line="28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23.2</w:t>
      </w:r>
      <w:r>
        <w:rPr>
          <w:sz w:val="20"/>
          <w:szCs w:val="20"/>
          <w:color w:val="auto"/>
        </w:rPr>
        <w:tab/>
      </w:r>
      <w:r>
        <w:rPr>
          <w:rFonts w:ascii="Times New Roman" w:cs="Times New Roman" w:eastAsia="Times New Roman" w:hAnsi="Times New Roman"/>
          <w:sz w:val="17"/>
          <w:szCs w:val="17"/>
          <w:b w:val="1"/>
          <w:bCs w:val="1"/>
          <w:color w:val="auto"/>
        </w:rPr>
        <w:t>Financial condition</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 shall ensure that:</w:t>
      </w:r>
    </w:p>
    <w:p>
      <w:pPr>
        <w:spacing w:after="0" w:line="129" w:lineRule="exact"/>
        <w:rPr>
          <w:sz w:val="20"/>
          <w:szCs w:val="20"/>
          <w:color w:val="auto"/>
        </w:rPr>
      </w:pPr>
    </w:p>
    <w:p>
      <w:pPr>
        <w:ind w:left="1260" w:hanging="523"/>
        <w:spacing w:after="0"/>
        <w:tabs>
          <w:tab w:leader="none" w:pos="126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Cover</w:t>
      </w:r>
    </w:p>
    <w:p>
      <w:pPr>
        <w:spacing w:after="0" w:line="120"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Cover in respect of each Relevant Period ending on an Applicable Test Date shall not be less than 2.50:1.</w:t>
      </w:r>
    </w:p>
    <w:p>
      <w:pPr>
        <w:spacing w:after="0" w:line="129"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Senior Leverage</w:t>
      </w:r>
    </w:p>
    <w:p>
      <w:pPr>
        <w:spacing w:after="0" w:line="120"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Leverage in respect of each Relevant Period ending on an Applicable Test Date shall not exceed 3.50:1.</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88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391" w:name="page392"/>
    <w:bookmarkEnd w:id="391"/>
    <w:p>
      <w:pPr>
        <w:ind w:left="1268" w:hanging="523"/>
        <w:spacing w:after="0"/>
        <w:tabs>
          <w:tab w:leader="none" w:pos="1268"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Total Leverage</w:t>
      </w:r>
    </w:p>
    <w:p>
      <w:pPr>
        <w:spacing w:after="0" w:line="120" w:lineRule="exact"/>
        <w:rPr>
          <w:rFonts w:ascii="Times New Roman" w:cs="Times New Roman" w:eastAsia="Times New Roman" w:hAnsi="Times New Roman"/>
          <w:sz w:val="17"/>
          <w:szCs w:val="17"/>
          <w:color w:val="auto"/>
        </w:rPr>
      </w:pPr>
    </w:p>
    <w:p>
      <w:pPr>
        <w:ind w:left="12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Leverage in respect of each Relevant Period ending on an Applicable Test Date shall not exceed 4.50:1.</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Financial testing</w:t>
      </w:r>
    </w:p>
    <w:p>
      <w:pPr>
        <w:spacing w:after="0" w:line="131" w:lineRule="exact"/>
        <w:rPr>
          <w:sz w:val="20"/>
          <w:szCs w:val="20"/>
          <w:color w:val="auto"/>
        </w:rPr>
      </w:pPr>
    </w:p>
    <w:p>
      <w:pPr>
        <w:ind w:left="1268" w:right="20" w:hanging="523"/>
        <w:spacing w:after="0" w:line="277" w:lineRule="auto"/>
        <w:tabs>
          <w:tab w:leader="none" w:pos="1268"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covenants set out in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shall be calculated and tested by reference to each of the Relevant Financial Statements and/or each Compliance Certificate delivered pursuant to Clause 22.3 (</w:t>
      </w:r>
      <w:r>
        <w:rPr>
          <w:rFonts w:ascii="Times New Roman" w:cs="Times New Roman" w:eastAsia="Times New Roman" w:hAnsi="Times New Roman"/>
          <w:sz w:val="17"/>
          <w:szCs w:val="17"/>
          <w:i w:val="1"/>
          <w:iCs w:val="1"/>
          <w:color w:val="auto"/>
        </w:rPr>
        <w:t>Provision and contents of 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Certificate</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268" w:right="20" w:hanging="523"/>
        <w:spacing w:after="0" w:line="261" w:lineRule="auto"/>
        <w:tabs>
          <w:tab w:leader="none" w:pos="1268"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any financial covenant, Senior Leverage, Total Leverage or Interest Cover ratio is used as the basis (in whole or part) for determining whether any transaction or activity is permitted or making any determination under any Finance Document (including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at any time after a Test Date (but not for the purposes of compliance with this Clause 23), Consolidated Senior Debt and Consolidated Total Debt as at such Test Date shall (for the purposes of such determination only) be deemed to have been reduced to take into account any repayment of Financial Indebtedness of any Group Member made after such Test Date but on or before the date of such determination (as if such repayment were made on such Test Date) and shall be deemed to have been increased to take into account any incurrence or assumption of Financial Indebtedness by any Group Member after such Test Date but on or before the date of such determination (as if such incurrence or assumption were made on such Test Date), and such financial covenant, Senior Leverage, Total Leverage or Interest Cover ratio as at such Test Date or for the Relevant Period ending on such Test Date shall, for the purposes of such determination, be determined accordingly.</w:t>
      </w:r>
    </w:p>
    <w:p>
      <w:pPr>
        <w:spacing w:after="0" w:line="82" w:lineRule="exact"/>
        <w:rPr>
          <w:rFonts w:ascii="Times New Roman" w:cs="Times New Roman" w:eastAsia="Times New Roman" w:hAnsi="Times New Roman"/>
          <w:sz w:val="17"/>
          <w:szCs w:val="17"/>
          <w:color w:val="auto"/>
        </w:rPr>
      </w:pPr>
    </w:p>
    <w:p>
      <w:pPr>
        <w:ind w:left="1268" w:right="560" w:hanging="523"/>
        <w:spacing w:after="0" w:line="295" w:lineRule="auto"/>
        <w:tabs>
          <w:tab w:leader="none" w:pos="1268"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this Clause 23, no item shall be included or excluded or otherwise taken into account more than once in any calculation.</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4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undertakings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Permits</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shall (and shall procure that each applicable member of the Group will) promptly:</w:t>
      </w:r>
    </w:p>
    <w:p>
      <w:pPr>
        <w:spacing w:after="0" w:line="131" w:lineRule="exact"/>
        <w:rPr>
          <w:sz w:val="20"/>
          <w:szCs w:val="20"/>
          <w:color w:val="auto"/>
        </w:rPr>
      </w:pPr>
    </w:p>
    <w:p>
      <w:pPr>
        <w:ind w:left="1268" w:hanging="523"/>
        <w:spacing w:after="0"/>
        <w:tabs>
          <w:tab w:leader="none" w:pos="1268"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comply with and do all that is necessary to maintain in full force and effect; and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by the Agent supply certified copies to the Agent of,</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any Authorisation (including any amendments, supplements or other modifications thereto) required under any law or regulation of a</w:t>
      </w:r>
    </w:p>
    <w:p>
      <w:pPr>
        <w:spacing w:after="0" w:line="3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Relevant Jurisdiction to:</w:t>
      </w:r>
    </w:p>
    <w:p>
      <w:pPr>
        <w:spacing w:after="0" w:line="113" w:lineRule="exact"/>
        <w:rPr>
          <w:sz w:val="20"/>
          <w:szCs w:val="20"/>
          <w:color w:val="auto"/>
        </w:rPr>
      </w:pPr>
    </w:p>
    <w:p>
      <w:pPr>
        <w:ind w:left="1888" w:hanging="620"/>
        <w:spacing w:after="0"/>
        <w:tabs>
          <w:tab w:leader="none" w:pos="1888"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the Company and the Subsidiary Guarantors to perform their respective obligations under the Transaction Documents;</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the legality, validity, enforceability or admissibility in evidence of any Transaction Document; and</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each Group Member to own its assets and carry on its business which are part of the Projects,</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where failure to do so has or would be reasonably expected to have a Material Adverse Effect.</w:t>
      </w:r>
    </w:p>
    <w:p>
      <w:pPr>
        <w:sectPr>
          <w:pgSz w:w="11900" w:h="16838" w:orient="portrait"/>
          <w:cols w:equalWidth="0" w:num="1">
            <w:col w:w="10668"/>
          </w:cols>
          <w:pgMar w:left="612" w:top="263" w:right="619" w:bottom="1440" w:gutter="0" w:footer="0" w:header="0"/>
        </w:sectPr>
      </w:pPr>
    </w:p>
    <w:p>
      <w:pPr>
        <w:spacing w:after="0" w:line="157"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948" w:space="720"/>
            <w:col w:w="3000"/>
          </w:cols>
          <w:pgMar w:left="612" w:top="263" w:right="619" w:bottom="1440" w:gutter="0" w:footer="0" w:header="0"/>
          <w:type w:val="continuous"/>
        </w:sectPr>
      </w:pPr>
    </w:p>
    <w:bookmarkStart w:id="392" w:name="page393"/>
    <w:bookmarkEnd w:id="392"/>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24.2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20" w:lineRule="exact"/>
        <w:rPr>
          <w:sz w:val="20"/>
          <w:szCs w:val="20"/>
          <w:color w:val="auto"/>
        </w:rPr>
      </w:pPr>
    </w:p>
    <w:p>
      <w:pPr>
        <w:ind w:left="740" w:right="620"/>
        <w:spacing w:after="0" w:line="295" w:lineRule="auto"/>
        <w:rPr>
          <w:sz w:val="20"/>
          <w:szCs w:val="20"/>
          <w:color w:val="auto"/>
        </w:rPr>
      </w:pPr>
      <w:r>
        <w:rPr>
          <w:rFonts w:ascii="Times New Roman" w:cs="Times New Roman" w:eastAsia="Times New Roman" w:hAnsi="Times New Roman"/>
          <w:sz w:val="17"/>
          <w:szCs w:val="17"/>
          <w:color w:val="auto"/>
        </w:rPr>
        <w:t>The Company shall (and shall ensure that each member of the Group will) comply with all Legal Requirements and its Constitutional Documents (in each case, where non-compliance has or would be reasonably expected to have a Material Adverse Effect).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Environmental compliance</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 shall (and shall ensure that each member of the Group will):</w:t>
      </w:r>
    </w:p>
    <w:p>
      <w:pPr>
        <w:spacing w:after="0" w:line="131" w:lineRule="exact"/>
        <w:rPr>
          <w:sz w:val="20"/>
          <w:szCs w:val="20"/>
          <w:color w:val="auto"/>
        </w:rPr>
      </w:pPr>
    </w:p>
    <w:p>
      <w:pPr>
        <w:ind w:left="1260" w:hanging="523"/>
        <w:spacing w:after="0"/>
        <w:tabs>
          <w:tab w:leader="none" w:pos="1260"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Environmental Laws applicable to it;</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maintain and ensure compliance in all respects with all requisite Environmental Permits;</w:t>
      </w:r>
    </w:p>
    <w:p>
      <w:pPr>
        <w:spacing w:after="0" w:line="131" w:lineRule="exact"/>
        <w:rPr>
          <w:rFonts w:ascii="Times New Roman" w:cs="Times New Roman" w:eastAsia="Times New Roman" w:hAnsi="Times New Roman"/>
          <w:sz w:val="17"/>
          <w:szCs w:val="17"/>
          <w:color w:val="auto"/>
        </w:rPr>
      </w:pPr>
    </w:p>
    <w:p>
      <w:pPr>
        <w:ind w:left="740" w:right="2040" w:hanging="3"/>
        <w:spacing w:after="0" w:line="424" w:lineRule="auto"/>
        <w:tabs>
          <w:tab w:leader="none" w:pos="1261"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procedures to monitor compliance with and to prevent liability under any Environmental Law, where failure to do so has or would reasonably be expected to have a Material Adverse Effect.</w:t>
      </w:r>
    </w:p>
    <w:p>
      <w:pPr>
        <w:spacing w:after="0" w:line="18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Environmental claims</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 shall inform the Agent as soon as reasonably practicable upon becoming aware of:</w:t>
      </w:r>
    </w:p>
    <w:p>
      <w:pPr>
        <w:spacing w:after="0" w:line="131" w:lineRule="exact"/>
        <w:rPr>
          <w:sz w:val="20"/>
          <w:szCs w:val="20"/>
          <w:color w:val="auto"/>
        </w:rPr>
      </w:pPr>
    </w:p>
    <w:p>
      <w:pPr>
        <w:ind w:left="1260" w:right="140" w:hanging="523"/>
        <w:spacing w:after="0" w:line="295" w:lineRule="auto"/>
        <w:tabs>
          <w:tab w:leader="none" w:pos="1260"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Environmental Claim which has commenced or (to the best of its knowledge and belief) is threatened against any member of the Group; or</w:t>
      </w:r>
    </w:p>
    <w:p>
      <w:pPr>
        <w:spacing w:after="0" w:line="55" w:lineRule="exact"/>
        <w:rPr>
          <w:rFonts w:ascii="Times New Roman" w:cs="Times New Roman" w:eastAsia="Times New Roman" w:hAnsi="Times New Roman"/>
          <w:sz w:val="17"/>
          <w:szCs w:val="17"/>
          <w:color w:val="auto"/>
        </w:rPr>
      </w:pPr>
    </w:p>
    <w:p>
      <w:pPr>
        <w:ind w:left="1260" w:right="120" w:hanging="523"/>
        <w:spacing w:after="0" w:line="295" w:lineRule="auto"/>
        <w:tabs>
          <w:tab w:leader="none" w:pos="1260"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facts or circumstances which results in or would reasonably be expected to result in any Environmental Claim being commenced or threatened against any member of the Group,</w:t>
      </w:r>
    </w:p>
    <w:p>
      <w:pPr>
        <w:spacing w:after="0" w:line="42" w:lineRule="exact"/>
        <w:rPr>
          <w:sz w:val="20"/>
          <w:szCs w:val="20"/>
          <w:color w:val="auto"/>
        </w:rPr>
      </w:pPr>
    </w:p>
    <w:p>
      <w:pPr>
        <w:ind w:left="740" w:right="80"/>
        <w:spacing w:after="0" w:line="295" w:lineRule="auto"/>
        <w:rPr>
          <w:sz w:val="20"/>
          <w:szCs w:val="20"/>
          <w:color w:val="auto"/>
        </w:rPr>
      </w:pPr>
      <w:r>
        <w:rPr>
          <w:rFonts w:ascii="Times New Roman" w:cs="Times New Roman" w:eastAsia="Times New Roman" w:hAnsi="Times New Roman"/>
          <w:sz w:val="17"/>
          <w:szCs w:val="17"/>
          <w:color w:val="auto"/>
        </w:rPr>
        <w:t>in each case where such Environmental Claim has or would reasonably be expected, if determined against that member of the Group, to have a Material Adverse Effect.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24.5</w:t>
      </w:r>
      <w:r>
        <w:rPr>
          <w:sz w:val="20"/>
          <w:szCs w:val="20"/>
          <w:color w:val="auto"/>
        </w:rPr>
        <w:tab/>
      </w:r>
      <w:r>
        <w:rPr>
          <w:rFonts w:ascii="Times New Roman" w:cs="Times New Roman" w:eastAsia="Times New Roman" w:hAnsi="Times New Roman"/>
          <w:sz w:val="16"/>
          <w:szCs w:val="16"/>
          <w:b w:val="1"/>
          <w:bCs w:val="1"/>
          <w:color w:val="auto"/>
        </w:rPr>
        <w:t>Taxation</w:t>
      </w:r>
    </w:p>
    <w:p>
      <w:pPr>
        <w:spacing w:after="0" w:line="133" w:lineRule="exact"/>
        <w:rPr>
          <w:sz w:val="20"/>
          <w:szCs w:val="20"/>
          <w:color w:val="auto"/>
        </w:rPr>
      </w:pPr>
    </w:p>
    <w:p>
      <w:pPr>
        <w:ind w:left="1260" w:right="40" w:hanging="523"/>
        <w:spacing w:after="0" w:line="295" w:lineRule="auto"/>
        <w:tabs>
          <w:tab w:leader="none" w:pos="1260"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(and shall ensure that each member of the Group will) duly and punctually pay and discharge all Taxes required to be paid by it when due within the time period allowed without incurring penalties unless and only to the extent that:</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payment is being contested in good faith;</w:t>
      </w:r>
    </w:p>
    <w:p>
      <w:pPr>
        <w:spacing w:after="0" w:line="131" w:lineRule="exact"/>
        <w:rPr>
          <w:rFonts w:ascii="Times New Roman" w:cs="Times New Roman" w:eastAsia="Times New Roman" w:hAnsi="Times New Roman"/>
          <w:sz w:val="17"/>
          <w:szCs w:val="17"/>
          <w:color w:val="auto"/>
        </w:rPr>
      </w:pPr>
    </w:p>
    <w:p>
      <w:pPr>
        <w:ind w:left="1880" w:hanging="620"/>
        <w:spacing w:after="0" w:line="295" w:lineRule="auto"/>
        <w:tabs>
          <w:tab w:leader="none" w:pos="1880"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reserves are being maintained for those Taxes or other obligations and the costs required to contest them which have been disclosed in its latest financial statements delivered to the Agent under Clause 22.2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and</w:t>
      </w:r>
    </w:p>
    <w:p>
      <w:pPr>
        <w:spacing w:after="0" w:line="55" w:lineRule="exact"/>
        <w:rPr>
          <w:rFonts w:ascii="Times New Roman" w:cs="Times New Roman" w:eastAsia="Times New Roman" w:hAnsi="Times New Roman"/>
          <w:sz w:val="17"/>
          <w:szCs w:val="17"/>
          <w:color w:val="auto"/>
        </w:rPr>
      </w:pPr>
    </w:p>
    <w:p>
      <w:pPr>
        <w:ind w:left="1880" w:right="460" w:hanging="620"/>
        <w:spacing w:after="0" w:line="295" w:lineRule="auto"/>
        <w:tabs>
          <w:tab w:leader="none" w:pos="1880"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payment can be lawfully withheld and failure to pay those Taxes or other obligations does not have and would not reasonably be expected to have a Material Adverse Effect.</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Melco Resorts Macau does not) change its residence for Tax purposes.</w:t>
      </w:r>
    </w:p>
    <w:p>
      <w:pPr>
        <w:spacing w:after="0" w:line="131" w:lineRule="exact"/>
        <w:rPr>
          <w:rFonts w:ascii="Times New Roman" w:cs="Times New Roman" w:eastAsia="Times New Roman" w:hAnsi="Times New Roman"/>
          <w:sz w:val="17"/>
          <w:szCs w:val="17"/>
          <w:color w:val="auto"/>
        </w:rPr>
      </w:pPr>
    </w:p>
    <w:p>
      <w:pPr>
        <w:ind w:left="1260" w:right="60" w:hanging="523"/>
        <w:spacing w:after="0" w:line="266" w:lineRule="auto"/>
        <w:tabs>
          <w:tab w:leader="none" w:pos="1260"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inform the Agent as soon as practicable upon becoming aware of any claims or investigations made or conducted against members of the Group with respect to Taxes where a liability of, or a claim against, such members of the Group of US$50,000,000 (or its equivalent in any other currency) or more would reasonably be expected to arise, other than any claims or investigations that are being contested in good faith by appropriate measures and sufficient reserves in cash or other liquid assets have been retained in accordance with GAAP in respect of such claims or investigations.</w:t>
      </w:r>
    </w:p>
    <w:p>
      <w:pPr>
        <w:spacing w:after="0" w:line="106"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90</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93" w:name="page394"/>
    <w:bookmarkEnd w:id="393"/>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24.6</w:t>
      </w:r>
      <w:r>
        <w:rPr>
          <w:sz w:val="20"/>
          <w:szCs w:val="20"/>
          <w:color w:val="auto"/>
        </w:rPr>
        <w:tab/>
      </w:r>
      <w:r>
        <w:rPr>
          <w:rFonts w:ascii="Times New Roman" w:cs="Times New Roman" w:eastAsia="Times New Roman" w:hAnsi="Times New Roman"/>
          <w:sz w:val="17"/>
          <w:szCs w:val="17"/>
          <w:b w:val="1"/>
          <w:bCs w:val="1"/>
          <w:color w:val="auto"/>
        </w:rPr>
        <w:t>Anti-corruption</w:t>
      </w:r>
    </w:p>
    <w:p>
      <w:pPr>
        <w:spacing w:after="0" w:line="120" w:lineRule="exact"/>
        <w:rPr>
          <w:sz w:val="20"/>
          <w:szCs w:val="20"/>
          <w:color w:val="auto"/>
        </w:rPr>
      </w:pPr>
    </w:p>
    <w:p>
      <w:pPr>
        <w:ind w:left="740" w:right="120"/>
        <w:spacing w:after="0" w:line="263" w:lineRule="auto"/>
        <w:rPr>
          <w:sz w:val="20"/>
          <w:szCs w:val="20"/>
          <w:color w:val="auto"/>
        </w:rPr>
      </w:pPr>
      <w:r>
        <w:rPr>
          <w:rFonts w:ascii="Times New Roman" w:cs="Times New Roman" w:eastAsia="Times New Roman" w:hAnsi="Times New Roman"/>
          <w:sz w:val="17"/>
          <w:szCs w:val="17"/>
          <w:color w:val="auto"/>
        </w:rPr>
        <w:t>The Company shall not (and shall ensure that each member of the Group and each of its Subsidiaries shall not) take any illegal action in furtherance of an offer, payment, promise to pay, or authorization or approval of the payment or giving of money, property, gifts or anything else of value, directly or indirectly, to any person to improperly influence official action by that person for the benefit of it or its Subsidiaries which would breach applicable Anti-Bribery and Corruption Laws, or to otherwise secure an improper business advantage for it or its Subsidiaries; and it and its Subsidiaries will continue to maintain policies and procedures designed to promote and achieve compliance with applicable Anti-Bribery and Corruption Laws. The Company shall not (and shall ensure that each member of the Group and each of its Subsidiaries does not) use the proceeds for any purpose that would violate applicable Anti-Bribery and Corruption Laws.</w:t>
      </w:r>
    </w:p>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24.7</w:t>
      </w:r>
      <w:r>
        <w:rPr>
          <w:sz w:val="20"/>
          <w:szCs w:val="20"/>
          <w:color w:val="auto"/>
        </w:rPr>
        <w:tab/>
      </w:r>
      <w:r>
        <w:rPr>
          <w:rFonts w:ascii="Times New Roman" w:cs="Times New Roman" w:eastAsia="Times New Roman" w:hAnsi="Times New Roman"/>
          <w:sz w:val="17"/>
          <w:szCs w:val="17"/>
          <w:b w:val="1"/>
          <w:bCs w:val="1"/>
          <w:color w:val="auto"/>
        </w:rPr>
        <w:t>Anti-money laundering</w:t>
      </w:r>
    </w:p>
    <w:p>
      <w:pPr>
        <w:spacing w:after="0" w:line="133" w:lineRule="exact"/>
        <w:rPr>
          <w:sz w:val="20"/>
          <w:szCs w:val="20"/>
          <w:color w:val="auto"/>
        </w:rPr>
      </w:pPr>
    </w:p>
    <w:p>
      <w:pPr>
        <w:ind w:left="1260" w:right="440" w:hanging="523"/>
        <w:spacing w:after="0" w:line="295" w:lineRule="auto"/>
        <w:tabs>
          <w:tab w:leader="none" w:pos="1260"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its commercially reasonable efforts to ensure that no funds used to pay the obligations under the Finance Documents are derived from any unlawful activity.</w:t>
      </w:r>
    </w:p>
    <w:p>
      <w:pPr>
        <w:spacing w:after="0" w:line="55" w:lineRule="exact"/>
        <w:rPr>
          <w:rFonts w:ascii="Times New Roman" w:cs="Times New Roman" w:eastAsia="Times New Roman" w:hAnsi="Times New Roman"/>
          <w:sz w:val="17"/>
          <w:szCs w:val="17"/>
          <w:color w:val="auto"/>
        </w:rPr>
      </w:pPr>
    </w:p>
    <w:p>
      <w:pPr>
        <w:ind w:left="1260" w:right="200" w:hanging="523"/>
        <w:spacing w:after="0" w:line="269" w:lineRule="auto"/>
        <w:tabs>
          <w:tab w:leader="none" w:pos="1260"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(and shall ensure that each member of the Group will) ensure the operations of it and its subsidiaries will be conducted at all times in material compliance with all applicable financial recordkeeping and reporting requirements and the applicable anti-money laundering statutes of jurisdictions where it and its subsidiaries conduct business, the rules and regulations thereunder and any related or similar rules, regulations or guidelines, issued, administered or enforced by any governmental agency.</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24.8</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133" w:lineRule="exact"/>
        <w:rPr>
          <w:sz w:val="20"/>
          <w:szCs w:val="20"/>
          <w:color w:val="auto"/>
        </w:rPr>
      </w:pPr>
    </w:p>
    <w:p>
      <w:pPr>
        <w:ind w:left="1260" w:right="180" w:hanging="523"/>
        <w:spacing w:after="0" w:line="295" w:lineRule="auto"/>
        <w:tabs>
          <w:tab w:leader="none" w:pos="1260"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no member of the Group will), directly or indirectly, use the proceeds of the Facilities, or lend, contribute or otherwise make available such proceeds to any Subsidiary, joint venture partner or Sanctioned Person:</w:t>
      </w:r>
    </w:p>
    <w:p>
      <w:pPr>
        <w:spacing w:after="0" w:line="55" w:lineRule="exact"/>
        <w:rPr>
          <w:rFonts w:ascii="Times New Roman" w:cs="Times New Roman" w:eastAsia="Times New Roman" w:hAnsi="Times New Roman"/>
          <w:sz w:val="17"/>
          <w:szCs w:val="17"/>
          <w:color w:val="auto"/>
        </w:rPr>
      </w:pPr>
    </w:p>
    <w:p>
      <w:pPr>
        <w:ind w:left="1880" w:right="120" w:hanging="620"/>
        <w:spacing w:after="0" w:line="295" w:lineRule="auto"/>
        <w:tabs>
          <w:tab w:leader="none" w:pos="1880"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fund or facilitate any activities or business of or with any Sanctioned Person or in any country or territory that, at the time of such funding or facilitation, is a Sanctioned Country; or</w:t>
      </w:r>
    </w:p>
    <w:p>
      <w:pPr>
        <w:spacing w:after="0" w:line="55" w:lineRule="exact"/>
        <w:rPr>
          <w:rFonts w:ascii="Times New Roman" w:cs="Times New Roman" w:eastAsia="Times New Roman" w:hAnsi="Times New Roman"/>
          <w:sz w:val="17"/>
          <w:szCs w:val="17"/>
          <w:color w:val="auto"/>
        </w:rPr>
      </w:pPr>
    </w:p>
    <w:p>
      <w:pPr>
        <w:ind w:left="1880" w:right="740" w:hanging="620"/>
        <w:spacing w:after="0" w:line="295" w:lineRule="auto"/>
        <w:tabs>
          <w:tab w:leader="none" w:pos="1880"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manner that will result in a violation of Sanctions by any director, officer, employee, agent, Affiliate or representative of it or any of its Subsidiaries.</w:t>
      </w:r>
    </w:p>
    <w:p>
      <w:pPr>
        <w:spacing w:after="0" w:line="55" w:lineRule="exact"/>
        <w:rPr>
          <w:rFonts w:ascii="Times New Roman" w:cs="Times New Roman" w:eastAsia="Times New Roman" w:hAnsi="Times New Roman"/>
          <w:sz w:val="17"/>
          <w:szCs w:val="17"/>
          <w:color w:val="auto"/>
        </w:rPr>
      </w:pPr>
    </w:p>
    <w:p>
      <w:pPr>
        <w:ind w:left="1260" w:right="760" w:hanging="523"/>
        <w:spacing w:after="0" w:line="295" w:lineRule="auto"/>
        <w:tabs>
          <w:tab w:leader="none" w:pos="1260"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no member of the Group will) engage in any dealings or transactions with any Sanctioned Person, or in any country or territory that at the time of the dealing or transaction is a Sanctioned Country.</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24.9</w:t>
      </w:r>
      <w:r>
        <w:rPr>
          <w:sz w:val="20"/>
          <w:szCs w:val="20"/>
          <w:color w:val="auto"/>
        </w:rPr>
        <w:tab/>
      </w:r>
      <w:r>
        <w:rPr>
          <w:rFonts w:ascii="Times New Roman" w:cs="Times New Roman" w:eastAsia="Times New Roman" w:hAnsi="Times New Roman"/>
          <w:sz w:val="17"/>
          <w:szCs w:val="17"/>
          <w:b w:val="1"/>
          <w:bCs w:val="1"/>
          <w:color w:val="auto"/>
        </w:rPr>
        <w:t>Merger</w:t>
      </w:r>
    </w:p>
    <w:p>
      <w:pPr>
        <w:spacing w:after="0" w:line="120" w:lineRule="exact"/>
        <w:rPr>
          <w:sz w:val="20"/>
          <w:szCs w:val="20"/>
          <w:color w:val="auto"/>
        </w:rPr>
      </w:pPr>
    </w:p>
    <w:p>
      <w:pPr>
        <w:ind w:left="740" w:right="80"/>
        <w:spacing w:after="0" w:line="295" w:lineRule="auto"/>
        <w:rPr>
          <w:sz w:val="20"/>
          <w:szCs w:val="20"/>
          <w:color w:val="auto"/>
        </w:rPr>
      </w:pPr>
      <w:r>
        <w:rPr>
          <w:rFonts w:ascii="Times New Roman" w:cs="Times New Roman" w:eastAsia="Times New Roman" w:hAnsi="Times New Roman"/>
          <w:sz w:val="17"/>
          <w:szCs w:val="17"/>
          <w:color w:val="auto"/>
        </w:rPr>
        <w:t>The Company shall not (and shall ensure that no member of the Group will) enter into any amalgamation, demerger, merger, consolidation or corporate reconstruction other than a Permitted Transaction or a Permitted Reorganisation.</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91</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394" w:name="page395"/>
    <w:bookmarkEnd w:id="394"/>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24.10</w:t>
      </w:r>
      <w:r>
        <w:rPr>
          <w:sz w:val="20"/>
          <w:szCs w:val="20"/>
          <w:color w:val="auto"/>
        </w:rPr>
        <w:tab/>
      </w:r>
      <w:r>
        <w:rPr>
          <w:rFonts w:ascii="Times New Roman" w:cs="Times New Roman" w:eastAsia="Times New Roman" w:hAnsi="Times New Roman"/>
          <w:sz w:val="17"/>
          <w:szCs w:val="17"/>
          <w:b w:val="1"/>
          <w:bCs w:val="1"/>
          <w:color w:val="auto"/>
        </w:rPr>
        <w:t>Conduct of business and maintenance of status</w:t>
      </w:r>
    </w:p>
    <w:p>
      <w:pPr>
        <w:spacing w:after="0" w:line="120" w:lineRule="exact"/>
        <w:rPr>
          <w:sz w:val="20"/>
          <w:szCs w:val="20"/>
          <w:color w:val="auto"/>
        </w:rPr>
      </w:pPr>
    </w:p>
    <w:p>
      <w:pPr>
        <w:ind w:left="740" w:right="60"/>
        <w:spacing w:after="0" w:line="295" w:lineRule="auto"/>
        <w:rPr>
          <w:sz w:val="20"/>
          <w:szCs w:val="20"/>
          <w:color w:val="auto"/>
        </w:rPr>
      </w:pPr>
      <w:r>
        <w:rPr>
          <w:rFonts w:ascii="Times New Roman" w:cs="Times New Roman" w:eastAsia="Times New Roman" w:hAnsi="Times New Roman"/>
          <w:sz w:val="17"/>
          <w:szCs w:val="17"/>
          <w:color w:val="auto"/>
        </w:rPr>
        <w:t>The Company shall procure that no substantial change is made to the general nature of the business of the Group (taken as a whole) from that carried on as at 31 December 2019.</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24.11</w:t>
      </w:r>
      <w:r>
        <w:rPr>
          <w:sz w:val="20"/>
          <w:szCs w:val="20"/>
          <w:color w:val="auto"/>
        </w:rPr>
        <w:tab/>
      </w:r>
      <w:r>
        <w:rPr>
          <w:rFonts w:ascii="Times New Roman" w:cs="Times New Roman" w:eastAsia="Times New Roman" w:hAnsi="Times New Roman"/>
          <w:sz w:val="17"/>
          <w:szCs w:val="17"/>
          <w:b w:val="1"/>
          <w:bCs w:val="1"/>
          <w:color w:val="auto"/>
        </w:rPr>
        <w:t>Holding company activities</w:t>
      </w:r>
    </w:p>
    <w:p>
      <w:pPr>
        <w:spacing w:after="0" w:line="120" w:lineRule="exact"/>
        <w:rPr>
          <w:sz w:val="20"/>
          <w:szCs w:val="20"/>
          <w:color w:val="auto"/>
        </w:rPr>
      </w:pPr>
    </w:p>
    <w:p>
      <w:pPr>
        <w:ind w:left="740" w:right="60"/>
        <w:spacing w:after="0" w:line="295" w:lineRule="auto"/>
        <w:rPr>
          <w:sz w:val="20"/>
          <w:szCs w:val="20"/>
          <w:color w:val="auto"/>
        </w:rPr>
      </w:pPr>
      <w:r>
        <w:rPr>
          <w:rFonts w:ascii="Times New Roman" w:cs="Times New Roman" w:eastAsia="Times New Roman" w:hAnsi="Times New Roman"/>
          <w:sz w:val="17"/>
          <w:szCs w:val="17"/>
          <w:color w:val="auto"/>
        </w:rPr>
        <w:t>The Company shall not (and shall ensure that MCO Investments does not) trade, carry on any business, own any assets or incur any liabilities except for Permitted Holding Company Activities.</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24.12</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120" w:lineRule="exact"/>
        <w:rPr>
          <w:sz w:val="20"/>
          <w:szCs w:val="20"/>
          <w:color w:val="auto"/>
        </w:rPr>
      </w:pPr>
    </w:p>
    <w:p>
      <w:pPr>
        <w:ind w:left="740" w:right="480"/>
        <w:spacing w:after="0" w:line="276" w:lineRule="auto"/>
        <w:rPr>
          <w:sz w:val="20"/>
          <w:szCs w:val="20"/>
          <w:color w:val="auto"/>
        </w:rPr>
      </w:pPr>
      <w:r>
        <w:rPr>
          <w:rFonts w:ascii="Times New Roman" w:cs="Times New Roman" w:eastAsia="Times New Roman" w:hAnsi="Times New Roman"/>
          <w:sz w:val="17"/>
          <w:szCs w:val="17"/>
          <w:color w:val="auto"/>
        </w:rPr>
        <w:t xml:space="preserve">The Company shall ensure that at all times any unsecured and unsubordinated claims of a Finance Party against it under the Finance Documents rank at least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claims of all its other unsecured and unsubordinated creditors except those creditors whose claims are mandatorily preferred by laws of general application to companies.</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24.13</w:t>
      </w:r>
      <w:r>
        <w:rPr>
          <w:sz w:val="20"/>
          <w:szCs w:val="20"/>
          <w:color w:val="auto"/>
        </w:rPr>
        <w:tab/>
      </w:r>
      <w:r>
        <w:rPr>
          <w:rFonts w:ascii="Times New Roman" w:cs="Times New Roman" w:eastAsia="Times New Roman" w:hAnsi="Times New Roman"/>
          <w:sz w:val="17"/>
          <w:szCs w:val="17"/>
          <w:b w:val="1"/>
          <w:bCs w:val="1"/>
          <w:color w:val="auto"/>
        </w:rPr>
        <w:t>Negative pledge</w:t>
      </w:r>
    </w:p>
    <w:p>
      <w:pPr>
        <w:spacing w:after="0" w:line="1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this Clause 24.13, “</w:t>
      </w:r>
      <w:r>
        <w:rPr>
          <w:rFonts w:ascii="Times New Roman" w:cs="Times New Roman" w:eastAsia="Times New Roman" w:hAnsi="Times New Roman"/>
          <w:sz w:val="17"/>
          <w:szCs w:val="17"/>
          <w:b w:val="1"/>
          <w:bCs w:val="1"/>
          <w:color w:val="auto"/>
        </w:rPr>
        <w:t>Quasi-Security</w:t>
      </w:r>
      <w:r>
        <w:rPr>
          <w:rFonts w:ascii="Times New Roman" w:cs="Times New Roman" w:eastAsia="Times New Roman" w:hAnsi="Times New Roman"/>
          <w:sz w:val="17"/>
          <w:szCs w:val="17"/>
          <w:color w:val="auto"/>
        </w:rPr>
        <w:t>” means a transaction described in paragraph (b) below.</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Except as permitted under paragraph (c) below:</w:t>
      </w:r>
    </w:p>
    <w:p>
      <w:pPr>
        <w:spacing w:after="0" w:line="131" w:lineRule="exact"/>
        <w:rPr>
          <w:sz w:val="20"/>
          <w:szCs w:val="20"/>
          <w:color w:val="auto"/>
        </w:rPr>
      </w:pPr>
    </w:p>
    <w:p>
      <w:pPr>
        <w:ind w:left="1260" w:right="300" w:hanging="523"/>
        <w:spacing w:after="0" w:line="295" w:lineRule="auto"/>
        <w:tabs>
          <w:tab w:leader="none" w:pos="1260"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no member of the Group will) create or permit to subsist any Security over any of its assets.</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no member of the Group will):</w:t>
      </w:r>
    </w:p>
    <w:p>
      <w:pPr>
        <w:spacing w:after="0" w:line="131" w:lineRule="exact"/>
        <w:rPr>
          <w:rFonts w:ascii="Times New Roman" w:cs="Times New Roman" w:eastAsia="Times New Roman" w:hAnsi="Times New Roman"/>
          <w:sz w:val="17"/>
          <w:szCs w:val="17"/>
          <w:color w:val="auto"/>
        </w:rPr>
      </w:pPr>
    </w:p>
    <w:p>
      <w:pPr>
        <w:ind w:left="1880" w:right="280" w:hanging="620"/>
        <w:spacing w:after="0" w:line="295" w:lineRule="auto"/>
        <w:tabs>
          <w:tab w:leader="none" w:pos="1880" w:val="left"/>
        </w:tabs>
        <w:numPr>
          <w:ilvl w:val="1"/>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otherwise dispose of any of its assets on terms whereby they are or may be leased to or re-acquired by any member of the Group;</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factor or otherwise dispose of any of its receivables on recourse terms;</w:t>
      </w:r>
    </w:p>
    <w:p>
      <w:pPr>
        <w:spacing w:after="0" w:line="131" w:lineRule="exact"/>
        <w:rPr>
          <w:rFonts w:ascii="Times New Roman" w:cs="Times New Roman" w:eastAsia="Times New Roman" w:hAnsi="Times New Roman"/>
          <w:sz w:val="17"/>
          <w:szCs w:val="17"/>
          <w:color w:val="auto"/>
        </w:rPr>
      </w:pPr>
    </w:p>
    <w:p>
      <w:pPr>
        <w:ind w:left="1880" w:right="380" w:hanging="620"/>
        <w:spacing w:after="0" w:line="295" w:lineRule="auto"/>
        <w:tabs>
          <w:tab w:leader="none" w:pos="1880" w:val="left"/>
        </w:tabs>
        <w:numPr>
          <w:ilvl w:val="1"/>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arrangement under which money or the benefit of a bank or other account may be applied, set-off or made subject to a combination of accounts; or</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other preferential arrangement having a similar effect,</w:t>
      </w:r>
    </w:p>
    <w:p>
      <w:pPr>
        <w:spacing w:after="0" w:line="118" w:lineRule="exact"/>
        <w:rPr>
          <w:sz w:val="20"/>
          <w:szCs w:val="20"/>
          <w:color w:val="auto"/>
        </w:rPr>
      </w:pPr>
    </w:p>
    <w:p>
      <w:pPr>
        <w:ind w:left="1280" w:right="260"/>
        <w:spacing w:after="0" w:line="295" w:lineRule="auto"/>
        <w:rPr>
          <w:sz w:val="20"/>
          <w:szCs w:val="20"/>
          <w:color w:val="auto"/>
        </w:rPr>
      </w:pPr>
      <w:r>
        <w:rPr>
          <w:rFonts w:ascii="Times New Roman" w:cs="Times New Roman" w:eastAsia="Times New Roman" w:hAnsi="Times New Roman"/>
          <w:sz w:val="17"/>
          <w:szCs w:val="17"/>
          <w:color w:val="auto"/>
        </w:rPr>
        <w:t>in circumstances where the arrangement or transaction is entered into primarily as a method of raising Financial Indebtedness or of financing the acquisition of an asset.</w:t>
      </w:r>
    </w:p>
    <w:p>
      <w:pPr>
        <w:spacing w:after="0" w:line="55" w:lineRule="exact"/>
        <w:rPr>
          <w:sz w:val="20"/>
          <w:szCs w:val="20"/>
          <w:color w:val="auto"/>
        </w:rPr>
      </w:pPr>
    </w:p>
    <w:p>
      <w:pPr>
        <w:ind w:left="1260" w:hanging="523"/>
        <w:spacing w:after="0"/>
        <w:tabs>
          <w:tab w:leader="none" w:pos="126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Paragraphs (a) and (b) above do not apply to any Security or (as the case may be) Quasi-Security, which is: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Security;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Permitted Transaction or otherwise granted in connection with a Permitted Transaction.</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24.14</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133" w:lineRule="exact"/>
        <w:rPr>
          <w:sz w:val="20"/>
          <w:szCs w:val="20"/>
          <w:color w:val="auto"/>
        </w:rPr>
      </w:pPr>
    </w:p>
    <w:p>
      <w:pPr>
        <w:ind w:left="1260" w:right="100" w:hanging="523"/>
        <w:spacing w:after="0" w:line="276" w:lineRule="auto"/>
        <w:tabs>
          <w:tab w:leader="none" w:pos="126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permitted under paragraph (b) below, the Company shall not (and shall ensure that no member of the Group will) enter into a single transaction or a series of transactions (whether related or not) and whether voluntary or involuntary to sell, lease, transfer or otherwise dispose of all (or substantially all) of any Key Asset.</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(a) above does not apply to any sale, lease, transfer or other disposal which is:</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92</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395" w:name="page396"/>
    <w:bookmarkEnd w:id="395"/>
    <w:p>
      <w:pPr>
        <w:ind w:left="1880" w:hanging="620"/>
        <w:spacing w:after="0"/>
        <w:tabs>
          <w:tab w:leader="none" w:pos="188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Permitted Disposal;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Permitted Transaction.</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24.15</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133" w:lineRule="exact"/>
        <w:rPr>
          <w:sz w:val="20"/>
          <w:szCs w:val="20"/>
          <w:color w:val="auto"/>
        </w:rPr>
      </w:pPr>
    </w:p>
    <w:p>
      <w:pPr>
        <w:ind w:left="1260" w:right="200" w:hanging="523"/>
        <w:spacing w:after="0" w:line="295" w:lineRule="auto"/>
        <w:tabs>
          <w:tab w:leader="none" w:pos="1260"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(and shall ensure that each member of the Group will) maintain insurances on and in relation to its business and assets against those risks and to the extent as is usual for companies carrying on the same or substantially similar business.</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insurances and reinsurances must be with reputable independent insurance companies or underwriters.</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24.16</w:t>
      </w:r>
      <w:r>
        <w:rPr>
          <w:sz w:val="20"/>
          <w:szCs w:val="20"/>
          <w:color w:val="auto"/>
        </w:rPr>
        <w:tab/>
      </w:r>
      <w:r>
        <w:rPr>
          <w:rFonts w:ascii="Times New Roman" w:cs="Times New Roman" w:eastAsia="Times New Roman" w:hAnsi="Times New Roman"/>
          <w:sz w:val="17"/>
          <w:szCs w:val="17"/>
          <w:b w:val="1"/>
          <w:bCs w:val="1"/>
          <w:color w:val="auto"/>
        </w:rPr>
        <w:t>Access</w:t>
      </w:r>
    </w:p>
    <w:p>
      <w:pPr>
        <w:spacing w:after="0" w:line="120" w:lineRule="exact"/>
        <w:rPr>
          <w:sz w:val="20"/>
          <w:szCs w:val="20"/>
          <w:color w:val="auto"/>
        </w:rPr>
      </w:pPr>
    </w:p>
    <w:p>
      <w:pPr>
        <w:ind w:left="740" w:right="120"/>
        <w:spacing w:after="0" w:line="264" w:lineRule="auto"/>
        <w:rPr>
          <w:sz w:val="20"/>
          <w:szCs w:val="20"/>
          <w:color w:val="auto"/>
        </w:rPr>
      </w:pPr>
      <w:r>
        <w:rPr>
          <w:rFonts w:ascii="Times New Roman" w:cs="Times New Roman" w:eastAsia="Times New Roman" w:hAnsi="Times New Roman"/>
          <w:sz w:val="17"/>
          <w:szCs w:val="17"/>
          <w:color w:val="auto"/>
        </w:rPr>
        <w:t>The Company shall (and shall ensure that each member of the Group will), subject to prior reasonable request and notice (but notice only where a Default is continuing), procure that the Agent, accountants or other professional advisers or contractors of the Agent be allowed reasonable rights of inspection and access during normal business hours to any premises or assets of any member of the Group, to the Auditors and other senior officers of any member of the Group and to the books, accounts and records, and any other documents relating to any member of the Group as they may reasonably require, and so as not unreasonably to interfere with their operations, and to take copies of any documents inspected.</w:t>
      </w:r>
    </w:p>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24.17</w:t>
      </w:r>
      <w:r>
        <w:rPr>
          <w:sz w:val="20"/>
          <w:szCs w:val="20"/>
          <w:color w:val="auto"/>
        </w:rPr>
        <w:tab/>
      </w:r>
      <w:r>
        <w:rPr>
          <w:rFonts w:ascii="Times New Roman" w:cs="Times New Roman" w:eastAsia="Times New Roman" w:hAnsi="Times New Roman"/>
          <w:sz w:val="17"/>
          <w:szCs w:val="17"/>
          <w:b w:val="1"/>
          <w:bCs w:val="1"/>
          <w:color w:val="auto"/>
        </w:rPr>
        <w:t>Existing OpCo Facilities</w:t>
      </w:r>
    </w:p>
    <w:p>
      <w:pPr>
        <w:spacing w:after="0" w:line="133" w:lineRule="exact"/>
        <w:rPr>
          <w:sz w:val="20"/>
          <w:szCs w:val="20"/>
          <w:color w:val="auto"/>
        </w:rPr>
      </w:pPr>
    </w:p>
    <w:p>
      <w:pPr>
        <w:ind w:left="1260" w:hanging="523"/>
        <w:spacing w:after="0" w:line="266" w:lineRule="auto"/>
        <w:tabs>
          <w:tab w:leader="none" w:pos="126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ensure that, within one Business Day of the Initial Utilisation Date, the Existing OpCo Facilities have been fully repaid and/or prepaid and permanently cancelled and no amount in respect of any Existing OpCo Loan remains outstanding, save only that (i) an Existing OpCo Term Loan not exceeding HK$1,000,000 in principal amount may remain outstanding on and after such time but may not increase and (ii) commitments under the Existing OpCo RCF not exceeding HK$1,000,000 may remain in force on and after such time but may not increase.</w:t>
      </w:r>
    </w:p>
    <w:p>
      <w:pPr>
        <w:spacing w:after="0" w:line="79" w:lineRule="exact"/>
        <w:rPr>
          <w:rFonts w:ascii="Times New Roman" w:cs="Times New Roman" w:eastAsia="Times New Roman" w:hAnsi="Times New Roman"/>
          <w:sz w:val="17"/>
          <w:szCs w:val="17"/>
          <w:color w:val="auto"/>
        </w:rPr>
      </w:pPr>
    </w:p>
    <w:p>
      <w:pPr>
        <w:ind w:left="1260" w:right="60" w:hanging="523"/>
        <w:spacing w:after="0" w:line="266" w:lineRule="auto"/>
        <w:tabs>
          <w:tab w:leader="none" w:pos="126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ensure that neither Melco Resorts Macau nor any other Group Member submits any utilisation request to the Existing OpCo Facility Agent for a utilisation of any Existing OpCo Facility on or after the date of this Agreement,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Melco Resorts Macau may submit a utilisation request to the Existing OpCo Facility Agent from time to time for a new Existing OpCo RCF Loan so long as the aggregate principal amount outstanding under the Existing OpCo RCF Loans would not, as a result of such Existing OpCo RCF Loan being made, exceed HKD1,000,000.</w:t>
      </w:r>
    </w:p>
    <w:p>
      <w:pPr>
        <w:spacing w:after="0" w:line="79" w:lineRule="exact"/>
        <w:rPr>
          <w:rFonts w:ascii="Times New Roman" w:cs="Times New Roman" w:eastAsia="Times New Roman" w:hAnsi="Times New Roman"/>
          <w:sz w:val="17"/>
          <w:szCs w:val="17"/>
          <w:color w:val="auto"/>
        </w:rPr>
      </w:pPr>
    </w:p>
    <w:p>
      <w:pPr>
        <w:ind w:left="1260" w:right="60" w:hanging="523"/>
        <w:spacing w:after="0" w:line="260" w:lineRule="auto"/>
        <w:tabs>
          <w:tab w:leader="none" w:pos="126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ensure that no Group Member amends, varies, novates, supplements, supersedes or waives the Existing OpCo Facilities Agreement, any other finance document relating to the Existing OpCo Facilities or the terms and conditions of the Existing OpCo Facilities (or enters into any new finance document relating to an Existing OpCo Facility having a similar effect) in any respect (including, without limitation, to introduce any additional facilities or commitments or to make any representation, undertaking or event of default more onerous on the Group) other than (i) as contemplated by the conditions precedent set out in Schedule 2 (</w:t>
      </w:r>
      <w:r>
        <w:rPr>
          <w:rFonts w:ascii="Times New Roman" w:cs="Times New Roman" w:eastAsia="Times New Roman" w:hAnsi="Times New Roman"/>
          <w:sz w:val="17"/>
          <w:szCs w:val="17"/>
          <w:i w:val="1"/>
          <w:iCs w:val="1"/>
          <w:color w:val="auto"/>
        </w:rPr>
        <w:t>Conditions precedent</w:t>
      </w:r>
      <w:r>
        <w:rPr>
          <w:rFonts w:ascii="Times New Roman" w:cs="Times New Roman" w:eastAsia="Times New Roman" w:hAnsi="Times New Roman"/>
          <w:sz w:val="17"/>
          <w:szCs w:val="17"/>
          <w:color w:val="auto"/>
        </w:rPr>
        <w:t xml:space="preserve">), (ii) to extend the final maturity of one or more Existing OpCo Facilities, (iii) with the prior written consent of the Majority Lenders, or (iv)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has given not less than 5 Business Days’ prior written notice to the Agent of, and (if requested by a Finance Party) used its commercially reasonable endeavours to consult with that Finance Party during such period in connection with, the proposed amendment, variation, novation, supplement, waiver or superseding document, any amendment, variation, novation, supplement, waiver or superseding document that would not and would not reasonably be expected to be prejudicial to the interests of the Lenders (taken as a whole).</w:t>
      </w:r>
    </w:p>
    <w:p>
      <w:pPr>
        <w:spacing w:after="0" w:line="114"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93</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96" w:name="page397"/>
    <w:bookmarkEnd w:id="396"/>
    <w:p>
      <w:pPr>
        <w:jc w:val="both"/>
        <w:ind w:left="1260" w:right="80" w:hanging="523"/>
        <w:spacing w:after="0" w:line="276" w:lineRule="auto"/>
        <w:tabs>
          <w:tab w:leader="none" w:pos="1260"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shall ensure that each Group Member complies with all terms and conditions of the Existing OpCo Facility Continuing Lender Waiver in all respects and does not take any action that would entitle the Existing OpCo Facility Continuing Lender to revoke the Existing OpCo Facility Continuing Lender Waiver in whole or in part after the expiry of any applicable remedy period.</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24.18</w:t>
      </w:r>
      <w:r>
        <w:rPr>
          <w:sz w:val="20"/>
          <w:szCs w:val="20"/>
          <w:color w:val="auto"/>
        </w:rPr>
        <w:tab/>
      </w:r>
      <w:r>
        <w:rPr>
          <w:rFonts w:ascii="Times New Roman" w:cs="Times New Roman" w:eastAsia="Times New Roman" w:hAnsi="Times New Roman"/>
          <w:sz w:val="17"/>
          <w:szCs w:val="17"/>
          <w:b w:val="1"/>
          <w:bCs w:val="1"/>
          <w:color w:val="auto"/>
        </w:rPr>
        <w:t>Financial Indebtedness and guarantees</w:t>
      </w:r>
    </w:p>
    <w:p>
      <w:pPr>
        <w:spacing w:after="0" w:line="133" w:lineRule="exact"/>
        <w:rPr>
          <w:sz w:val="20"/>
          <w:szCs w:val="20"/>
          <w:color w:val="auto"/>
        </w:rPr>
      </w:pPr>
    </w:p>
    <w:p>
      <w:pPr>
        <w:ind w:left="1260" w:hanging="523"/>
        <w:spacing w:after="0" w:line="276" w:lineRule="auto"/>
        <w:tabs>
          <w:tab w:leader="none" w:pos="1260"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ensure that no Group Member will) incur or allow to remain outstanding any Financial Indebtedness owed to any Sponsor Affiliate other than Sponsor Group Loans and Subordinated Debts or as otherwise permitted pursuant to paragraph (g) of the definition of “Permitted Group Financial Indebtedness”.</w:t>
      </w:r>
    </w:p>
    <w:p>
      <w:pPr>
        <w:spacing w:after="0" w:line="70" w:lineRule="exact"/>
        <w:rPr>
          <w:rFonts w:ascii="Times New Roman" w:cs="Times New Roman" w:eastAsia="Times New Roman" w:hAnsi="Times New Roman"/>
          <w:sz w:val="17"/>
          <w:szCs w:val="17"/>
          <w:color w:val="auto"/>
        </w:rPr>
      </w:pPr>
    </w:p>
    <w:p>
      <w:pPr>
        <w:ind w:left="1260" w:right="140" w:hanging="523"/>
        <w:spacing w:after="0" w:line="295" w:lineRule="auto"/>
        <w:tabs>
          <w:tab w:leader="none" w:pos="1260"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incur or allow to remain outstanding any Bond Guarantee given by it that is or purports to be subordinated to the Facility Liabilities unless (at the cost of the Company):</w:t>
      </w:r>
    </w:p>
    <w:p>
      <w:pPr>
        <w:spacing w:after="0" w:line="55" w:lineRule="exact"/>
        <w:rPr>
          <w:rFonts w:ascii="Times New Roman" w:cs="Times New Roman" w:eastAsia="Times New Roman" w:hAnsi="Times New Roman"/>
          <w:sz w:val="17"/>
          <w:szCs w:val="17"/>
          <w:color w:val="auto"/>
        </w:rPr>
      </w:pPr>
    </w:p>
    <w:p>
      <w:pPr>
        <w:ind w:left="1880" w:right="100" w:hanging="620"/>
        <w:spacing w:after="0" w:line="264" w:lineRule="auto"/>
        <w:tabs>
          <w:tab w:leader="none" w:pos="1880"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Bondco and the notes trustee and any other applicable administrative parties in respect of the relevant Bondco Indebtedness have (A) entered into a subordination agreement with the Agent on substantially the same terms as the Subordination Deed (or otherwise in form and substance satisfactory to the Majority Lenders (acting reasonably)), which agreement has been designated as a Third Party Creditor Document and (B) provided to the Agent any other documentation and other evidence required by the Agent (acting reasonably) in connection therewith (in form and substance satisfactory to the Agent); and</w:t>
      </w:r>
    </w:p>
    <w:p>
      <w:pPr>
        <w:spacing w:after="0" w:line="82"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received:</w:t>
      </w:r>
    </w:p>
    <w:p>
      <w:pPr>
        <w:spacing w:after="0" w:line="131" w:lineRule="exact"/>
        <w:rPr>
          <w:rFonts w:ascii="Times New Roman" w:cs="Times New Roman" w:eastAsia="Times New Roman" w:hAnsi="Times New Roman"/>
          <w:sz w:val="17"/>
          <w:szCs w:val="17"/>
          <w:color w:val="auto"/>
        </w:rPr>
      </w:pPr>
    </w:p>
    <w:p>
      <w:pPr>
        <w:ind w:left="2420" w:right="80" w:hanging="520"/>
        <w:spacing w:after="0" w:line="264" w:lineRule="auto"/>
        <w:tabs>
          <w:tab w:leader="none" w:pos="2420" w:val="left"/>
        </w:tabs>
        <w:numPr>
          <w:ilvl w:val="2"/>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from the Company confirming that (to the satisfaction of the Majority Lenders, acting reasonably) Total Leverage for the Most Recent Relevant Period ending prior to the first incurrence of such Financial Indebtedness, in each case determined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giving effect to the incurrence of such Bond Guarantee (when taken together with all other Bond Guarantees), would not exceed the applicable ratio set forth opposite the Test Date for that Most Recent Relevant Period in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setting out (in reasonable detail) computations of such compliance and signed by an Authorised Representative;</w:t>
      </w:r>
    </w:p>
    <w:p>
      <w:pPr>
        <w:spacing w:after="0" w:line="82" w:lineRule="exact"/>
        <w:rPr>
          <w:rFonts w:ascii="Times New Roman" w:cs="Times New Roman" w:eastAsia="Times New Roman" w:hAnsi="Times New Roman"/>
          <w:sz w:val="17"/>
          <w:szCs w:val="17"/>
          <w:color w:val="auto"/>
        </w:rPr>
      </w:pPr>
    </w:p>
    <w:p>
      <w:pPr>
        <w:ind w:left="2420" w:right="500" w:hanging="520"/>
        <w:spacing w:after="0" w:line="295" w:lineRule="auto"/>
        <w:tabs>
          <w:tab w:leader="none" w:pos="2420" w:val="left"/>
        </w:tabs>
        <w:numPr>
          <w:ilvl w:val="2"/>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customary legal opinions in form and substance satisfactory to the Agent (acting on the instructions of the Majority Lenders, acting reasonably) and any documents required in connection therewith; and</w:t>
      </w:r>
    </w:p>
    <w:p>
      <w:pPr>
        <w:spacing w:after="0" w:line="55" w:lineRule="exact"/>
        <w:rPr>
          <w:rFonts w:ascii="Times New Roman" w:cs="Times New Roman" w:eastAsia="Times New Roman" w:hAnsi="Times New Roman"/>
          <w:sz w:val="17"/>
          <w:szCs w:val="17"/>
          <w:color w:val="auto"/>
        </w:rPr>
      </w:pPr>
    </w:p>
    <w:p>
      <w:pPr>
        <w:ind w:left="2420" w:right="60" w:hanging="520"/>
        <w:spacing w:after="0" w:line="269" w:lineRule="auto"/>
        <w:tabs>
          <w:tab w:leader="none" w:pos="2420" w:val="left"/>
        </w:tabs>
        <w:numPr>
          <w:ilvl w:val="2"/>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evidence in form and substance satisfactory to the Agent (acting reasonably) that any Authorisation required from a Governmental Authority (including of the government of Macau SAR) for the purposes of guaranteeing such other Financial Indebtedness has been obtained or (y) advice from Macanese counsel that no such Authorisations are required from any Governmental Authority.</w:t>
      </w:r>
    </w:p>
    <w:p>
      <w:pPr>
        <w:spacing w:after="0" w:line="77" w:lineRule="exact"/>
        <w:rPr>
          <w:rFonts w:ascii="Times New Roman" w:cs="Times New Roman" w:eastAsia="Times New Roman" w:hAnsi="Times New Roman"/>
          <w:sz w:val="17"/>
          <w:szCs w:val="17"/>
          <w:color w:val="auto"/>
        </w:rPr>
      </w:pPr>
    </w:p>
    <w:p>
      <w:pPr>
        <w:ind w:left="1260" w:right="200" w:hanging="523"/>
        <w:spacing w:after="0" w:line="295" w:lineRule="auto"/>
        <w:tabs>
          <w:tab w:leader="none" w:pos="1260"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ensure that each of its Subsidiaries that is a Group Member does not incur or allow to remain outstanding any Financial Indebtedness other than Permitted Group Financial Indebtedness or in circumstances constituting a Permitted Transaction.</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94</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397" w:name="page398"/>
    <w:bookmarkEnd w:id="397"/>
    <w:p>
      <w:pPr>
        <w:ind w:left="1268" w:right="360" w:hanging="523"/>
        <w:spacing w:after="0" w:line="276" w:lineRule="auto"/>
        <w:tabs>
          <w:tab w:leader="none" w:pos="1268" w:val="left"/>
        </w:tabs>
        <w:numPr>
          <w:ilvl w:val="1"/>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shall ensure that each of its Subsidiaries that is a Group Member does not incur or allow to remain outstanding any guarantee in respect of any obligation of any person other than Permitted Group Guarantees or in circumstances constituting a Permitted Transaction.</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5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of Default</w:t>
      </w:r>
    </w:p>
    <w:p>
      <w:pPr>
        <w:spacing w:after="0" w:line="118" w:lineRule="exact"/>
        <w:rPr>
          <w:rFonts w:ascii="Times New Roman" w:cs="Times New Roman" w:eastAsia="Times New Roman" w:hAnsi="Times New Roman"/>
          <w:sz w:val="17"/>
          <w:szCs w:val="17"/>
          <w:b w:val="1"/>
          <w:bCs w:val="1"/>
          <w:color w:val="auto"/>
        </w:rPr>
      </w:pPr>
    </w:p>
    <w:p>
      <w:pPr>
        <w:ind w:left="748" w:right="48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of the events or circumstances set out in this Clause 25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(excluding Clause 25.15 (</w:t>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 is an Event of Default.</w:t>
      </w:r>
    </w:p>
    <w:p>
      <w:pPr>
        <w:spacing w:after="0" w:line="286"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25.1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120" w:lineRule="exact"/>
        <w:rPr>
          <w:sz w:val="20"/>
          <w:szCs w:val="20"/>
          <w:color w:val="auto"/>
        </w:rPr>
      </w:pPr>
    </w:p>
    <w:p>
      <w:pPr>
        <w:ind w:left="748" w:right="240"/>
        <w:spacing w:after="0" w:line="295" w:lineRule="auto"/>
        <w:rPr>
          <w:sz w:val="20"/>
          <w:szCs w:val="20"/>
          <w:color w:val="auto"/>
        </w:rPr>
      </w:pPr>
      <w:r>
        <w:rPr>
          <w:rFonts w:ascii="Times New Roman" w:cs="Times New Roman" w:eastAsia="Times New Roman" w:hAnsi="Times New Roman"/>
          <w:sz w:val="17"/>
          <w:szCs w:val="17"/>
          <w:color w:val="auto"/>
        </w:rPr>
        <w:t>The Company or a Subsidiary Guarantor does not pay on the due date any amount payable pursuant to a Finance Document to which it is a party at the place at and in the currency in which it is expressed to be payable unless:</w:t>
      </w:r>
    </w:p>
    <w:p>
      <w:pPr>
        <w:spacing w:after="0" w:line="55" w:lineRule="exact"/>
        <w:rPr>
          <w:sz w:val="20"/>
          <w:szCs w:val="20"/>
          <w:color w:val="auto"/>
        </w:rPr>
      </w:pPr>
    </w:p>
    <w:p>
      <w:pPr>
        <w:ind w:left="1268" w:hanging="523"/>
        <w:spacing w:after="0"/>
        <w:tabs>
          <w:tab w:leader="none" w:pos="1268" w:val="left"/>
        </w:tabs>
        <w:numPr>
          <w:ilvl w:val="0"/>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interest, payment is made within 10 days of its due date;</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costs, fees and expenses, payment is made within 5 days of its due date; or</w:t>
      </w:r>
    </w:p>
    <w:p>
      <w:pPr>
        <w:spacing w:after="0" w:line="131" w:lineRule="exact"/>
        <w:rPr>
          <w:rFonts w:ascii="Times New Roman" w:cs="Times New Roman" w:eastAsia="Times New Roman" w:hAnsi="Times New Roman"/>
          <w:sz w:val="17"/>
          <w:szCs w:val="17"/>
          <w:color w:val="auto"/>
        </w:rPr>
      </w:pPr>
    </w:p>
    <w:p>
      <w:pPr>
        <w:ind w:left="1268" w:right="460" w:hanging="523"/>
        <w:spacing w:after="0" w:line="295" w:lineRule="auto"/>
        <w:tabs>
          <w:tab w:leader="none" w:pos="1268" w:val="left"/>
        </w:tabs>
        <w:numPr>
          <w:ilvl w:val="0"/>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paragraphs (a) and (b) above, its failure to pay is caused by administrative or technical error or a Disruption Event and payment is made within three (3) Business Days of its due date.</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Financial covenants and certain other obligations</w:t>
      </w:r>
    </w:p>
    <w:p>
      <w:pPr>
        <w:spacing w:after="0" w:line="118" w:lineRule="exact"/>
        <w:rPr>
          <w:sz w:val="20"/>
          <w:szCs w:val="20"/>
          <w:color w:val="auto"/>
        </w:rPr>
      </w:pPr>
    </w:p>
    <w:p>
      <w:pPr>
        <w:ind w:left="748" w:right="240"/>
        <w:spacing w:after="0" w:line="270" w:lineRule="auto"/>
        <w:rPr>
          <w:sz w:val="20"/>
          <w:szCs w:val="20"/>
          <w:color w:val="auto"/>
        </w:rPr>
      </w:pPr>
      <w:r>
        <w:rPr>
          <w:rFonts w:ascii="Times New Roman" w:cs="Times New Roman" w:eastAsia="Times New Roman" w:hAnsi="Times New Roman"/>
          <w:sz w:val="17"/>
          <w:szCs w:val="17"/>
          <w:color w:val="auto"/>
        </w:rPr>
        <w:t>Any requirement of Clause 23 (</w:t>
      </w:r>
      <w:r>
        <w:rPr>
          <w:rFonts w:ascii="Times New Roman" w:cs="Times New Roman" w:eastAsia="Times New Roman" w:hAnsi="Times New Roman"/>
          <w:sz w:val="17"/>
          <w:szCs w:val="17"/>
          <w:i w:val="1"/>
          <w:iCs w:val="1"/>
          <w:color w:val="auto"/>
        </w:rPr>
        <w:t>Financial covenants</w:t>
      </w:r>
      <w:r>
        <w:rPr>
          <w:rFonts w:ascii="Times New Roman" w:cs="Times New Roman" w:eastAsia="Times New Roman" w:hAnsi="Times New Roman"/>
          <w:sz w:val="17"/>
          <w:szCs w:val="17"/>
          <w:color w:val="auto"/>
        </w:rPr>
        <w:t>), Clause 24.17 (</w:t>
      </w:r>
      <w:r>
        <w:rPr>
          <w:rFonts w:ascii="Times New Roman" w:cs="Times New Roman" w:eastAsia="Times New Roman" w:hAnsi="Times New Roman"/>
          <w:sz w:val="17"/>
          <w:szCs w:val="17"/>
          <w:i w:val="1"/>
          <w:iCs w:val="1"/>
          <w:color w:val="auto"/>
        </w:rPr>
        <w:t>Existing OpCo Loan</w:t>
      </w:r>
      <w:r>
        <w:rPr>
          <w:rFonts w:ascii="Times New Roman" w:cs="Times New Roman" w:eastAsia="Times New Roman" w:hAnsi="Times New Roman"/>
          <w:sz w:val="17"/>
          <w:szCs w:val="17"/>
          <w:color w:val="auto"/>
        </w:rPr>
        <w:t>) or Clause 24.18 (</w:t>
      </w:r>
      <w:r>
        <w:rPr>
          <w:rFonts w:ascii="Times New Roman" w:cs="Times New Roman" w:eastAsia="Times New Roman" w:hAnsi="Times New Roman"/>
          <w:sz w:val="17"/>
          <w:szCs w:val="17"/>
          <w:i w:val="1"/>
          <w:iCs w:val="1"/>
          <w:color w:val="auto"/>
        </w:rPr>
        <w:t>Financial Indebtedness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guarantees</w:t>
      </w:r>
      <w:r>
        <w:rPr>
          <w:rFonts w:ascii="Times New Roman" w:cs="Times New Roman" w:eastAsia="Times New Roman" w:hAnsi="Times New Roman"/>
          <w:sz w:val="17"/>
          <w:szCs w:val="17"/>
          <w:color w:val="auto"/>
        </w:rPr>
        <w:t>) is not satisfied or the Company does not comply with the provisions of Clause 22.8 (</w:t>
      </w:r>
      <w:r>
        <w:rPr>
          <w:rFonts w:ascii="Times New Roman" w:cs="Times New Roman" w:eastAsia="Times New Roman" w:hAnsi="Times New Roman"/>
          <w:sz w:val="17"/>
          <w:szCs w:val="17"/>
          <w:i w:val="1"/>
          <w:iCs w:val="1"/>
          <w:color w:val="auto"/>
        </w:rPr>
        <w:t>Notification of default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 of Default under this paragraph will occur in relation to any non-compliance with Clause 22.8 (</w:t>
      </w:r>
      <w:r>
        <w:rPr>
          <w:rFonts w:ascii="Times New Roman" w:cs="Times New Roman" w:eastAsia="Times New Roman" w:hAnsi="Times New Roman"/>
          <w:sz w:val="17"/>
          <w:szCs w:val="17"/>
          <w:i w:val="1"/>
          <w:iCs w:val="1"/>
          <w:color w:val="auto"/>
        </w:rPr>
        <w:t>Notification of default</w:t>
      </w:r>
      <w:r>
        <w:rPr>
          <w:rFonts w:ascii="Times New Roman" w:cs="Times New Roman" w:eastAsia="Times New Roman" w:hAnsi="Times New Roman"/>
          <w:sz w:val="17"/>
          <w:szCs w:val="17"/>
          <w:color w:val="auto"/>
        </w:rPr>
        <w:t>) if failure to comply is capable of remedy and is remedied within seven (7) days.</w:t>
      </w:r>
    </w:p>
    <w:p>
      <w:pPr>
        <w:spacing w:after="0" w:line="310"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133" w:lineRule="exact"/>
        <w:rPr>
          <w:sz w:val="20"/>
          <w:szCs w:val="20"/>
          <w:color w:val="auto"/>
        </w:rPr>
      </w:pPr>
    </w:p>
    <w:p>
      <w:pPr>
        <w:ind w:left="1268" w:right="160" w:hanging="523"/>
        <w:spacing w:after="0" w:line="295" w:lineRule="auto"/>
        <w:tabs>
          <w:tab w:leader="none" w:pos="1268"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 Subsidiary Guarantor does not comply with any provision of the Finance Documents (other than those referred to in Clause 25.1 (</w:t>
      </w:r>
      <w:r>
        <w:rPr>
          <w:rFonts w:ascii="Times New Roman" w:cs="Times New Roman" w:eastAsia="Times New Roman" w:hAnsi="Times New Roman"/>
          <w:sz w:val="17"/>
          <w:szCs w:val="17"/>
          <w:i w:val="1"/>
          <w:iCs w:val="1"/>
          <w:color w:val="auto"/>
        </w:rPr>
        <w:t>Non-payment</w:t>
      </w:r>
      <w:r>
        <w:rPr>
          <w:rFonts w:ascii="Times New Roman" w:cs="Times New Roman" w:eastAsia="Times New Roman" w:hAnsi="Times New Roman"/>
          <w:sz w:val="17"/>
          <w:szCs w:val="17"/>
          <w:color w:val="auto"/>
        </w:rPr>
        <w:t>) and Clause 25.2 (</w:t>
      </w:r>
      <w:r>
        <w:rPr>
          <w:rFonts w:ascii="Times New Roman" w:cs="Times New Roman" w:eastAsia="Times New Roman" w:hAnsi="Times New Roman"/>
          <w:sz w:val="17"/>
          <w:szCs w:val="17"/>
          <w:i w:val="1"/>
          <w:iCs w:val="1"/>
          <w:color w:val="auto"/>
        </w:rPr>
        <w:t>Financial covenants and certain other obligations</w:t>
      </w:r>
      <w:r>
        <w:rPr>
          <w:rFonts w:ascii="Times New Roman" w:cs="Times New Roman" w:eastAsia="Times New Roman" w:hAnsi="Times New Roman"/>
          <w:sz w:val="17"/>
          <w:szCs w:val="17"/>
          <w:color w:val="auto"/>
        </w:rPr>
        <w:t>) above).</w:t>
      </w:r>
    </w:p>
    <w:p>
      <w:pPr>
        <w:spacing w:after="0" w:line="55" w:lineRule="exact"/>
        <w:rPr>
          <w:rFonts w:ascii="Times New Roman" w:cs="Times New Roman" w:eastAsia="Times New Roman" w:hAnsi="Times New Roman"/>
          <w:sz w:val="17"/>
          <w:szCs w:val="17"/>
          <w:color w:val="auto"/>
        </w:rPr>
      </w:pPr>
    </w:p>
    <w:p>
      <w:pPr>
        <w:ind w:left="1268" w:right="160" w:hanging="523"/>
        <w:spacing w:after="0" w:line="276" w:lineRule="auto"/>
        <w:tabs>
          <w:tab w:leader="none" w:pos="1268"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under paragraph (a) above will occur if the failure to comply is capable of remedy and is remedied within thirty (30) days of the Agent giving notice to the Company or the relevant Subsidiary Guarantor (as applicable) or the Company or the relevant Subsidiary Guarantor (as applicable) becoming aware of the failure to comply.</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25.4</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133" w:lineRule="exact"/>
        <w:rPr>
          <w:sz w:val="20"/>
          <w:szCs w:val="20"/>
          <w:color w:val="auto"/>
        </w:rPr>
      </w:pPr>
    </w:p>
    <w:p>
      <w:pPr>
        <w:jc w:val="both"/>
        <w:ind w:left="1268" w:right="80" w:hanging="523"/>
        <w:spacing w:after="0" w:line="276" w:lineRule="auto"/>
        <w:tabs>
          <w:tab w:leader="none" w:pos="1268" w:val="left"/>
        </w:tabs>
        <w:numPr>
          <w:ilvl w:val="0"/>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statement made or deemed to be made by the Company or a Subsidiary Guarantor in the Finance Documents to which it is a party or any other document delivered by or on behalf of the Company or a Subsidiary Guarantor under or in connection with any Finance Document is or proves to have been incorrect or misleading when made or deemed to be made.</w:t>
      </w:r>
    </w:p>
    <w:p>
      <w:pPr>
        <w:spacing w:after="0" w:line="70" w:lineRule="exact"/>
        <w:rPr>
          <w:rFonts w:ascii="Times New Roman" w:cs="Times New Roman" w:eastAsia="Times New Roman" w:hAnsi="Times New Roman"/>
          <w:sz w:val="17"/>
          <w:szCs w:val="17"/>
          <w:color w:val="auto"/>
        </w:rPr>
      </w:pPr>
    </w:p>
    <w:p>
      <w:pPr>
        <w:ind w:left="1268" w:right="120" w:hanging="523"/>
        <w:spacing w:after="0" w:line="276" w:lineRule="auto"/>
        <w:tabs>
          <w:tab w:leader="none" w:pos="1268" w:val="left"/>
        </w:tabs>
        <w:numPr>
          <w:ilvl w:val="0"/>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under paragraph (a) above will occur if the misrepresentation is capable of remedy and is remedied within thirty (30) days of the Agent giving notice to the Company or the relevant Subsidiary Guarantor (as applicable) or the Company or the relevant Subsidiary Guarantor (as applicable) becoming aware of the misrepresentation.</w:t>
      </w:r>
    </w:p>
    <w:p>
      <w:pPr>
        <w:spacing w:after="0" w:line="97" w:lineRule="exact"/>
        <w:rPr>
          <w:sz w:val="20"/>
          <w:szCs w:val="20"/>
          <w:color w:val="auto"/>
        </w:rPr>
      </w:pPr>
    </w:p>
    <w:tbl>
      <w:tblPr>
        <w:tblLayout w:type="fixed"/>
        <w:tblInd w:w="5248"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95</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398" w:name="page399"/>
    <w:bookmarkEnd w:id="398"/>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25.5</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133" w:lineRule="exact"/>
        <w:rPr>
          <w:sz w:val="20"/>
          <w:szCs w:val="20"/>
          <w:color w:val="auto"/>
        </w:rPr>
      </w:pPr>
    </w:p>
    <w:p>
      <w:pPr>
        <w:ind w:left="1260" w:right="420" w:hanging="523"/>
        <w:spacing w:after="0" w:line="295"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Financial Indebtedness of the Company or other member of the Group is not paid when due nor within any applicable grace period.</w:t>
      </w:r>
    </w:p>
    <w:p>
      <w:pPr>
        <w:spacing w:after="0" w:line="55" w:lineRule="exact"/>
        <w:rPr>
          <w:rFonts w:ascii="Times New Roman" w:cs="Times New Roman" w:eastAsia="Times New Roman" w:hAnsi="Times New Roman"/>
          <w:sz w:val="17"/>
          <w:szCs w:val="17"/>
          <w:color w:val="auto"/>
        </w:rPr>
      </w:pPr>
    </w:p>
    <w:p>
      <w:pPr>
        <w:ind w:left="1260" w:right="240" w:hanging="523"/>
        <w:spacing w:after="0" w:line="295"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Financial Indebtedness of the Company or other member of the Group is declared to be or otherwise becomes due and payable prior to its specified maturity as a result of an event of default (however described).</w:t>
      </w:r>
    </w:p>
    <w:p>
      <w:pPr>
        <w:spacing w:after="0" w:line="55" w:lineRule="exact"/>
        <w:rPr>
          <w:rFonts w:ascii="Times New Roman" w:cs="Times New Roman" w:eastAsia="Times New Roman" w:hAnsi="Times New Roman"/>
          <w:sz w:val="17"/>
          <w:szCs w:val="17"/>
          <w:color w:val="auto"/>
        </w:rPr>
      </w:pPr>
    </w:p>
    <w:p>
      <w:pPr>
        <w:ind w:left="1260" w:right="520" w:hanging="523"/>
        <w:spacing w:after="0" w:line="295"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commitment for any Financial Indebtedness of the Company or other member of the Group is cancelled or suspended by a creditor of the Company or other member of the Group as a result of an event of default (however described).</w:t>
      </w:r>
    </w:p>
    <w:p>
      <w:pPr>
        <w:spacing w:after="0" w:line="55" w:lineRule="exact"/>
        <w:rPr>
          <w:rFonts w:ascii="Times New Roman" w:cs="Times New Roman" w:eastAsia="Times New Roman" w:hAnsi="Times New Roman"/>
          <w:sz w:val="17"/>
          <w:szCs w:val="17"/>
          <w:color w:val="auto"/>
        </w:rPr>
      </w:pPr>
    </w:p>
    <w:p>
      <w:pPr>
        <w:ind w:left="1260" w:right="160" w:hanging="523"/>
        <w:spacing w:after="0" w:line="295"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creditor of the Company or other member of the Group becomes entitled to declare any Financial Indebtedness of the Company or other member of the Group due and payable prior to its specified maturity as a result of an event of default (however described).</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of default (however described) occurs under or in respect of any Bondco Indebtedness.</w:t>
      </w:r>
    </w:p>
    <w:p>
      <w:pPr>
        <w:spacing w:after="0" w:line="131" w:lineRule="exact"/>
        <w:rPr>
          <w:rFonts w:ascii="Times New Roman" w:cs="Times New Roman" w:eastAsia="Times New Roman" w:hAnsi="Times New Roman"/>
          <w:sz w:val="17"/>
          <w:szCs w:val="17"/>
          <w:color w:val="auto"/>
        </w:rPr>
      </w:pPr>
    </w:p>
    <w:p>
      <w:pPr>
        <w:ind w:left="1260" w:hanging="523"/>
        <w:spacing w:after="0" w:line="260"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event of default (however described) in respect of non-payment of amounts due and payable under or in respect of the Existing OpCo Facilities Agreement occurs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no Event of Default will occur under this paragraph (i) while the relevant event of default (however described) is subject to any waiver (including any conditional, temporary or revocable waiver) by the relevant finance parties under Existing OpCo Facilities Agreement at the time, (ii) any Financial Indebtedness of a Group Member under or in respect of the Existing OpCo Facilities Agreement is declared to be or otherwise becomes due and payable prior to its specified maturity (or, in the case where such date has passed and a relevant finance party under the Existing OpCo Facilities Agreement has waived final payment to a further specified date, prior to that further specified date) as a result of an event of default (however described) under the Existing OpCo Facilities Agreement (and after the expiry of any remedy periods therein), or (iii) any commitment for any Financial Indebtedness of a Group Member under or in respect of the Existing OpCo Facilities Agreement is cancelled or suspended by a relevant finance party under the Existing OpCo Facilities Agreement as a result of an event of default (however described) under the Existing OpCo Facilities Agreement (and after the expiry of any remedy periods therein).</w:t>
      </w:r>
    </w:p>
    <w:p>
      <w:pPr>
        <w:spacing w:after="0" w:line="88" w:lineRule="exact"/>
        <w:rPr>
          <w:rFonts w:ascii="Times New Roman" w:cs="Times New Roman" w:eastAsia="Times New Roman" w:hAnsi="Times New Roman"/>
          <w:sz w:val="17"/>
          <w:szCs w:val="17"/>
          <w:color w:val="auto"/>
        </w:rPr>
      </w:pPr>
    </w:p>
    <w:p>
      <w:pPr>
        <w:ind w:left="1260" w:right="60" w:hanging="523"/>
        <w:spacing w:after="0" w:line="295" w:lineRule="auto"/>
        <w:tabs>
          <w:tab w:leader="none" w:pos="126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will occur under this Clause 25.5 if the aggregate amount of Financial Indebtedness or commitment for Financial Indebtedness falling within paragraphs (a) to (d) above is less than USD50,000,000 (or its equivalent).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25.6</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133" w:lineRule="exact"/>
        <w:rPr>
          <w:sz w:val="20"/>
          <w:szCs w:val="20"/>
          <w:color w:val="auto"/>
        </w:rPr>
      </w:pPr>
    </w:p>
    <w:p>
      <w:pPr>
        <w:ind w:left="1260" w:right="40" w:hanging="523"/>
        <w:spacing w:after="0" w:line="269" w:lineRule="auto"/>
        <w:tabs>
          <w:tab w:leader="none" w:pos="1260" w:val="left"/>
        </w:tabs>
        <w:numPr>
          <w:ilvl w:val="0"/>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other member of the Group is unable or admits inability to pay its debts as they fall due or is deemed or declared to be unable to pay its debts under applicable law or, by reason of actual or anticipated financial difficulties, suspends or threatens to suspend making payments on any of its debts or commences negotiations with one or more of its creditors with a view to rescheduling any of its indebtedness.</w:t>
      </w:r>
    </w:p>
    <w:p>
      <w:pPr>
        <w:spacing w:after="0" w:line="77"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assets of the Group (on a consolidated basis) is less than its liabilities (on a consolidated basis).</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96</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399" w:name="page400"/>
    <w:bookmarkEnd w:id="399"/>
    <w:p>
      <w:pPr>
        <w:ind w:left="1260" w:right="180" w:hanging="523"/>
        <w:spacing w:after="0" w:line="295" w:lineRule="auto"/>
        <w:tabs>
          <w:tab w:leader="none" w:pos="1260"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moratorium is declared in respect of any indebtedness of the Company or other member of the Group. If a moratorium occurs, the ending of the moratorium will not remedy any Event of Default caused by that moratorium.</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25.7</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133" w:lineRule="exact"/>
        <w:rPr>
          <w:sz w:val="20"/>
          <w:szCs w:val="20"/>
          <w:color w:val="auto"/>
        </w:rPr>
      </w:pPr>
    </w:p>
    <w:p>
      <w:pPr>
        <w:ind w:left="1260" w:hanging="523"/>
        <w:spacing w:after="0"/>
        <w:tabs>
          <w:tab w:leader="none" w:pos="1260"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corporate action, legal proceedings or other procedure or formal step is taken in relation to:</w:t>
      </w:r>
    </w:p>
    <w:p>
      <w:pPr>
        <w:spacing w:after="0" w:line="131" w:lineRule="exact"/>
        <w:rPr>
          <w:rFonts w:ascii="Times New Roman" w:cs="Times New Roman" w:eastAsia="Times New Roman" w:hAnsi="Times New Roman"/>
          <w:sz w:val="17"/>
          <w:szCs w:val="17"/>
          <w:color w:val="auto"/>
        </w:rPr>
      </w:pPr>
    </w:p>
    <w:p>
      <w:pPr>
        <w:ind w:left="1880" w:right="60" w:hanging="620"/>
        <w:spacing w:after="0" w:line="295" w:lineRule="auto"/>
        <w:tabs>
          <w:tab w:leader="none" w:pos="188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of payments, a moratorium of any indebtedness, winding-up, dissolution, administration or reorganisation (by way of voluntary arrangement, scheme of arrangement or otherwise) of the Company or other member of the Group;</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composition, compromise, assignment or arrangement with any creditor of the Company or other member of the Group;</w:t>
      </w:r>
    </w:p>
    <w:p>
      <w:pPr>
        <w:spacing w:after="0" w:line="131" w:lineRule="exact"/>
        <w:rPr>
          <w:rFonts w:ascii="Times New Roman" w:cs="Times New Roman" w:eastAsia="Times New Roman" w:hAnsi="Times New Roman"/>
          <w:sz w:val="17"/>
          <w:szCs w:val="17"/>
          <w:color w:val="auto"/>
        </w:rPr>
      </w:pPr>
    </w:p>
    <w:p>
      <w:pPr>
        <w:jc w:val="both"/>
        <w:ind w:left="1880" w:right="120" w:hanging="620"/>
        <w:spacing w:after="0" w:line="276" w:lineRule="auto"/>
        <w:tabs>
          <w:tab w:leader="none" w:pos="188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a liquidator, receiver, administrative receiver, administrator, compulsory manager or other similar officer in respect of the Company or other member of the Group or any of its assets (other than assets that are in any way part of an Excluded Project and which do not form part of, and are not otherwise necessary for the operation of, any Project); or</w:t>
      </w:r>
    </w:p>
    <w:p>
      <w:pPr>
        <w:spacing w:after="0" w:line="70" w:lineRule="exact"/>
        <w:rPr>
          <w:rFonts w:ascii="Times New Roman" w:cs="Times New Roman" w:eastAsia="Times New Roman" w:hAnsi="Times New Roman"/>
          <w:sz w:val="17"/>
          <w:szCs w:val="17"/>
          <w:color w:val="auto"/>
        </w:rPr>
      </w:pPr>
    </w:p>
    <w:p>
      <w:pPr>
        <w:ind w:left="1880" w:right="100" w:hanging="620"/>
        <w:spacing w:after="0" w:line="276" w:lineRule="auto"/>
        <w:tabs>
          <w:tab w:leader="none" w:pos="188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enforcement of any Security over any assets of the Company or other member of the Group (other than assets that are in any way part of an Excluded Project and which do not form part of, and are not otherwise necessary for the operation of, any Project),</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or any analogous procedure or step is taken in any jurisdiction.</w:t>
      </w:r>
    </w:p>
    <w:p>
      <w:pPr>
        <w:spacing w:after="0" w:line="131" w:lineRule="exact"/>
        <w:rPr>
          <w:sz w:val="20"/>
          <w:szCs w:val="20"/>
          <w:color w:val="auto"/>
        </w:rPr>
      </w:pPr>
    </w:p>
    <w:p>
      <w:pPr>
        <w:ind w:left="1260" w:right="100" w:hanging="523"/>
        <w:spacing w:after="0" w:line="295" w:lineRule="auto"/>
        <w:tabs>
          <w:tab w:leader="none" w:pos="1260"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(a) shall not apply to any winding-up petition which is frivolous or vexatious and is discharged, stayed or dismissed within sixty (60) days of commencement or, if earlier, the date on which it is advertised.</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25.8</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120" w:lineRule="exact"/>
        <w:rPr>
          <w:sz w:val="20"/>
          <w:szCs w:val="20"/>
          <w:color w:val="auto"/>
        </w:rPr>
      </w:pPr>
    </w:p>
    <w:p>
      <w:pPr>
        <w:jc w:val="both"/>
        <w:ind w:left="740" w:right="40"/>
        <w:spacing w:after="0" w:line="266" w:lineRule="auto"/>
        <w:rPr>
          <w:sz w:val="20"/>
          <w:szCs w:val="20"/>
          <w:color w:val="auto"/>
        </w:rPr>
      </w:pPr>
      <w:r>
        <w:rPr>
          <w:rFonts w:ascii="Times New Roman" w:cs="Times New Roman" w:eastAsia="Times New Roman" w:hAnsi="Times New Roman"/>
          <w:sz w:val="17"/>
          <w:szCs w:val="17"/>
          <w:color w:val="auto"/>
        </w:rPr>
        <w:t>Any expropriation, attachment, sequestration, distress or execution or any analogous process in any jurisdiction affects any asset or assets of the Company or other member of the Group (other than assets that are in any way part of an Excluded Project and which do not form part of, and are not otherwise necessary for the operation of, any Project) having an aggregate value of at least USD50,000,000 (or its equivalent) and is not discharged within (in the case of any process in a jurisdiction other than Macau SAR) thirty (30) days and (in the case of any process in Macau SAR) sixty (60) days.</w:t>
      </w:r>
    </w:p>
    <w:p>
      <w:pPr>
        <w:spacing w:after="0" w:line="3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25.9</w:t>
      </w:r>
      <w:r>
        <w:rPr>
          <w:sz w:val="20"/>
          <w:szCs w:val="20"/>
          <w:color w:val="auto"/>
        </w:rPr>
        <w:tab/>
      </w:r>
      <w:r>
        <w:rPr>
          <w:rFonts w:ascii="Times New Roman" w:cs="Times New Roman" w:eastAsia="Times New Roman" w:hAnsi="Times New Roman"/>
          <w:sz w:val="17"/>
          <w:szCs w:val="17"/>
          <w:b w:val="1"/>
          <w:bCs w:val="1"/>
          <w:color w:val="auto"/>
        </w:rPr>
        <w:t>Unlawfulness and invalidity</w:t>
      </w:r>
    </w:p>
    <w:p>
      <w:pPr>
        <w:spacing w:after="0" w:line="133" w:lineRule="exact"/>
        <w:rPr>
          <w:sz w:val="20"/>
          <w:szCs w:val="20"/>
          <w:color w:val="auto"/>
        </w:rPr>
      </w:pPr>
    </w:p>
    <w:p>
      <w:pPr>
        <w:ind w:left="1260" w:right="40" w:hanging="523"/>
        <w:spacing w:after="0" w:line="276" w:lineRule="auto"/>
        <w:tabs>
          <w:tab w:leader="none" w:pos="1260"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or becomes unlawful for the Company or any other member of the Group or any Subordinated Creditor (or any other person other than a Finance Party or a Group Member) party to any other Third Party Creditor Document) to perform any of its obligations under the Finance Documents or any subordination created under any Third Party Creditor Document is or becomes unlawful.</w:t>
      </w:r>
    </w:p>
    <w:p>
      <w:pPr>
        <w:spacing w:after="0" w:line="70" w:lineRule="exact"/>
        <w:rPr>
          <w:rFonts w:ascii="Times New Roman" w:cs="Times New Roman" w:eastAsia="Times New Roman" w:hAnsi="Times New Roman"/>
          <w:sz w:val="17"/>
          <w:szCs w:val="17"/>
          <w:color w:val="auto"/>
        </w:rPr>
      </w:pPr>
    </w:p>
    <w:p>
      <w:pPr>
        <w:ind w:left="1260" w:right="380" w:hanging="523"/>
        <w:spacing w:after="0" w:line="276" w:lineRule="auto"/>
        <w:tabs>
          <w:tab w:leader="none" w:pos="1260"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or obligations of the Company, any other member of the Group or any Subordinated Creditor (or any other person other than a Finance Party or a Group Member) party to any other Third Party Creditor Document) under any of the Finance Documents are not (subject to the Legal Reservations) or cease to be legal, valid, binding or enforceable.</w:t>
      </w:r>
    </w:p>
    <w:p>
      <w:pPr>
        <w:spacing w:after="0" w:line="97"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97</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00" w:name="page401"/>
    <w:bookmarkEnd w:id="400"/>
    <w:p>
      <w:pPr>
        <w:jc w:val="both"/>
        <w:ind w:left="1260" w:right="180" w:hanging="523"/>
        <w:spacing w:after="0" w:line="276" w:lineRule="auto"/>
        <w:tabs>
          <w:tab w:leader="none" w:pos="1260"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Finance Document ceases to be in full force and effect or any subordination created or expressed to be created under any Third Party Creditor Document (including the subordination of any Sponsor Group Loans and other Subordinated Debt) is not or ceases to be legal, valid, binding, enforceable or effective or is alleged by a party to it (other than a Finance Party) to be ineffective.</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25.10</w:t>
      </w:r>
      <w:r>
        <w:rPr>
          <w:sz w:val="20"/>
          <w:szCs w:val="20"/>
          <w:color w:val="auto"/>
        </w:rPr>
        <w:tab/>
      </w:r>
      <w:r>
        <w:rPr>
          <w:rFonts w:ascii="Times New Roman" w:cs="Times New Roman" w:eastAsia="Times New Roman" w:hAnsi="Times New Roman"/>
          <w:sz w:val="17"/>
          <w:szCs w:val="17"/>
          <w:b w:val="1"/>
          <w:bCs w:val="1"/>
          <w:color w:val="auto"/>
        </w:rPr>
        <w:t>Third Party Creditor Documents</w:t>
      </w:r>
    </w:p>
    <w:p>
      <w:pPr>
        <w:spacing w:after="0" w:line="133" w:lineRule="exact"/>
        <w:rPr>
          <w:sz w:val="20"/>
          <w:szCs w:val="20"/>
          <w:color w:val="auto"/>
        </w:rPr>
      </w:pPr>
    </w:p>
    <w:p>
      <w:pPr>
        <w:ind w:left="1260" w:right="300" w:hanging="523"/>
        <w:spacing w:after="0" w:line="295" w:lineRule="auto"/>
        <w:tabs>
          <w:tab w:leader="none" w:pos="1260"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to a Third Party Creditor Document (other than a Finance Party or an Obligor) fails to comply with the provisions of, or does not perform its obligations under, that Third Party Creditor Deed; or</w:t>
      </w:r>
    </w:p>
    <w:p>
      <w:pPr>
        <w:spacing w:after="0" w:line="55" w:lineRule="exact"/>
        <w:rPr>
          <w:rFonts w:ascii="Times New Roman" w:cs="Times New Roman" w:eastAsia="Times New Roman" w:hAnsi="Times New Roman"/>
          <w:sz w:val="17"/>
          <w:szCs w:val="17"/>
          <w:color w:val="auto"/>
        </w:rPr>
      </w:pPr>
    </w:p>
    <w:p>
      <w:pPr>
        <w:ind w:left="1260" w:right="1240" w:hanging="523"/>
        <w:spacing w:after="0" w:line="295" w:lineRule="auto"/>
        <w:tabs>
          <w:tab w:leader="none" w:pos="1260"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or warranty given by that party in that Third Party Creditor Deed is incorrect in any respect and such misrepresentation is materially adverse to the interest of the Lenders (taken as a whole),</w:t>
      </w:r>
    </w:p>
    <w:p>
      <w:pPr>
        <w:spacing w:after="0" w:line="42" w:lineRule="exact"/>
        <w:rPr>
          <w:sz w:val="20"/>
          <w:szCs w:val="20"/>
          <w:color w:val="auto"/>
        </w:rPr>
      </w:pPr>
    </w:p>
    <w:p>
      <w:pPr>
        <w:ind w:left="740" w:right="360"/>
        <w:spacing w:after="0" w:line="295" w:lineRule="auto"/>
        <w:rPr>
          <w:sz w:val="20"/>
          <w:szCs w:val="20"/>
          <w:color w:val="auto"/>
        </w:rPr>
      </w:pPr>
      <w:r>
        <w:rPr>
          <w:rFonts w:ascii="Times New Roman" w:cs="Times New Roman" w:eastAsia="Times New Roman" w:hAnsi="Times New Roman"/>
          <w:sz w:val="17"/>
          <w:szCs w:val="17"/>
          <w:color w:val="auto"/>
        </w:rPr>
        <w:t>and, if the non-compliance or circumstances giving rise to the misrepresentation are capable of remedy, it is not remedied within sixty (60) days of the earlier of the Agent giving notice to that party or that party becoming aware of the non-compliance or misrepresentation.</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25.11</w:t>
      </w:r>
      <w:r>
        <w:rPr>
          <w:sz w:val="20"/>
          <w:szCs w:val="20"/>
          <w:color w:val="auto"/>
        </w:rPr>
        <w:tab/>
      </w:r>
      <w:r>
        <w:rPr>
          <w:rFonts w:ascii="Times New Roman" w:cs="Times New Roman" w:eastAsia="Times New Roman" w:hAnsi="Times New Roman"/>
          <w:sz w:val="17"/>
          <w:szCs w:val="17"/>
          <w:b w:val="1"/>
          <w:bCs w:val="1"/>
          <w:color w:val="auto"/>
        </w:rPr>
        <w:t>Repudiation and rescission of agreements</w:t>
      </w:r>
    </w:p>
    <w:p>
      <w:pPr>
        <w:spacing w:after="0" w:line="133" w:lineRule="exact"/>
        <w:rPr>
          <w:sz w:val="20"/>
          <w:szCs w:val="20"/>
          <w:color w:val="auto"/>
        </w:rPr>
      </w:pPr>
    </w:p>
    <w:p>
      <w:pPr>
        <w:ind w:left="1260" w:right="500" w:hanging="523"/>
        <w:spacing w:after="0" w:line="276" w:lineRule="auto"/>
        <w:tabs>
          <w:tab w:leader="none" w:pos="1260"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any Subsidiary Guarantor or any other member of the Group (or any other relevant party) rescinds or purports to rescind or repudiates or purports to repudiate a Finance Document or evidences an intention to rescind or repudiate a Finance Document.</w:t>
      </w:r>
    </w:p>
    <w:p>
      <w:pPr>
        <w:spacing w:after="0" w:line="70" w:lineRule="exact"/>
        <w:rPr>
          <w:rFonts w:ascii="Times New Roman" w:cs="Times New Roman" w:eastAsia="Times New Roman" w:hAnsi="Times New Roman"/>
          <w:sz w:val="17"/>
          <w:szCs w:val="17"/>
          <w:color w:val="auto"/>
        </w:rPr>
      </w:pPr>
    </w:p>
    <w:p>
      <w:pPr>
        <w:ind w:left="1260" w:right="280" w:hanging="523"/>
        <w:spacing w:after="0" w:line="276" w:lineRule="auto"/>
        <w:tabs>
          <w:tab w:leader="none" w:pos="1260"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to any of the other Transaction Documents rescinds or purports to rescind or repudiates or purports to repudiate any of those Transaction Documents in whole or in part where (other than in the case of the Concession or any Land Concession) to do so has or would, in the reasonable opinion of the Majority Lenders, have a Material Adverse Effect.</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25.12</w:t>
      </w:r>
      <w:r>
        <w:rPr>
          <w:sz w:val="20"/>
          <w:szCs w:val="20"/>
          <w:color w:val="auto"/>
        </w:rPr>
        <w:tab/>
      </w:r>
      <w:r>
        <w:rPr>
          <w:rFonts w:ascii="Times New Roman" w:cs="Times New Roman" w:eastAsia="Times New Roman" w:hAnsi="Times New Roman"/>
          <w:sz w:val="17"/>
          <w:szCs w:val="17"/>
          <w:b w:val="1"/>
          <w:bCs w:val="1"/>
          <w:color w:val="auto"/>
        </w:rPr>
        <w:t>Expropriation</w:t>
      </w:r>
    </w:p>
    <w:p>
      <w:pPr>
        <w:spacing w:after="0" w:line="120" w:lineRule="exact"/>
        <w:rPr>
          <w:sz w:val="20"/>
          <w:szCs w:val="20"/>
          <w:color w:val="auto"/>
        </w:rPr>
      </w:pPr>
    </w:p>
    <w:p>
      <w:pPr>
        <w:ind w:left="740" w:right="140"/>
        <w:spacing w:after="0" w:line="263" w:lineRule="auto"/>
        <w:rPr>
          <w:sz w:val="20"/>
          <w:szCs w:val="20"/>
          <w:color w:val="auto"/>
        </w:rPr>
      </w:pPr>
      <w:r>
        <w:rPr>
          <w:rFonts w:ascii="Times New Roman" w:cs="Times New Roman" w:eastAsia="Times New Roman" w:hAnsi="Times New Roman"/>
          <w:sz w:val="17"/>
          <w:szCs w:val="17"/>
          <w:color w:val="auto"/>
        </w:rPr>
        <w:t>The authority or ability of the Company or any other member of the Group to conduct its business, pursue any Project or enjoy the use of all or any material part of its assets (in each case, other than in respect of any business solely related to an Excluded Project or the Mocha Business or assets that relate to or are in any way part of an Excluded Project or the Mocha Business and which do not form part of, and are not otherwise necessary for the operation of, any Project) is wholly or substantially limited or curtailed by any seizure, expropriation, nationalisation, intervention, restriction or other action (including as a result of any change in (or in the interpretation, administration or application of), or the introduction of, any Legal Requirement) by or on behalf of any Governmental Authority or other person in relation to any member of the Group or any of its assets.</w:t>
      </w:r>
    </w:p>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25.13</w:t>
      </w:r>
      <w:r>
        <w:rPr>
          <w:sz w:val="20"/>
          <w:szCs w:val="20"/>
          <w:color w:val="auto"/>
        </w:rPr>
        <w:tab/>
      </w:r>
      <w:r>
        <w:rPr>
          <w:rFonts w:ascii="Times New Roman" w:cs="Times New Roman" w:eastAsia="Times New Roman" w:hAnsi="Times New Roman"/>
          <w:sz w:val="17"/>
          <w:szCs w:val="17"/>
          <w:b w:val="1"/>
          <w:bCs w:val="1"/>
          <w:color w:val="auto"/>
        </w:rPr>
        <w:t>Permits</w:t>
      </w:r>
    </w:p>
    <w:p>
      <w:pPr>
        <w:spacing w:after="0" w:line="120" w:lineRule="exact"/>
        <w:rPr>
          <w:sz w:val="20"/>
          <w:szCs w:val="20"/>
          <w:color w:val="auto"/>
        </w:rPr>
      </w:pPr>
    </w:p>
    <w:p>
      <w:pPr>
        <w:ind w:left="740" w:right="260"/>
        <w:spacing w:after="0" w:line="269" w:lineRule="auto"/>
        <w:rPr>
          <w:sz w:val="20"/>
          <w:szCs w:val="20"/>
          <w:color w:val="auto"/>
        </w:rPr>
      </w:pPr>
      <w:r>
        <w:rPr>
          <w:rFonts w:ascii="Times New Roman" w:cs="Times New Roman" w:eastAsia="Times New Roman" w:hAnsi="Times New Roman"/>
          <w:sz w:val="17"/>
          <w:szCs w:val="17"/>
          <w:color w:val="auto"/>
        </w:rPr>
        <w:t>Any Permit (other than any Land Concession or Concession) required or necessary for the ownership, operation of any Project, or any provision thereof is suspended, revoked, cancelled, terminated or materially and adversely modified or fails to be in full force and effect or any Governmental Authority challenges or seeks to revoke any such Permit if such failure to perform, violation, breach, suspension, revocation, cancellation, termination or modification has or would reasonably be expected to have a Material Adverse Effect.</w:t>
      </w:r>
    </w:p>
    <w:p>
      <w:pPr>
        <w:spacing w:after="0" w:line="104"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98</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401" w:name="page402"/>
    <w:bookmarkEnd w:id="401"/>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25.14</w:t>
      </w:r>
      <w:r>
        <w:rPr>
          <w:sz w:val="20"/>
          <w:szCs w:val="20"/>
          <w:color w:val="auto"/>
        </w:rPr>
        <w:tab/>
      </w:r>
      <w:r>
        <w:rPr>
          <w:rFonts w:ascii="Times New Roman" w:cs="Times New Roman" w:eastAsia="Times New Roman" w:hAnsi="Times New Roman"/>
          <w:sz w:val="17"/>
          <w:szCs w:val="17"/>
          <w:b w:val="1"/>
          <w:bCs w:val="1"/>
          <w:color w:val="auto"/>
        </w:rPr>
        <w:t>Judgment</w:t>
      </w:r>
    </w:p>
    <w:p>
      <w:pPr>
        <w:spacing w:after="0" w:line="120" w:lineRule="exact"/>
        <w:rPr>
          <w:sz w:val="20"/>
          <w:szCs w:val="20"/>
          <w:color w:val="auto"/>
        </w:rPr>
      </w:pPr>
    </w:p>
    <w:p>
      <w:pPr>
        <w:ind w:left="740" w:right="60"/>
        <w:spacing w:after="0" w:line="269" w:lineRule="auto"/>
        <w:rPr>
          <w:sz w:val="20"/>
          <w:szCs w:val="20"/>
          <w:color w:val="auto"/>
        </w:rPr>
      </w:pPr>
      <w:r>
        <w:rPr>
          <w:rFonts w:ascii="Times New Roman" w:cs="Times New Roman" w:eastAsia="Times New Roman" w:hAnsi="Times New Roman"/>
          <w:sz w:val="17"/>
          <w:szCs w:val="17"/>
          <w:color w:val="auto"/>
        </w:rPr>
        <w:t>The Company or any other member of the Group fails to pay any final non-appealable judgments or orders (not paid or covered by insurance as to which the relevant insurance company has not denied responsibility) rendered against it which (i) in aggregate liability across the Group exceed US$50,000,000 (or its equivalent in any other currency or currencies) and (ii) are not paid, bonded, discharged or stayed within 60 days of the making of such final non-appealable judgments or orders.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25.15  Acceleration</w:t>
      </w:r>
    </w:p>
    <w:p>
      <w:pPr>
        <w:spacing w:after="0" w:line="120" w:lineRule="exact"/>
        <w:rPr>
          <w:sz w:val="20"/>
          <w:szCs w:val="20"/>
          <w:color w:val="auto"/>
        </w:rPr>
      </w:pPr>
    </w:p>
    <w:p>
      <w:pPr>
        <w:ind w:left="740" w:right="300"/>
        <w:spacing w:after="0" w:line="295" w:lineRule="auto"/>
        <w:rPr>
          <w:sz w:val="20"/>
          <w:szCs w:val="20"/>
          <w:color w:val="auto"/>
        </w:rPr>
      </w:pPr>
      <w:r>
        <w:rPr>
          <w:rFonts w:ascii="Times New Roman" w:cs="Times New Roman" w:eastAsia="Times New Roman" w:hAnsi="Times New Roman"/>
          <w:sz w:val="17"/>
          <w:szCs w:val="17"/>
          <w:color w:val="auto"/>
        </w:rPr>
        <w:t>On and at any time after the occurrence of an Event of Default which is continuing the Agent may, and shall if so directed by the Majority Lenders, by notice to the Company:</w:t>
      </w:r>
    </w:p>
    <w:p>
      <w:pPr>
        <w:spacing w:after="0" w:line="55" w:lineRule="exact"/>
        <w:rPr>
          <w:sz w:val="20"/>
          <w:szCs w:val="20"/>
          <w:color w:val="auto"/>
        </w:rPr>
      </w:pPr>
    </w:p>
    <w:p>
      <w:pPr>
        <w:ind w:left="1260" w:hanging="523"/>
        <w:spacing w:after="0"/>
        <w:tabs>
          <w:tab w:leader="none" w:pos="126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the Total Commitments and Incremental Facility Commitments, whereupon they shall immediately be cancelled;</w:t>
      </w:r>
    </w:p>
    <w:p>
      <w:pPr>
        <w:spacing w:after="0" w:line="131" w:lineRule="exact"/>
        <w:rPr>
          <w:rFonts w:ascii="Times New Roman" w:cs="Times New Roman" w:eastAsia="Times New Roman" w:hAnsi="Times New Roman"/>
          <w:sz w:val="17"/>
          <w:szCs w:val="17"/>
          <w:color w:val="auto"/>
        </w:rPr>
      </w:pPr>
    </w:p>
    <w:p>
      <w:pPr>
        <w:jc w:val="both"/>
        <w:ind w:left="1260" w:right="600" w:hanging="523"/>
        <w:spacing w:after="0" w:line="276" w:lineRule="auto"/>
        <w:tabs>
          <w:tab w:leader="none" w:pos="126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that all or part of the Initial Facility Loans and Incremental Facility Loans, together with accrued interest, and all other amounts accrued or outstanding under the Finance Documents be immediately due and payable, whereupon they shall become immediately due and payable; and/or</w:t>
      </w:r>
    </w:p>
    <w:p>
      <w:pPr>
        <w:spacing w:after="0" w:line="70" w:lineRule="exact"/>
        <w:rPr>
          <w:rFonts w:ascii="Times New Roman" w:cs="Times New Roman" w:eastAsia="Times New Roman" w:hAnsi="Times New Roman"/>
          <w:sz w:val="17"/>
          <w:szCs w:val="17"/>
          <w:color w:val="auto"/>
        </w:rPr>
      </w:pPr>
    </w:p>
    <w:p>
      <w:pPr>
        <w:ind w:left="1260" w:right="520" w:hanging="523"/>
        <w:spacing w:after="0" w:line="295" w:lineRule="auto"/>
        <w:tabs>
          <w:tab w:leader="none" w:pos="126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that all or part of the Initial Facility Loans and Incremental Facility Loans be payable on demand, whereupon they shall immediately become payable on demand by the Agent on the instructions of the Majority Lenders.</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09"/>
        </w:trPr>
        <w:tc>
          <w:tcPr>
            <w:tcW w:w="13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99</w:t>
            </w: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0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02" w:name="page403"/>
    <w:bookmarkEnd w:id="402"/>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9</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Changes to Parties</w:t>
      </w:r>
    </w:p>
    <w:p>
      <w:pPr>
        <w:spacing w:after="0" w:line="229" w:lineRule="exact"/>
        <w:rPr>
          <w:sz w:val="20"/>
          <w:szCs w:val="20"/>
          <w:color w:val="auto"/>
        </w:rPr>
      </w:pPr>
    </w:p>
    <w:p>
      <w:pPr>
        <w:ind w:left="748" w:hanging="748"/>
        <w:spacing w:after="0"/>
        <w:tabs>
          <w:tab w:leader="none" w:pos="748" w:val="left"/>
        </w:tabs>
        <w:numPr>
          <w:ilvl w:val="0"/>
          <w:numId w:val="5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to the Lenders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26.1</w:t>
      </w:r>
      <w:r>
        <w:rPr>
          <w:sz w:val="20"/>
          <w:szCs w:val="20"/>
          <w:color w:val="auto"/>
        </w:rPr>
        <w:tab/>
      </w:r>
      <w:r>
        <w:rPr>
          <w:rFonts w:ascii="Times New Roman" w:cs="Times New Roman" w:eastAsia="Times New Roman" w:hAnsi="Times New Roman"/>
          <w:sz w:val="17"/>
          <w:szCs w:val="17"/>
          <w:b w:val="1"/>
          <w:bCs w:val="1"/>
          <w:color w:val="auto"/>
        </w:rPr>
        <w:t>Assignments and transfers by the Lenders</w:t>
      </w:r>
    </w:p>
    <w:p>
      <w:pPr>
        <w:spacing w:after="0" w:line="11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Subject to this Clause 26, a Lender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may:</w:t>
      </w:r>
    </w:p>
    <w:p>
      <w:pPr>
        <w:spacing w:after="0" w:line="133" w:lineRule="exact"/>
        <w:rPr>
          <w:sz w:val="20"/>
          <w:szCs w:val="20"/>
          <w:color w:val="auto"/>
        </w:rPr>
      </w:pPr>
    </w:p>
    <w:p>
      <w:pPr>
        <w:ind w:left="1268" w:hanging="523"/>
        <w:spacing w:after="0"/>
        <w:tabs>
          <w:tab w:leader="none" w:pos="1268"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 any of its rights; or</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by novation any of its rights and obligations,</w:t>
      </w:r>
    </w:p>
    <w:p>
      <w:pPr>
        <w:spacing w:after="0" w:line="118" w:lineRule="exact"/>
        <w:rPr>
          <w:sz w:val="20"/>
          <w:szCs w:val="20"/>
          <w:color w:val="auto"/>
        </w:rPr>
      </w:pPr>
    </w:p>
    <w:p>
      <w:pPr>
        <w:ind w:left="748" w:right="580"/>
        <w:spacing w:after="0" w:line="295" w:lineRule="auto"/>
        <w:rPr>
          <w:sz w:val="20"/>
          <w:szCs w:val="20"/>
          <w:color w:val="auto"/>
        </w:rPr>
      </w:pPr>
      <w:r>
        <w:rPr>
          <w:rFonts w:ascii="Times New Roman" w:cs="Times New Roman" w:eastAsia="Times New Roman" w:hAnsi="Times New Roman"/>
          <w:sz w:val="17"/>
          <w:szCs w:val="17"/>
          <w:color w:val="auto"/>
        </w:rPr>
        <w:t>to another bank or financial institution or to a trust, fund or other entity which is regularly engaged in or established for the purpose of making, purchasing or investing in loans, securities or other financial assets (in each case,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Conditions of assignment or transfer</w:t>
      </w:r>
    </w:p>
    <w:p>
      <w:pPr>
        <w:spacing w:after="0" w:line="133" w:lineRule="exact"/>
        <w:rPr>
          <w:sz w:val="20"/>
          <w:szCs w:val="20"/>
          <w:color w:val="auto"/>
        </w:rPr>
      </w:pPr>
    </w:p>
    <w:p>
      <w:pPr>
        <w:jc w:val="both"/>
        <w:ind w:left="1268" w:right="180" w:hanging="523"/>
        <w:spacing w:after="0" w:line="276" w:lineRule="auto"/>
        <w:tabs>
          <w:tab w:leader="none" w:pos="1268"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assignment or transfer by an Existing Lender of all or any part of its Commitment must, if the assignment or transfer is only of part, be in a minimum aggregate amount of HKD40,000,000 (or its equivalent) or, if less, the entire amount of the Existing Lender’s Commitment in the relevant Facility.</w:t>
      </w:r>
    </w:p>
    <w:p>
      <w:pPr>
        <w:spacing w:after="0" w:line="68" w:lineRule="exact"/>
        <w:rPr>
          <w:rFonts w:ascii="Times New Roman" w:cs="Times New Roman" w:eastAsia="Times New Roman" w:hAnsi="Times New Roman"/>
          <w:sz w:val="17"/>
          <w:szCs w:val="17"/>
          <w:color w:val="auto"/>
        </w:rPr>
      </w:pPr>
    </w:p>
    <w:p>
      <w:pPr>
        <w:ind w:left="1268" w:right="40" w:hanging="523"/>
        <w:spacing w:after="0" w:line="277" w:lineRule="auto"/>
        <w:tabs>
          <w:tab w:leader="none" w:pos="1268"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assignment or transfer in accordance with Clause 26.1 (</w:t>
      </w:r>
      <w:r>
        <w:rPr>
          <w:rFonts w:ascii="Times New Roman" w:cs="Times New Roman" w:eastAsia="Times New Roman" w:hAnsi="Times New Roman"/>
          <w:sz w:val="17"/>
          <w:szCs w:val="17"/>
          <w:i w:val="1"/>
          <w:iCs w:val="1"/>
          <w:color w:val="auto"/>
        </w:rPr>
        <w:t>Assignments and transfers by the Lenders</w:t>
      </w:r>
      <w:r>
        <w:rPr>
          <w:rFonts w:ascii="Times New Roman" w:cs="Times New Roman" w:eastAsia="Times New Roman" w:hAnsi="Times New Roman"/>
          <w:sz w:val="17"/>
          <w:szCs w:val="17"/>
          <w:color w:val="auto"/>
        </w:rPr>
        <w:t>) or Voting Participation entered into in respect of any Commitment or amount outstanding under this Agreement shall not be made or entered into without the prior written consent of the Company (such consent not to be unreasonably delayed or withheld), unless:</w:t>
      </w:r>
    </w:p>
    <w:p>
      <w:pPr>
        <w:spacing w:after="0" w:line="7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assignment or transfer is to, or the Voting Participation is with, another Lender or an Affiliate of a Lender;</w:t>
      </w:r>
    </w:p>
    <w:p>
      <w:pPr>
        <w:spacing w:after="0" w:line="131" w:lineRule="exact"/>
        <w:rPr>
          <w:rFonts w:ascii="Times New Roman" w:cs="Times New Roman" w:eastAsia="Times New Roman" w:hAnsi="Times New Roman"/>
          <w:sz w:val="17"/>
          <w:szCs w:val="17"/>
          <w:color w:val="auto"/>
        </w:rPr>
      </w:pPr>
    </w:p>
    <w:p>
      <w:pPr>
        <w:ind w:left="1888" w:right="80" w:hanging="620"/>
        <w:spacing w:after="0" w:line="295" w:lineRule="auto"/>
        <w:tabs>
          <w:tab w:leader="none" w:pos="1888"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Existing Lender is a fund, the assignment or transfer is to, or the Voting Participation is with, a fund which is a Related Fund of that Existing Lender;</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has occurred and is continuing; or</w:t>
      </w:r>
    </w:p>
    <w:p>
      <w:pPr>
        <w:spacing w:after="0" w:line="131" w:lineRule="exact"/>
        <w:rPr>
          <w:rFonts w:ascii="Times New Roman" w:cs="Times New Roman" w:eastAsia="Times New Roman" w:hAnsi="Times New Roman"/>
          <w:sz w:val="17"/>
          <w:szCs w:val="17"/>
          <w:color w:val="auto"/>
        </w:rPr>
      </w:pPr>
    </w:p>
    <w:p>
      <w:pPr>
        <w:ind w:left="1888" w:right="140" w:hanging="620"/>
        <w:spacing w:after="0" w:line="276" w:lineRule="auto"/>
        <w:tabs>
          <w:tab w:leader="none" w:pos="1888"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any event or circumstance referred to in paragraphs (d), (e) or (f) of the definition of “Change of Control” as set out in Clause 10.1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of this Agreement has occurred or (y) and Concession Expiry or Land Concession termination has occurred,</w:t>
      </w:r>
    </w:p>
    <w:p>
      <w:pPr>
        <w:spacing w:after="0" w:line="57" w:lineRule="exact"/>
        <w:rPr>
          <w:sz w:val="20"/>
          <w:szCs w:val="20"/>
          <w:color w:val="auto"/>
        </w:rPr>
      </w:pPr>
    </w:p>
    <w:p>
      <w:pPr>
        <w:jc w:val="both"/>
        <w:ind w:left="1928" w:right="220"/>
        <w:spacing w:after="0" w:line="276" w:lineRule="auto"/>
        <w:rPr>
          <w:sz w:val="20"/>
          <w:szCs w:val="20"/>
          <w:color w:val="auto"/>
        </w:rPr>
      </w:pPr>
      <w:r>
        <w:rPr>
          <w:rFonts w:ascii="Times New Roman" w:cs="Times New Roman" w:eastAsia="Times New Roman" w:hAnsi="Times New Roman"/>
          <w:sz w:val="17"/>
          <w:szCs w:val="17"/>
          <w:color w:val="auto"/>
        </w:rPr>
        <w:t>and provided that the Company shall be deemed to have provided its written consent if it has not responded to the relevant Existing Lender’s request for such assignment, transfer or sub-participation within ten (10) Business Days of such request having been made.</w:t>
      </w:r>
    </w:p>
    <w:p>
      <w:pPr>
        <w:spacing w:after="0" w:line="70" w:lineRule="exact"/>
        <w:rPr>
          <w:sz w:val="20"/>
          <w:szCs w:val="20"/>
          <w:color w:val="auto"/>
        </w:rPr>
      </w:pPr>
    </w:p>
    <w:p>
      <w:pPr>
        <w:ind w:left="1268" w:hanging="523"/>
        <w:spacing w:after="0"/>
        <w:tabs>
          <w:tab w:leader="none" w:pos="1268"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assignment will only be effective on:</w:t>
      </w:r>
    </w:p>
    <w:p>
      <w:pPr>
        <w:spacing w:after="0" w:line="131" w:lineRule="exact"/>
        <w:rPr>
          <w:rFonts w:ascii="Times New Roman" w:cs="Times New Roman" w:eastAsia="Times New Roman" w:hAnsi="Times New Roman"/>
          <w:sz w:val="17"/>
          <w:szCs w:val="17"/>
          <w:color w:val="auto"/>
        </w:rPr>
      </w:pPr>
    </w:p>
    <w:p>
      <w:pPr>
        <w:ind w:left="1888" w:right="140" w:hanging="620"/>
        <w:spacing w:after="0" w:line="276" w:lineRule="auto"/>
        <w:tabs>
          <w:tab w:leader="none" w:pos="1888"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was an Original Lender; and</w:t>
      </w:r>
    </w:p>
    <w:p>
      <w:pPr>
        <w:spacing w:after="0" w:line="70" w:lineRule="exact"/>
        <w:rPr>
          <w:rFonts w:ascii="Times New Roman" w:cs="Times New Roman" w:eastAsia="Times New Roman" w:hAnsi="Times New Roman"/>
          <w:sz w:val="17"/>
          <w:szCs w:val="17"/>
          <w:color w:val="auto"/>
        </w:rPr>
      </w:pPr>
    </w:p>
    <w:p>
      <w:pPr>
        <w:ind w:left="1888" w:right="220" w:hanging="620"/>
        <w:spacing w:after="0" w:line="276" w:lineRule="auto"/>
        <w:tabs>
          <w:tab w:leader="none" w:pos="1888"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9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403" w:name="page404"/>
    <w:bookmarkEnd w:id="403"/>
    <w:p>
      <w:pPr>
        <w:ind w:left="1260" w:hanging="523"/>
        <w:spacing w:after="0"/>
        <w:tabs>
          <w:tab w:leader="none" w:pos="126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transfer will only be effective if the procedure set out in Clause 26.5 (</w:t>
      </w:r>
      <w:r>
        <w:rPr>
          <w:rFonts w:ascii="Times New Roman" w:cs="Times New Roman" w:eastAsia="Times New Roman" w:hAnsi="Times New Roman"/>
          <w:sz w:val="17"/>
          <w:szCs w:val="17"/>
          <w:i w:val="1"/>
          <w:iCs w:val="1"/>
          <w:color w:val="auto"/>
        </w:rPr>
        <w:t>Procedure for transfer</w:t>
      </w:r>
      <w:r>
        <w:rPr>
          <w:rFonts w:ascii="Times New Roman" w:cs="Times New Roman" w:eastAsia="Times New Roman" w:hAnsi="Times New Roman"/>
          <w:sz w:val="17"/>
          <w:szCs w:val="17"/>
          <w:color w:val="auto"/>
        </w:rPr>
        <w:t>) is complied with.</w:t>
      </w:r>
    </w:p>
    <w:p>
      <w:pPr>
        <w:spacing w:after="0" w:line="133"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Lender assigns or transfers any of its rights or obligations under the Finance Documents or changes its Facility Office; and</w:t>
      </w:r>
    </w:p>
    <w:p>
      <w:pPr>
        <w:spacing w:after="0" w:line="131" w:lineRule="exact"/>
        <w:rPr>
          <w:rFonts w:ascii="Times New Roman" w:cs="Times New Roman" w:eastAsia="Times New Roman" w:hAnsi="Times New Roman"/>
          <w:sz w:val="17"/>
          <w:szCs w:val="17"/>
          <w:color w:val="auto"/>
        </w:rPr>
      </w:pPr>
    </w:p>
    <w:p>
      <w:pPr>
        <w:ind w:left="1880" w:right="120" w:hanging="620"/>
        <w:spacing w:after="0" w:line="276" w:lineRule="auto"/>
        <w:tabs>
          <w:tab w:leader="none" w:pos="1880"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circumstances existing at the date the assignment, transfer or change occurs, the Company would be obliged to make a payment to the New Lender or Lender acting through its new Facility Office under Clause 16 (</w:t>
      </w:r>
      <w:r>
        <w:rPr>
          <w:rFonts w:ascii="Times New Roman" w:cs="Times New Roman" w:eastAsia="Times New Roman" w:hAnsi="Times New Roman"/>
          <w:sz w:val="17"/>
          <w:szCs w:val="17"/>
          <w:i w:val="1"/>
          <w:iCs w:val="1"/>
          <w:color w:val="auto"/>
        </w:rPr>
        <w:t>Tax gross-up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indemnities</w:t>
      </w:r>
      <w:r>
        <w:rPr>
          <w:rFonts w:ascii="Times New Roman" w:cs="Times New Roman" w:eastAsia="Times New Roman" w:hAnsi="Times New Roman"/>
          <w:sz w:val="17"/>
          <w:szCs w:val="17"/>
          <w:color w:val="auto"/>
        </w:rPr>
        <w:t>) or Clause 17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jc w:val="both"/>
        <w:ind w:left="1280" w:right="180"/>
        <w:spacing w:after="0" w:line="276" w:lineRule="auto"/>
        <w:rPr>
          <w:sz w:val="20"/>
          <w:szCs w:val="20"/>
          <w:color w:val="auto"/>
        </w:rPr>
      </w:pPr>
      <w:r>
        <w:rPr>
          <w:rFonts w:ascii="Times New Roman" w:cs="Times New Roman" w:eastAsia="Times New Roman" w:hAnsi="Times New Roman"/>
          <w:sz w:val="17"/>
          <w:szCs w:val="17"/>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120" w:lineRule="exact"/>
        <w:rPr>
          <w:sz w:val="20"/>
          <w:szCs w:val="20"/>
          <w:color w:val="auto"/>
        </w:rPr>
      </w:pPr>
    </w:p>
    <w:p>
      <w:pPr>
        <w:jc w:val="both"/>
        <w:ind w:left="740" w:right="140"/>
        <w:spacing w:after="0" w:line="276" w:lineRule="auto"/>
        <w:rPr>
          <w:sz w:val="20"/>
          <w:szCs w:val="20"/>
          <w:color w:val="auto"/>
        </w:rPr>
      </w:pPr>
      <w:r>
        <w:rPr>
          <w:rFonts w:ascii="Times New Roman" w:cs="Times New Roman" w:eastAsia="Times New Roman" w:hAnsi="Times New Roman"/>
          <w:sz w:val="17"/>
          <w:szCs w:val="17"/>
          <w:color w:val="auto"/>
        </w:rPr>
        <w:t>Unless the Agent otherwise agrees and excluding an assignment or transfer (i) to an Affiliate of a Lender, (ii) to a Related Fund or (iii) made in connection with primary syndication of the Facilities, the New Lender shall, on the date upon which an assignment, transfer or accession takes effect, pay to the Agent (for its own account) a fee of HKD27,500 in respect of any New Lender.</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26.4</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133" w:lineRule="exact"/>
        <w:rPr>
          <w:sz w:val="20"/>
          <w:szCs w:val="20"/>
          <w:color w:val="auto"/>
        </w:rPr>
      </w:pPr>
    </w:p>
    <w:p>
      <w:pPr>
        <w:ind w:left="1260" w:right="240" w:hanging="523"/>
        <w:spacing w:after="0" w:line="295" w:lineRule="auto"/>
        <w:tabs>
          <w:tab w:leader="none" w:pos="1260"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agreed to the contrary, an Existing Lender makes no representation or warranty and assumes no responsibility to a New Lender for:</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legality, validity, effectiveness, adequacy or enforceability of the Transaction Documents or any other documents;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or other circumstances of the Company, each Subsidiary Guarantor or any other person;</w:t>
      </w:r>
    </w:p>
    <w:p>
      <w:pPr>
        <w:spacing w:after="0" w:line="131" w:lineRule="exact"/>
        <w:rPr>
          <w:rFonts w:ascii="Times New Roman" w:cs="Times New Roman" w:eastAsia="Times New Roman" w:hAnsi="Times New Roman"/>
          <w:sz w:val="17"/>
          <w:szCs w:val="17"/>
          <w:color w:val="auto"/>
        </w:rPr>
      </w:pPr>
    </w:p>
    <w:p>
      <w:pPr>
        <w:ind w:left="1880" w:right="160" w:hanging="620"/>
        <w:spacing w:after="0" w:line="295" w:lineRule="auto"/>
        <w:tabs>
          <w:tab w:leader="none" w:pos="1880" w:val="left"/>
        </w:tabs>
        <w:numPr>
          <w:ilvl w:val="1"/>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and observance by the Company, any Subsidiary Guarantor or any other person of its obligations under the Transaction Documents or any other documents; or</w:t>
      </w:r>
    </w:p>
    <w:p>
      <w:pPr>
        <w:spacing w:after="0" w:line="55" w:lineRule="exact"/>
        <w:rPr>
          <w:rFonts w:ascii="Times New Roman" w:cs="Times New Roman" w:eastAsia="Times New Roman" w:hAnsi="Times New Roman"/>
          <w:sz w:val="17"/>
          <w:szCs w:val="17"/>
          <w:color w:val="auto"/>
        </w:rPr>
      </w:pPr>
    </w:p>
    <w:p>
      <w:pPr>
        <w:ind w:left="1880" w:right="340" w:hanging="620"/>
        <w:spacing w:after="0" w:line="295" w:lineRule="auto"/>
        <w:tabs>
          <w:tab w:leader="none" w:pos="1880" w:val="left"/>
        </w:tabs>
        <w:numPr>
          <w:ilvl w:val="1"/>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any statements (whether written or oral) made in or in connection with any Transaction Document or any other document,</w:t>
      </w:r>
    </w:p>
    <w:p>
      <w:pPr>
        <w:spacing w:after="0" w:line="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and any representations or warranties implied by law are excluded.</w:t>
      </w:r>
    </w:p>
    <w:p>
      <w:pPr>
        <w:spacing w:after="0" w:line="131" w:lineRule="exact"/>
        <w:rPr>
          <w:sz w:val="20"/>
          <w:szCs w:val="20"/>
          <w:color w:val="auto"/>
        </w:rPr>
      </w:pPr>
    </w:p>
    <w:p>
      <w:pPr>
        <w:ind w:left="1260" w:hanging="523"/>
        <w:spacing w:after="0"/>
        <w:tabs>
          <w:tab w:leader="none" w:pos="1260" w:val="left"/>
        </w:tabs>
        <w:numPr>
          <w:ilvl w:val="0"/>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New Lender confirms to the Existing Lender and the other Finance Parties that it:</w:t>
      </w:r>
    </w:p>
    <w:p>
      <w:pPr>
        <w:spacing w:after="0" w:line="131" w:lineRule="exact"/>
        <w:rPr>
          <w:rFonts w:ascii="Times New Roman" w:cs="Times New Roman" w:eastAsia="Times New Roman" w:hAnsi="Times New Roman"/>
          <w:sz w:val="17"/>
          <w:szCs w:val="17"/>
          <w:color w:val="auto"/>
        </w:rPr>
      </w:pPr>
    </w:p>
    <w:p>
      <w:pPr>
        <w:ind w:left="1880" w:hanging="620"/>
        <w:spacing w:after="0" w:line="269" w:lineRule="auto"/>
        <w:tabs>
          <w:tab w:leader="none" w:pos="1880" w:val="left"/>
        </w:tabs>
        <w:numPr>
          <w:ilvl w:val="1"/>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made (and shall continue to make) its own independent investigation and assessment of the financial and other condition, circumstances and affairs of the Company, each Subsidiary Guarantor and each of their related entities in connection with its participation in this Agreement and has not relied exclusively on any information provided to it by the Existing Lender or any other Finance Party in connection with any Transaction Document; and</w:t>
      </w:r>
    </w:p>
    <w:p>
      <w:pPr>
        <w:spacing w:after="0" w:line="77" w:lineRule="exact"/>
        <w:rPr>
          <w:rFonts w:ascii="Times New Roman" w:cs="Times New Roman" w:eastAsia="Times New Roman" w:hAnsi="Times New Roman"/>
          <w:sz w:val="17"/>
          <w:szCs w:val="17"/>
          <w:color w:val="auto"/>
        </w:rPr>
      </w:pPr>
    </w:p>
    <w:p>
      <w:pPr>
        <w:jc w:val="both"/>
        <w:ind w:left="1880" w:right="60" w:hanging="620"/>
        <w:spacing w:after="0" w:line="276" w:lineRule="auto"/>
        <w:tabs>
          <w:tab w:leader="none" w:pos="1880" w:val="left"/>
        </w:tabs>
        <w:numPr>
          <w:ilvl w:val="1"/>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continue to make its own independent appraisal of the creditworthiness of the Company, each Subsidiary Guarantor and each of their related entities and each other person whilst any amount is or may be outstanding under the Finance Documents or any Commitment is in force.</w:t>
      </w:r>
    </w:p>
    <w:p>
      <w:pPr>
        <w:spacing w:after="0" w:line="9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04" w:name="page405"/>
    <w:bookmarkEnd w:id="404"/>
    <w:p>
      <w:pPr>
        <w:ind w:left="1260" w:hanging="523"/>
        <w:spacing w:after="0"/>
        <w:tabs>
          <w:tab w:leader="none" w:pos="1260"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Nothing in any Finance Document obliges an Existing Lender to:</w:t>
      </w:r>
    </w:p>
    <w:p>
      <w:pPr>
        <w:spacing w:after="0" w:line="131" w:lineRule="exact"/>
        <w:rPr>
          <w:rFonts w:ascii="Times New Roman" w:cs="Times New Roman" w:eastAsia="Times New Roman" w:hAnsi="Times New Roman"/>
          <w:sz w:val="17"/>
          <w:szCs w:val="17"/>
          <w:color w:val="auto"/>
        </w:rPr>
      </w:pPr>
    </w:p>
    <w:p>
      <w:pPr>
        <w:ind w:left="1880" w:right="260" w:hanging="620"/>
        <w:spacing w:after="0" w:line="295" w:lineRule="auto"/>
        <w:tabs>
          <w:tab w:leader="none" w:pos="1880"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a re-transfer or re-assignment from a New Lender of any of the rights and obligations assigned or transferred under this Clause 26; or</w:t>
      </w:r>
    </w:p>
    <w:p>
      <w:pPr>
        <w:spacing w:after="0" w:line="55" w:lineRule="exact"/>
        <w:rPr>
          <w:rFonts w:ascii="Times New Roman" w:cs="Times New Roman" w:eastAsia="Times New Roman" w:hAnsi="Times New Roman"/>
          <w:sz w:val="17"/>
          <w:szCs w:val="17"/>
          <w:color w:val="auto"/>
        </w:rPr>
      </w:pPr>
    </w:p>
    <w:p>
      <w:pPr>
        <w:ind w:left="1880" w:right="80" w:hanging="620"/>
        <w:spacing w:after="0" w:line="295" w:lineRule="auto"/>
        <w:tabs>
          <w:tab w:leader="none" w:pos="1880"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any losses directly or indirectly incurred by the New Lender by reason of the non-performance by the Company, any Subsidiary Guarantor or any Subordinated Creditor of its obligations under the Transaction Documents or otherwise.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26.5</w:t>
      </w:r>
      <w:r>
        <w:rPr>
          <w:sz w:val="20"/>
          <w:szCs w:val="20"/>
          <w:color w:val="auto"/>
        </w:rPr>
        <w:tab/>
      </w:r>
      <w:r>
        <w:rPr>
          <w:rFonts w:ascii="Times New Roman" w:cs="Times New Roman" w:eastAsia="Times New Roman" w:hAnsi="Times New Roman"/>
          <w:sz w:val="17"/>
          <w:szCs w:val="17"/>
          <w:b w:val="1"/>
          <w:bCs w:val="1"/>
          <w:color w:val="auto"/>
        </w:rPr>
        <w:t>Procedure for transfer</w:t>
      </w:r>
    </w:p>
    <w:p>
      <w:pPr>
        <w:spacing w:after="0" w:line="131" w:lineRule="exact"/>
        <w:rPr>
          <w:sz w:val="20"/>
          <w:szCs w:val="20"/>
          <w:color w:val="auto"/>
        </w:rPr>
      </w:pPr>
    </w:p>
    <w:p>
      <w:pPr>
        <w:ind w:left="1260" w:right="100" w:hanging="523"/>
        <w:spacing w:after="0" w:line="267" w:lineRule="auto"/>
        <w:tabs>
          <w:tab w:leader="none" w:pos="1260"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conditions set out in Clause 26.2 (</w:t>
      </w:r>
      <w:r>
        <w:rPr>
          <w:rFonts w:ascii="Times New Roman" w:cs="Times New Roman" w:eastAsia="Times New Roman" w:hAnsi="Times New Roman"/>
          <w:sz w:val="17"/>
          <w:szCs w:val="17"/>
          <w:i w:val="1"/>
          <w:iCs w:val="1"/>
          <w:color w:val="auto"/>
        </w:rPr>
        <w:t>Conditions of assignment or transfer</w:t>
      </w:r>
      <w:r>
        <w:rPr>
          <w:rFonts w:ascii="Times New Roman" w:cs="Times New Roman" w:eastAsia="Times New Roman" w:hAnsi="Times New Roman"/>
          <w:sz w:val="17"/>
          <w:szCs w:val="17"/>
          <w:color w:val="auto"/>
        </w:rPr>
        <w:t>) a transfer is effected in accordance with paragraph (d)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77" w:lineRule="exact"/>
        <w:rPr>
          <w:rFonts w:ascii="Times New Roman" w:cs="Times New Roman" w:eastAsia="Times New Roman" w:hAnsi="Times New Roman"/>
          <w:sz w:val="17"/>
          <w:szCs w:val="17"/>
          <w:color w:val="auto"/>
        </w:rPr>
      </w:pPr>
    </w:p>
    <w:p>
      <w:pPr>
        <w:ind w:left="1260" w:right="100" w:hanging="523"/>
        <w:spacing w:after="0" w:line="276" w:lineRule="auto"/>
        <w:tabs>
          <w:tab w:leader="none" w:pos="1260"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only be obliged to execute a Transfer Certificate delivered to it by the Existing Lender and the New Lender once it is satisfied it has complied with all necessary “know your customer” or other similar other checks under all applicable laws and regulations in relation to the transfer to such New Lender.</w:t>
      </w:r>
    </w:p>
    <w:p>
      <w:pPr>
        <w:spacing w:after="0" w:line="70" w:lineRule="exact"/>
        <w:rPr>
          <w:rFonts w:ascii="Times New Roman" w:cs="Times New Roman" w:eastAsia="Times New Roman" w:hAnsi="Times New Roman"/>
          <w:sz w:val="17"/>
          <w:szCs w:val="17"/>
          <w:color w:val="auto"/>
        </w:rPr>
      </w:pPr>
    </w:p>
    <w:p>
      <w:pPr>
        <w:ind w:left="1260" w:right="540" w:hanging="523"/>
        <w:spacing w:after="0" w:line="276" w:lineRule="auto"/>
        <w:tabs>
          <w:tab w:leader="none" w:pos="1260"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(other than the relevant Existing Lender and the Agent) irrevocably authorises the Agent to execute any Transfer Certificate on its behalf. For the avoidance of doubt, nothing in this paragraph (c) constitutes a consent by the Company for the purposes of Clause 26.2 (</w:t>
      </w:r>
      <w:r>
        <w:rPr>
          <w:rFonts w:ascii="Times New Roman" w:cs="Times New Roman" w:eastAsia="Times New Roman" w:hAnsi="Times New Roman"/>
          <w:sz w:val="17"/>
          <w:szCs w:val="17"/>
          <w:i w:val="1"/>
          <w:iCs w:val="1"/>
          <w:color w:val="auto"/>
        </w:rPr>
        <w:t>Conditions of assignment or transfer</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Transfer Date:</w:t>
      </w:r>
    </w:p>
    <w:p>
      <w:pPr>
        <w:spacing w:after="0" w:line="131" w:lineRule="exact"/>
        <w:rPr>
          <w:rFonts w:ascii="Times New Roman" w:cs="Times New Roman" w:eastAsia="Times New Roman" w:hAnsi="Times New Roman"/>
          <w:sz w:val="17"/>
          <w:szCs w:val="17"/>
          <w:color w:val="auto"/>
        </w:rPr>
      </w:pPr>
    </w:p>
    <w:p>
      <w:pPr>
        <w:ind w:left="1880" w:right="20" w:hanging="620"/>
        <w:spacing w:after="0" w:line="269" w:lineRule="auto"/>
        <w:tabs>
          <w:tab w:leader="none" w:pos="1880"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in the Transfer Certificate the Existing Lender seeks to transfer by novation its rights and obligations under the Finance Documents, the Company and the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7"/>
          <w:szCs w:val="17"/>
          <w:b w:val="1"/>
          <w:bCs w:val="1"/>
          <w:color w:val="auto"/>
        </w:rPr>
        <w:t>Discharged Rights and Obligations</w:t>
      </w:r>
      <w:r>
        <w:rPr>
          <w:rFonts w:ascii="Times New Roman" w:cs="Times New Roman" w:eastAsia="Times New Roman" w:hAnsi="Times New Roman"/>
          <w:sz w:val="17"/>
          <w:szCs w:val="17"/>
          <w:color w:val="auto"/>
        </w:rPr>
        <w:t>”);</w:t>
      </w:r>
    </w:p>
    <w:p>
      <w:pPr>
        <w:spacing w:after="0" w:line="77" w:lineRule="exact"/>
        <w:rPr>
          <w:rFonts w:ascii="Times New Roman" w:cs="Times New Roman" w:eastAsia="Times New Roman" w:hAnsi="Times New Roman"/>
          <w:sz w:val="17"/>
          <w:szCs w:val="17"/>
          <w:color w:val="auto"/>
        </w:rPr>
      </w:pPr>
    </w:p>
    <w:p>
      <w:pPr>
        <w:ind w:left="1880" w:right="60" w:hanging="620"/>
        <w:spacing w:after="0" w:line="276" w:lineRule="auto"/>
        <w:tabs>
          <w:tab w:leader="none" w:pos="1880"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New Lender shall assume obligations towards one another and/or acquire rights against one another which differ from the Discharged Rights and Obligations only insofar as the Company or other member of the Group and the New Lender have assumed and/or acquired the same in place of the Company and the Existing Lender;</w:t>
      </w:r>
    </w:p>
    <w:p>
      <w:pPr>
        <w:spacing w:after="0" w:line="70" w:lineRule="exact"/>
        <w:rPr>
          <w:rFonts w:ascii="Times New Roman" w:cs="Times New Roman" w:eastAsia="Times New Roman" w:hAnsi="Times New Roman"/>
          <w:sz w:val="17"/>
          <w:szCs w:val="17"/>
          <w:color w:val="auto"/>
        </w:rPr>
      </w:pPr>
    </w:p>
    <w:p>
      <w:pPr>
        <w:ind w:left="1880" w:right="40" w:hanging="620"/>
        <w:spacing w:after="0" w:line="266" w:lineRule="auto"/>
        <w:tabs>
          <w:tab w:leader="none" w:pos="1880"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each Arranger, the New Lender and the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each Arranger and the Existing Lender and the other Lenders shall each be released from further obligations to each other under the Finance Documents; and</w:t>
      </w:r>
    </w:p>
    <w:p>
      <w:pPr>
        <w:spacing w:after="0" w:line="106"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05" w:name="page406"/>
    <w:bookmarkEnd w:id="405"/>
    <w:p>
      <w:pPr>
        <w:ind w:left="1880" w:right="140" w:hanging="620"/>
        <w:spacing w:after="0" w:line="295" w:lineRule="auto"/>
        <w:tabs>
          <w:tab w:leader="none" w:pos="188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New Lender shall become a Party as a “Lender” and entitled to the benefits of any other Finance Document entered into by the Agent as agent for the Lenders.</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26.6</w:t>
      </w:r>
      <w:r>
        <w:rPr>
          <w:sz w:val="20"/>
          <w:szCs w:val="20"/>
          <w:color w:val="auto"/>
        </w:rPr>
        <w:tab/>
      </w:r>
      <w:r>
        <w:rPr>
          <w:rFonts w:ascii="Times New Roman" w:cs="Times New Roman" w:eastAsia="Times New Roman" w:hAnsi="Times New Roman"/>
          <w:sz w:val="17"/>
          <w:szCs w:val="17"/>
          <w:b w:val="1"/>
          <w:bCs w:val="1"/>
          <w:color w:val="auto"/>
        </w:rPr>
        <w:t>Procedure for assignment</w:t>
      </w:r>
    </w:p>
    <w:p>
      <w:pPr>
        <w:spacing w:after="0" w:line="131" w:lineRule="exact"/>
        <w:rPr>
          <w:sz w:val="20"/>
          <w:szCs w:val="20"/>
          <w:color w:val="auto"/>
        </w:rPr>
      </w:pPr>
    </w:p>
    <w:p>
      <w:pPr>
        <w:ind w:left="1260" w:right="160" w:hanging="523"/>
        <w:spacing w:after="0" w:line="267" w:lineRule="auto"/>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conditions set out in Clause 26.2 (</w:t>
      </w:r>
      <w:r>
        <w:rPr>
          <w:rFonts w:ascii="Times New Roman" w:cs="Times New Roman" w:eastAsia="Times New Roman" w:hAnsi="Times New Roman"/>
          <w:sz w:val="17"/>
          <w:szCs w:val="17"/>
          <w:i w:val="1"/>
          <w:iCs w:val="1"/>
          <w:color w:val="auto"/>
        </w:rPr>
        <w:t>Conditions of assignment or transfer</w:t>
      </w:r>
      <w:r>
        <w:rPr>
          <w:rFonts w:ascii="Times New Roman" w:cs="Times New Roman" w:eastAsia="Times New Roman" w:hAnsi="Times New Roman"/>
          <w:sz w:val="17"/>
          <w:szCs w:val="17"/>
          <w:color w:val="auto"/>
        </w:rPr>
        <w:t>) an assignment may be effected in accordance with paragraph (d) below when the Agent executes an otherwise duly completed Assignment Agreement delivered to it by the Existing Lender and the New Lender. The Agent shall, subject to paragraph (e)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77" w:lineRule="exact"/>
        <w:rPr>
          <w:rFonts w:ascii="Times New Roman" w:cs="Times New Roman" w:eastAsia="Times New Roman" w:hAnsi="Times New Roman"/>
          <w:sz w:val="17"/>
          <w:szCs w:val="17"/>
          <w:color w:val="auto"/>
        </w:rPr>
      </w:pPr>
    </w:p>
    <w:p>
      <w:pPr>
        <w:ind w:left="1260" w:hanging="523"/>
        <w:spacing w:after="0" w:line="276" w:lineRule="auto"/>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only be obliged to execute an Assignment Agreement delivered to it by the Existing Lender and the New Lender upon its completion of all “know your customer” or other checks relating to any person that it is required to carry out in relation to the assignment to such New Lender.</w:t>
      </w:r>
    </w:p>
    <w:p>
      <w:pPr>
        <w:spacing w:after="0" w:line="70" w:lineRule="exact"/>
        <w:rPr>
          <w:rFonts w:ascii="Times New Roman" w:cs="Times New Roman" w:eastAsia="Times New Roman" w:hAnsi="Times New Roman"/>
          <w:sz w:val="17"/>
          <w:szCs w:val="17"/>
          <w:color w:val="auto"/>
        </w:rPr>
      </w:pPr>
    </w:p>
    <w:p>
      <w:pPr>
        <w:jc w:val="both"/>
        <w:ind w:left="1260" w:right="500" w:hanging="523"/>
        <w:spacing w:after="0" w:line="276" w:lineRule="auto"/>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(other than the relevant Existing Lender and the Agent) irrevocably authorises the Agent to execute any Assignment Agreement on its behalf. For the avoidance of doubt, nothing in this paragraph (c) constitutes a consent by the Company for the purposes of Clause 26.2 (</w:t>
      </w:r>
      <w:r>
        <w:rPr>
          <w:rFonts w:ascii="Times New Roman" w:cs="Times New Roman" w:eastAsia="Times New Roman" w:hAnsi="Times New Roman"/>
          <w:sz w:val="17"/>
          <w:szCs w:val="17"/>
          <w:i w:val="1"/>
          <w:iCs w:val="1"/>
          <w:color w:val="auto"/>
        </w:rPr>
        <w:t>Conditions of assignment or transfer</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Transfer Date:</w:t>
      </w:r>
    </w:p>
    <w:p>
      <w:pPr>
        <w:spacing w:after="0" w:line="131" w:lineRule="exact"/>
        <w:rPr>
          <w:rFonts w:ascii="Times New Roman" w:cs="Times New Roman" w:eastAsia="Times New Roman" w:hAnsi="Times New Roman"/>
          <w:sz w:val="17"/>
          <w:szCs w:val="17"/>
          <w:color w:val="auto"/>
        </w:rPr>
      </w:pPr>
    </w:p>
    <w:p>
      <w:pPr>
        <w:ind w:left="1880" w:right="360" w:hanging="620"/>
        <w:spacing w:after="0" w:line="295" w:lineRule="auto"/>
        <w:tabs>
          <w:tab w:leader="none" w:pos="1880" w:val="left"/>
        </w:tabs>
        <w:numPr>
          <w:ilvl w:val="1"/>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will assign absolutely to the New Lender its rights under the Finance Documents expressed to be the subject of the assignment in the Assignment Agreement;</w:t>
      </w:r>
    </w:p>
    <w:p>
      <w:pPr>
        <w:spacing w:after="0" w:line="53" w:lineRule="exact"/>
        <w:rPr>
          <w:rFonts w:ascii="Times New Roman" w:cs="Times New Roman" w:eastAsia="Times New Roman" w:hAnsi="Times New Roman"/>
          <w:sz w:val="17"/>
          <w:szCs w:val="17"/>
          <w:color w:val="auto"/>
        </w:rPr>
      </w:pPr>
    </w:p>
    <w:p>
      <w:pPr>
        <w:ind w:left="1880" w:right="320" w:hanging="620"/>
        <w:spacing w:after="0" w:line="298" w:lineRule="auto"/>
        <w:tabs>
          <w:tab w:leader="none" w:pos="1880" w:val="left"/>
        </w:tabs>
        <w:numPr>
          <w:ilvl w:val="1"/>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will be released from the obligations (the “</w:t>
      </w:r>
      <w:r>
        <w:rPr>
          <w:rFonts w:ascii="Times New Roman" w:cs="Times New Roman" w:eastAsia="Times New Roman" w:hAnsi="Times New Roman"/>
          <w:sz w:val="17"/>
          <w:szCs w:val="17"/>
          <w:b w:val="1"/>
          <w:bCs w:val="1"/>
          <w:color w:val="auto"/>
        </w:rPr>
        <w:t>Relevant Obligations</w:t>
      </w:r>
      <w:r>
        <w:rPr>
          <w:rFonts w:ascii="Times New Roman" w:cs="Times New Roman" w:eastAsia="Times New Roman" w:hAnsi="Times New Roman"/>
          <w:sz w:val="17"/>
          <w:szCs w:val="17"/>
          <w:color w:val="auto"/>
        </w:rPr>
        <w:t>”) expressed to be the subject of the release in the Assignment Agreement; and</w:t>
      </w:r>
    </w:p>
    <w:p>
      <w:pPr>
        <w:spacing w:after="0" w:line="52"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shall become a Party as a “Lender” and will be bound by obligations equivalent to the Relevant Obligations.</w:t>
      </w:r>
    </w:p>
    <w:p>
      <w:pPr>
        <w:spacing w:after="0" w:line="131" w:lineRule="exact"/>
        <w:rPr>
          <w:rFonts w:ascii="Times New Roman" w:cs="Times New Roman" w:eastAsia="Times New Roman" w:hAnsi="Times New Roman"/>
          <w:sz w:val="17"/>
          <w:szCs w:val="17"/>
          <w:color w:val="auto"/>
        </w:rPr>
      </w:pPr>
    </w:p>
    <w:p>
      <w:pPr>
        <w:ind w:left="1260" w:right="640" w:hanging="523"/>
        <w:spacing w:after="0" w:line="295" w:lineRule="auto"/>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Lenders may utilise procedures other than those set out in this Clause 26.6 to assign their rights under the Finance Documents </w:t>
      </w:r>
      <w:r>
        <w:rPr>
          <w:rFonts w:ascii="Times New Roman" w:cs="Times New Roman" w:eastAsia="Times New Roman" w:hAnsi="Times New Roman"/>
          <w:sz w:val="17"/>
          <w:szCs w:val="17"/>
          <w:b w:val="1"/>
          <w:bCs w:val="1"/>
          <w:color w:val="auto"/>
        </w:rPr>
        <w:t xml:space="preserve">provided that </w:t>
      </w:r>
      <w:r>
        <w:rPr>
          <w:rFonts w:ascii="Times New Roman" w:cs="Times New Roman" w:eastAsia="Times New Roman" w:hAnsi="Times New Roman"/>
          <w:sz w:val="17"/>
          <w:szCs w:val="17"/>
          <w:color w:val="auto"/>
        </w:rPr>
        <w:t>they comply with the conditions set out in Clause 26.2 (</w:t>
      </w:r>
      <w:r>
        <w:rPr>
          <w:rFonts w:ascii="Times New Roman" w:cs="Times New Roman" w:eastAsia="Times New Roman" w:hAnsi="Times New Roman"/>
          <w:sz w:val="17"/>
          <w:szCs w:val="17"/>
          <w:i w:val="1"/>
          <w:iCs w:val="1"/>
          <w:color w:val="auto"/>
        </w:rPr>
        <w:t>Conditions of assignment or transfer</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1260" w:right="200" w:hanging="523"/>
        <w:spacing w:after="0" w:line="266" w:lineRule="auto"/>
        <w:tabs>
          <w:tab w:leader="none" w:pos="126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 set out in this Clause 26.6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3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26.7</w:t>
      </w:r>
      <w:r>
        <w:rPr>
          <w:sz w:val="20"/>
          <w:szCs w:val="20"/>
          <w:color w:val="auto"/>
        </w:rPr>
        <w:tab/>
      </w:r>
      <w:r>
        <w:rPr>
          <w:rFonts w:ascii="Times New Roman" w:cs="Times New Roman" w:eastAsia="Times New Roman" w:hAnsi="Times New Roman"/>
          <w:sz w:val="17"/>
          <w:szCs w:val="17"/>
          <w:b w:val="1"/>
          <w:bCs w:val="1"/>
          <w:color w:val="auto"/>
        </w:rPr>
        <w:t>Copy of Transfer Certificate or Assignment Agreement to Company</w:t>
      </w:r>
    </w:p>
    <w:p>
      <w:pPr>
        <w:spacing w:after="0" w:line="120" w:lineRule="exact"/>
        <w:rPr>
          <w:sz w:val="20"/>
          <w:szCs w:val="20"/>
          <w:color w:val="auto"/>
        </w:rPr>
      </w:pPr>
    </w:p>
    <w:p>
      <w:pPr>
        <w:ind w:left="740" w:right="520"/>
        <w:spacing w:after="0" w:line="295" w:lineRule="auto"/>
        <w:rPr>
          <w:sz w:val="20"/>
          <w:szCs w:val="20"/>
          <w:color w:val="auto"/>
        </w:rPr>
      </w:pPr>
      <w:r>
        <w:rPr>
          <w:rFonts w:ascii="Times New Roman" w:cs="Times New Roman" w:eastAsia="Times New Roman" w:hAnsi="Times New Roman"/>
          <w:sz w:val="17"/>
          <w:szCs w:val="17"/>
          <w:color w:val="auto"/>
        </w:rPr>
        <w:t>The Agent shall, as soon as reasonably practicable after it has executed a Transfer Certificate or an Assignment Agreement, send to the Company a copy of that Transfer Certificate or Assignment Agreement.</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06" w:name="page407"/>
    <w:bookmarkEnd w:id="406"/>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26.8</w:t>
      </w:r>
      <w:r>
        <w:rPr>
          <w:sz w:val="20"/>
          <w:szCs w:val="20"/>
          <w:color w:val="auto"/>
        </w:rPr>
        <w:tab/>
      </w:r>
      <w:r>
        <w:rPr>
          <w:rFonts w:ascii="Times New Roman" w:cs="Times New Roman" w:eastAsia="Times New Roman" w:hAnsi="Times New Roman"/>
          <w:sz w:val="17"/>
          <w:szCs w:val="17"/>
          <w:b w:val="1"/>
          <w:bCs w:val="1"/>
          <w:color w:val="auto"/>
        </w:rPr>
        <w:t>Security interests over Lenders’ rights</w:t>
      </w:r>
    </w:p>
    <w:p>
      <w:pPr>
        <w:spacing w:after="0" w:line="120" w:lineRule="exact"/>
        <w:rPr>
          <w:sz w:val="20"/>
          <w:szCs w:val="20"/>
          <w:color w:val="auto"/>
        </w:rPr>
      </w:pPr>
    </w:p>
    <w:p>
      <w:pPr>
        <w:jc w:val="both"/>
        <w:ind w:left="748" w:right="140"/>
        <w:spacing w:after="0" w:line="276" w:lineRule="auto"/>
        <w:rPr>
          <w:sz w:val="20"/>
          <w:szCs w:val="20"/>
          <w:color w:val="auto"/>
        </w:rPr>
      </w:pPr>
      <w:r>
        <w:rPr>
          <w:rFonts w:ascii="Times New Roman" w:cs="Times New Roman" w:eastAsia="Times New Roman" w:hAnsi="Times New Roman"/>
          <w:sz w:val="17"/>
          <w:szCs w:val="17"/>
          <w:color w:val="auto"/>
        </w:rPr>
        <w:t>In addition to the other rights provided to Lenders under this Clause 26, each Lender may without consulting with or obtaining consent from the Company or any Subsidiary Guarantor, at any time create Security in or over (whether by way of collateral or otherwise) all or any of its rights under any Finance Document to secure obligations of that Lender including, without limitation:</w:t>
      </w:r>
    </w:p>
    <w:p>
      <w:pPr>
        <w:spacing w:after="0" w:line="70" w:lineRule="exact"/>
        <w:rPr>
          <w:sz w:val="20"/>
          <w:szCs w:val="20"/>
          <w:color w:val="auto"/>
        </w:rPr>
      </w:pPr>
    </w:p>
    <w:p>
      <w:pPr>
        <w:ind w:left="1268" w:hanging="523"/>
        <w:spacing w:after="0"/>
        <w:tabs>
          <w:tab w:leader="none" w:pos="1268"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to secure obligations to a federal reserve or central bank; and</w:t>
      </w:r>
    </w:p>
    <w:p>
      <w:pPr>
        <w:spacing w:after="0" w:line="131" w:lineRule="exact"/>
        <w:rPr>
          <w:rFonts w:ascii="Times New Roman" w:cs="Times New Roman" w:eastAsia="Times New Roman" w:hAnsi="Times New Roman"/>
          <w:sz w:val="17"/>
          <w:szCs w:val="17"/>
          <w:color w:val="auto"/>
        </w:rPr>
      </w:pPr>
    </w:p>
    <w:p>
      <w:pPr>
        <w:ind w:left="1268" w:right="140" w:hanging="523"/>
        <w:spacing w:after="0" w:line="295" w:lineRule="auto"/>
        <w:tabs>
          <w:tab w:leader="none" w:pos="1268"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Lender which is a fund, any Security granted to any holders (or trustee or representatives of holders) of obligations owed, or securities issued, by that Lender as security for those obligations or securities,</w:t>
      </w:r>
    </w:p>
    <w:p>
      <w:pPr>
        <w:spacing w:after="0" w:line="4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except that no such Security shall:</w:t>
      </w:r>
    </w:p>
    <w:p>
      <w:pPr>
        <w:spacing w:after="0" w:line="131" w:lineRule="exact"/>
        <w:rPr>
          <w:sz w:val="20"/>
          <w:szCs w:val="20"/>
          <w:color w:val="auto"/>
        </w:rPr>
      </w:pPr>
    </w:p>
    <w:p>
      <w:pPr>
        <w:ind w:left="1888" w:right="580" w:hanging="620"/>
        <w:spacing w:after="0" w:line="295" w:lineRule="auto"/>
        <w:tabs>
          <w:tab w:leader="none" w:pos="1888"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a Lender from any of its obligations under the Finance Documents or substitute the beneficiary of the relevant Security for the Lender as a party to any of the Finance Documents; or</w:t>
      </w:r>
    </w:p>
    <w:p>
      <w:pPr>
        <w:spacing w:after="0" w:line="55" w:lineRule="exact"/>
        <w:rPr>
          <w:rFonts w:ascii="Times New Roman" w:cs="Times New Roman" w:eastAsia="Times New Roman" w:hAnsi="Times New Roman"/>
          <w:sz w:val="17"/>
          <w:szCs w:val="17"/>
          <w:color w:val="auto"/>
        </w:rPr>
      </w:pPr>
    </w:p>
    <w:p>
      <w:pPr>
        <w:ind w:left="1888" w:right="20" w:hanging="620"/>
        <w:spacing w:after="0" w:line="295" w:lineRule="auto"/>
        <w:tabs>
          <w:tab w:leader="none" w:pos="1888"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payments to be made by the Company or a Subsidiary Guarantor or grant to any person any more extensive rights than those required to be made or granted to the relevant Lender under the Finance Documents.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26.9</w:t>
      </w:r>
      <w:r>
        <w:rPr>
          <w:sz w:val="20"/>
          <w:szCs w:val="20"/>
          <w:color w:val="auto"/>
        </w:rPr>
        <w:tab/>
      </w:r>
      <w:r>
        <w:rPr>
          <w:rFonts w:ascii="Times New Roman" w:cs="Times New Roman" w:eastAsia="Times New Roman" w:hAnsi="Times New Roman"/>
          <w:sz w:val="17"/>
          <w:szCs w:val="17"/>
          <w:b w:val="1"/>
          <w:bCs w:val="1"/>
          <w:color w:val="auto"/>
        </w:rPr>
        <w:t>Existing consents and waivers</w:t>
      </w:r>
    </w:p>
    <w:p>
      <w:pPr>
        <w:spacing w:after="0" w:line="120" w:lineRule="exact"/>
        <w:rPr>
          <w:sz w:val="20"/>
          <w:szCs w:val="20"/>
          <w:color w:val="auto"/>
        </w:rPr>
      </w:pPr>
    </w:p>
    <w:p>
      <w:pPr>
        <w:ind w:left="748" w:right="180"/>
        <w:spacing w:after="0" w:line="264" w:lineRule="auto"/>
        <w:rPr>
          <w:sz w:val="20"/>
          <w:szCs w:val="20"/>
          <w:color w:val="auto"/>
        </w:rPr>
      </w:pPr>
      <w:r>
        <w:rPr>
          <w:rFonts w:ascii="Times New Roman" w:cs="Times New Roman" w:eastAsia="Times New Roman" w:hAnsi="Times New Roman"/>
          <w:sz w:val="17"/>
          <w:szCs w:val="17"/>
          <w:color w:val="auto"/>
        </w:rPr>
        <w:t>A New Lender shall be bound by any consent, waiver, election or decision given or made by the relevant Existing Lender under or pursuant to any Finance Document prior to the coming into effect of the relevant assignment or transfer to such New Lender. Each New Lender, by executing the relevant Transfer Certificate,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315"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26.10</w:t>
      </w:r>
      <w:r>
        <w:rPr>
          <w:sz w:val="20"/>
          <w:szCs w:val="20"/>
          <w:color w:val="auto"/>
        </w:rPr>
        <w:tab/>
      </w:r>
      <w:r>
        <w:rPr>
          <w:rFonts w:ascii="Times New Roman" w:cs="Times New Roman" w:eastAsia="Times New Roman" w:hAnsi="Times New Roman"/>
          <w:sz w:val="17"/>
          <w:szCs w:val="17"/>
          <w:b w:val="1"/>
          <w:bCs w:val="1"/>
          <w:color w:val="auto"/>
        </w:rPr>
        <w:t>Exclusion of Agent’s liability</w:t>
      </w:r>
    </w:p>
    <w:p>
      <w:pPr>
        <w:spacing w:after="0" w:line="120" w:lineRule="exact"/>
        <w:rPr>
          <w:sz w:val="20"/>
          <w:szCs w:val="20"/>
          <w:color w:val="auto"/>
        </w:rPr>
      </w:pPr>
    </w:p>
    <w:p>
      <w:pPr>
        <w:ind w:left="748" w:right="20"/>
        <w:spacing w:after="0" w:line="295" w:lineRule="auto"/>
        <w:rPr>
          <w:sz w:val="20"/>
          <w:szCs w:val="20"/>
          <w:color w:val="auto"/>
        </w:rPr>
      </w:pPr>
      <w:r>
        <w:rPr>
          <w:rFonts w:ascii="Times New Roman" w:cs="Times New Roman" w:eastAsia="Times New Roman" w:hAnsi="Times New Roman"/>
          <w:sz w:val="17"/>
          <w:szCs w:val="17"/>
          <w:color w:val="auto"/>
        </w:rPr>
        <w:t>In relation to any assignment or transfer pursuant to this Clause 26, each Party acknowledges and agrees that the Agent shall not be obliged to enquire as to the accuracy of any representation or warranty made by a New Lender in respect of its eligibility as a Lender.</w:t>
      </w:r>
    </w:p>
    <w:p>
      <w:pPr>
        <w:spacing w:after="0" w:line="288" w:lineRule="exact"/>
        <w:rPr>
          <w:sz w:val="20"/>
          <w:szCs w:val="20"/>
          <w:color w:val="auto"/>
        </w:rPr>
      </w:pPr>
    </w:p>
    <w:p>
      <w:pPr>
        <w:ind w:left="748" w:hanging="748"/>
        <w:spacing w:after="0"/>
        <w:tabs>
          <w:tab w:leader="none" w:pos="748" w:val="left"/>
        </w:tabs>
        <w:numPr>
          <w:ilvl w:val="0"/>
          <w:numId w:val="5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Purchase Transactions</w:t>
      </w:r>
    </w:p>
    <w:p>
      <w:pPr>
        <w:spacing w:after="0" w:line="249"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Permitted Debt Purchase Transactions</w:t>
      </w:r>
    </w:p>
    <w:p>
      <w:pPr>
        <w:spacing w:after="0" w:line="133" w:lineRule="exact"/>
        <w:rPr>
          <w:sz w:val="20"/>
          <w:szCs w:val="20"/>
          <w:color w:val="auto"/>
        </w:rPr>
      </w:pPr>
    </w:p>
    <w:p>
      <w:pPr>
        <w:jc w:val="both"/>
        <w:ind w:left="1268" w:right="60" w:hanging="523"/>
        <w:spacing w:after="0" w:line="276" w:lineRule="auto"/>
        <w:tabs>
          <w:tab w:leader="none" w:pos="1268"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(and shall procure that no other member of the will) (i) enter into any Debt Purchase Transaction other than in accordance with the other provisions of this Clause 27 or (ii) itself be (or beneficially own all or any majority of the share capital of a company that is) a Lender or a party to a Participation.</w:t>
      </w:r>
    </w:p>
    <w:p>
      <w:pPr>
        <w:spacing w:after="0" w:line="68" w:lineRule="exact"/>
        <w:rPr>
          <w:rFonts w:ascii="Times New Roman" w:cs="Times New Roman" w:eastAsia="Times New Roman" w:hAnsi="Times New Roman"/>
          <w:sz w:val="17"/>
          <w:szCs w:val="17"/>
          <w:color w:val="auto"/>
        </w:rPr>
      </w:pPr>
    </w:p>
    <w:p>
      <w:pPr>
        <w:ind w:left="1268" w:right="100" w:hanging="523"/>
        <w:spacing w:after="0" w:line="298" w:lineRule="auto"/>
        <w:tabs>
          <w:tab w:leader="none" w:pos="1268"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purchase by way of assignment or transfer, pursuant to Clause 26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 a participation in any Incremental Term Facility Loan made to it (and any related Commitment) where:</w:t>
      </w:r>
    </w:p>
    <w:p>
      <w:pPr>
        <w:spacing w:after="0" w:line="52"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 is made for a consideration of less than par;</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07" w:name="page408"/>
    <w:bookmarkEnd w:id="407"/>
    <w:p>
      <w:pPr>
        <w:ind w:left="1140" w:hanging="620"/>
        <w:spacing w:after="0"/>
        <w:tabs>
          <w:tab w:leader="none" w:pos="114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such purchase is made using one of the processes set out at paragraphs (c) and (d) below;</w:t>
      </w:r>
    </w:p>
    <w:p>
      <w:pPr>
        <w:spacing w:after="0" w:line="131" w:lineRule="exact"/>
        <w:rPr>
          <w:rFonts w:ascii="Times New Roman" w:cs="Times New Roman" w:eastAsia="Times New Roman" w:hAnsi="Times New Roman"/>
          <w:sz w:val="17"/>
          <w:szCs w:val="17"/>
          <w:color w:val="auto"/>
        </w:rPr>
      </w:pPr>
    </w:p>
    <w:p>
      <w:pPr>
        <w:ind w:left="1140" w:hanging="620"/>
        <w:spacing w:after="0"/>
        <w:tabs>
          <w:tab w:leader="none" w:pos="114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 is made at a time when no Default is continuing; and</w:t>
      </w:r>
    </w:p>
    <w:p>
      <w:pPr>
        <w:spacing w:after="0" w:line="131" w:lineRule="exact"/>
        <w:rPr>
          <w:rFonts w:ascii="Times New Roman" w:cs="Times New Roman" w:eastAsia="Times New Roman" w:hAnsi="Times New Roman"/>
          <w:sz w:val="17"/>
          <w:szCs w:val="17"/>
          <w:color w:val="auto"/>
        </w:rPr>
      </w:pPr>
    </w:p>
    <w:p>
      <w:pPr>
        <w:ind w:left="1140" w:hanging="620"/>
        <w:spacing w:after="0"/>
        <w:tabs>
          <w:tab w:leader="none" w:pos="114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for such purchase is funded from New Shareholder Injections.</w:t>
      </w:r>
    </w:p>
    <w:p>
      <w:pPr>
        <w:spacing w:after="0" w:line="13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color w:val="auto"/>
        </w:rPr>
        <w:t>(c)      (i)</w:t>
      </w:r>
      <w:r>
        <w:rPr>
          <w:sz w:val="20"/>
          <w:szCs w:val="20"/>
          <w:color w:val="auto"/>
        </w:rPr>
        <w:tab/>
      </w:r>
      <w:r>
        <w:rPr>
          <w:rFonts w:ascii="Times New Roman" w:cs="Times New Roman" w:eastAsia="Times New Roman" w:hAnsi="Times New Roman"/>
          <w:sz w:val="17"/>
          <w:szCs w:val="17"/>
          <w:color w:val="auto"/>
        </w:rPr>
        <w:t>A Debt Purchase Transaction referred to in paragraph (b) above may be entered into pursuant to a solicitation process (a</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Solicitation Process</w:t>
      </w:r>
      <w:r>
        <w:rPr>
          <w:rFonts w:ascii="Times New Roman" w:cs="Times New Roman" w:eastAsia="Times New Roman" w:hAnsi="Times New Roman"/>
          <w:sz w:val="17"/>
          <w:szCs w:val="17"/>
          <w:color w:val="auto"/>
        </w:rPr>
        <w:t>”) which is carried out as follows.</w:t>
      </w:r>
    </w:p>
    <w:p>
      <w:pPr>
        <w:spacing w:after="0" w:line="111" w:lineRule="exact"/>
        <w:rPr>
          <w:sz w:val="20"/>
          <w:szCs w:val="20"/>
          <w:color w:val="auto"/>
        </w:rPr>
      </w:pPr>
    </w:p>
    <w:p>
      <w:pPr>
        <w:ind w:left="1140" w:right="20" w:hanging="620"/>
        <w:spacing w:after="0" w:line="260" w:lineRule="auto"/>
        <w:tabs>
          <w:tab w:leader="none" w:pos="11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11:00 a.m. on a given Business Day (the “</w:t>
      </w:r>
      <w:r>
        <w:rPr>
          <w:rFonts w:ascii="Times New Roman" w:cs="Times New Roman" w:eastAsia="Times New Roman" w:hAnsi="Times New Roman"/>
          <w:sz w:val="17"/>
          <w:szCs w:val="17"/>
          <w:b w:val="1"/>
          <w:bCs w:val="1"/>
          <w:color w:val="auto"/>
        </w:rPr>
        <w:t>Solicitation Day</w:t>
      </w:r>
      <w:r>
        <w:rPr>
          <w:rFonts w:ascii="Times New Roman" w:cs="Times New Roman" w:eastAsia="Times New Roman" w:hAnsi="Times New Roman"/>
          <w:sz w:val="17"/>
          <w:szCs w:val="17"/>
          <w:color w:val="auto"/>
        </w:rPr>
        <w:t>”) the Company or a financial institution acting on its behalf (the “</w:t>
      </w:r>
      <w:r>
        <w:rPr>
          <w:rFonts w:ascii="Times New Roman" w:cs="Times New Roman" w:eastAsia="Times New Roman" w:hAnsi="Times New Roman"/>
          <w:sz w:val="17"/>
          <w:szCs w:val="17"/>
          <w:b w:val="1"/>
          <w:bCs w:val="1"/>
          <w:color w:val="auto"/>
        </w:rPr>
        <w:t>Purchase Agent</w:t>
      </w:r>
      <w:r>
        <w:rPr>
          <w:rFonts w:ascii="Times New Roman" w:cs="Times New Roman" w:eastAsia="Times New Roman" w:hAnsi="Times New Roman"/>
          <w:sz w:val="17"/>
          <w:szCs w:val="17"/>
          <w:color w:val="auto"/>
        </w:rPr>
        <w:t>”) will approach at the same time each Lender which participates in the relevant Incremental Term Loan Facility to enable them to offer to sell to the Company an amount of their participation in the relevant Incremental Term Loan Facility. Any Lender wishing to make such an offer shall, by 11:00 a.m. on the fifth Business Day following such Solicitation Day, communicate to the Purchase Agent details of the amount of its participations in the relevant Incremental Term Loan Facility it is offering to sell and the price at which it is offering to sell such participations. Any such offer shall be irrevocable until 11:00 a.m. on the sixth Business Day following such Solicitation Day and shall be capable of acceptance by the Company on or before such time by communicating its acceptance in writing to the Purchase Agent or, if it is the Purchase Agent, the relevant Lenders. The Purchase Agent (if someone other than the Company) will communicate to the relevant Lenders which offers have been accepted by 12:00 noon on the sixth Business Day following such Solicitation Day. In any event by 5:00 p.m. on the seventh Business Day following such Solicitation Day, the Company shall notify the Agent of the amounts of the participations purchased through the relevant Solicitation Process and the average price paid for the purchase of participations in the relevant Incremental Term Loan Facility. The Agent shall promptly disclose such information to the Lenders.</w:t>
      </w:r>
    </w:p>
    <w:p>
      <w:pPr>
        <w:spacing w:after="0" w:line="293" w:lineRule="exact"/>
        <w:rPr>
          <w:rFonts w:ascii="Times New Roman" w:cs="Times New Roman" w:eastAsia="Times New Roman" w:hAnsi="Times New Roman"/>
          <w:sz w:val="17"/>
          <w:szCs w:val="17"/>
          <w:color w:val="auto"/>
        </w:rPr>
      </w:pPr>
    </w:p>
    <w:p>
      <w:pPr>
        <w:ind w:left="1140" w:right="260" w:hanging="620"/>
        <w:spacing w:after="0" w:line="295" w:lineRule="auto"/>
        <w:tabs>
          <w:tab w:leader="none" w:pos="11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purchase of participations in an Incremental Term Loan Facility pursuant to a Solicitation Process shall be completed and settled on or before the eighth Business Day after the relevant Solicitation Day.</w:t>
      </w:r>
    </w:p>
    <w:p>
      <w:pPr>
        <w:spacing w:after="0" w:line="55" w:lineRule="exact"/>
        <w:rPr>
          <w:rFonts w:ascii="Times New Roman" w:cs="Times New Roman" w:eastAsia="Times New Roman" w:hAnsi="Times New Roman"/>
          <w:sz w:val="17"/>
          <w:szCs w:val="17"/>
          <w:color w:val="auto"/>
        </w:rPr>
      </w:pPr>
    </w:p>
    <w:p>
      <w:pPr>
        <w:ind w:left="1140" w:right="40" w:hanging="620"/>
        <w:spacing w:after="0" w:line="266" w:lineRule="auto"/>
        <w:tabs>
          <w:tab w:leader="none" w:pos="11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accepting any offers made pursuant to a Solicitation Process the Company shall be free to select which offers and in which amounts it accepts but on the basis that in relation to a participation in a particular Incremental Term Loan Facility it accepts offers in inverse order of the price offered (with the offer or offers at the lowest price being accepted first) and that if in respect of participations in a particular Incremental Term Loan Facility it receives two or more offers at the same price it shall only accept such offers on a pro rata basis.</w:t>
      </w:r>
    </w:p>
    <w:p>
      <w:pPr>
        <w:sectPr>
          <w:pgSz w:w="11900" w:h="16838" w:orient="portrait"/>
          <w:cols w:equalWidth="0" w:num="1">
            <w:col w:w="9920"/>
          </w:cols>
          <w:pgMar w:left="1360" w:top="264" w:right="61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 Debt Purchase Transaction referred to in paragraph (b) above may also be entered into pursuant to an open order process (an “</w:t>
      </w:r>
      <w:r>
        <w:rPr>
          <w:rFonts w:ascii="Times New Roman" w:cs="Times New Roman" w:eastAsia="Times New Roman" w:hAnsi="Times New Roman"/>
          <w:sz w:val="17"/>
          <w:szCs w:val="17"/>
          <w:b w:val="1"/>
          <w:bCs w:val="1"/>
          <w:color w:val="auto"/>
        </w:rPr>
        <w:t>Open Order Process</w:t>
      </w:r>
      <w:r>
        <w:rPr>
          <w:rFonts w:ascii="Times New Roman" w:cs="Times New Roman" w:eastAsia="Times New Roman" w:hAnsi="Times New Roman"/>
          <w:sz w:val="17"/>
          <w:szCs w:val="17"/>
          <w:color w:val="auto"/>
        </w:rPr>
        <w:t>”) which is carried out as follows.</w:t>
      </w:r>
    </w:p>
    <w:p>
      <w:pPr>
        <w:spacing w:after="0" w:line="53" w:lineRule="exact"/>
        <w:rPr>
          <w:sz w:val="20"/>
          <w:szCs w:val="20"/>
          <w:color w:val="auto"/>
        </w:rPr>
      </w:pPr>
    </w:p>
    <w:p>
      <w:pPr>
        <w:sectPr>
          <w:pgSz w:w="11900" w:h="16838" w:orient="portrait"/>
          <w:cols w:equalWidth="0" w:num="2">
            <w:col w:w="720" w:space="440"/>
            <w:col w:w="8760"/>
          </w:cols>
          <w:pgMar w:left="1360" w:top="264" w:right="619" w:bottom="1440" w:gutter="0" w:footer="0" w:header="0"/>
          <w:type w:val="continuous"/>
        </w:sectPr>
      </w:pPr>
    </w:p>
    <w:p>
      <w:pPr>
        <w:ind w:left="1140" w:right="40" w:hanging="620"/>
        <w:spacing w:after="0" w:line="261" w:lineRule="auto"/>
        <w:tabs>
          <w:tab w:leader="none" w:pos="1140"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itself or through another Purchase Agent place an open order (an “</w:t>
      </w:r>
      <w:r>
        <w:rPr>
          <w:rFonts w:ascii="Times New Roman" w:cs="Times New Roman" w:eastAsia="Times New Roman" w:hAnsi="Times New Roman"/>
          <w:sz w:val="17"/>
          <w:szCs w:val="17"/>
          <w:b w:val="1"/>
          <w:bCs w:val="1"/>
          <w:color w:val="auto"/>
        </w:rPr>
        <w:t>Open Order</w:t>
      </w:r>
      <w:r>
        <w:rPr>
          <w:rFonts w:ascii="Times New Roman" w:cs="Times New Roman" w:eastAsia="Times New Roman" w:hAnsi="Times New Roman"/>
          <w:sz w:val="17"/>
          <w:szCs w:val="17"/>
          <w:color w:val="auto"/>
        </w:rPr>
        <w:t>”) to purchase participations in an Incremental Term Loan Facility up to a set aggregate amount at a set price by notifying at the same time all the Lenders participating in the relevant Incremental Term Loan Facility of the same. Any Lender wishing to sell pursuant to an Open Order will, by 11:00 a.m. on any Business Day following the date on which the Open Order is placed but no earlier than the first Business Day, and no later than the fifth Business Day, following the date on which the Open Order is placed, communicate to the Purchase Agent details of the amount of its participations in the relevant Incremental Term Loan Facility it is offering to sell. Any such offer to sell shall be irrevocable until 11:00 a.m. on the Business Day following the date of such offer from the Lender and shall be capable of acceptance by the Company on or before such time by it communicating such acceptance in writing to the relevant Lender.</w:t>
      </w:r>
    </w:p>
    <w:p>
      <w:pPr>
        <w:spacing w:after="0" w:line="114" w:lineRule="exact"/>
        <w:rPr>
          <w:sz w:val="20"/>
          <w:szCs w:val="20"/>
          <w:color w:val="auto"/>
        </w:rPr>
      </w:pPr>
    </w:p>
    <w:tbl>
      <w:tblPr>
        <w:tblLayout w:type="fixed"/>
        <w:tblInd w:w="446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0"/>
          </w:cols>
          <w:pgMar w:left="1360" w:top="264" w:right="619" w:bottom="1440" w:gutter="0" w:footer="0" w:header="0"/>
          <w:type w:val="continuous"/>
        </w:sectPr>
      </w:pPr>
    </w:p>
    <w:bookmarkStart w:id="408" w:name="page409"/>
    <w:bookmarkEnd w:id="408"/>
    <w:p>
      <w:pPr>
        <w:ind w:left="1143" w:right="60" w:hanging="620"/>
        <w:spacing w:after="0" w:line="276" w:lineRule="auto"/>
        <w:tabs>
          <w:tab w:leader="none" w:pos="1143"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purchase of participations in an Incremental Term Loan Facility pursuant to an Open Order Process shall be completed and settled by the Company on or before the fourth Business Day after the date of the relevant offer by a Lender to sell under the relevant Open Order.</w:t>
      </w:r>
    </w:p>
    <w:p>
      <w:pPr>
        <w:spacing w:after="0" w:line="70" w:lineRule="exact"/>
        <w:rPr>
          <w:rFonts w:ascii="Times New Roman" w:cs="Times New Roman" w:eastAsia="Times New Roman" w:hAnsi="Times New Roman"/>
          <w:sz w:val="17"/>
          <w:szCs w:val="17"/>
          <w:color w:val="auto"/>
        </w:rPr>
      </w:pPr>
    </w:p>
    <w:p>
      <w:pPr>
        <w:ind w:left="1143" w:right="100" w:hanging="620"/>
        <w:spacing w:after="0" w:line="276" w:lineRule="auto"/>
        <w:tabs>
          <w:tab w:leader="none" w:pos="1143"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respect of participations in an Incremental Term Loan Facility the Purchase Agent receives on the same Business Day two or more offers at the set price such that the maximum amount of such Incremental Term Loan Facility to which an Open Order relates would be exceeded, the Company shall only accept such offers on a pro rata basis.</w:t>
      </w:r>
    </w:p>
    <w:p>
      <w:pPr>
        <w:spacing w:after="0" w:line="70" w:lineRule="exact"/>
        <w:rPr>
          <w:rFonts w:ascii="Times New Roman" w:cs="Times New Roman" w:eastAsia="Times New Roman" w:hAnsi="Times New Roman"/>
          <w:sz w:val="17"/>
          <w:szCs w:val="17"/>
          <w:color w:val="auto"/>
        </w:rPr>
      </w:pPr>
    </w:p>
    <w:p>
      <w:pPr>
        <w:jc w:val="both"/>
        <w:ind w:left="1143" w:right="180" w:hanging="620"/>
        <w:spacing w:after="0" w:line="276" w:lineRule="auto"/>
        <w:tabs>
          <w:tab w:leader="none" w:pos="1143"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by 5.00 pm on the sixth Business Day following the date on which an Open Order is placed, notify the Agent of the amounts of the participations purchased through such Open Order Process and the identity of the Incremental Term Loan Facility to which they relate. The Agent shall promptly disclose such information to the Lenders.</w:t>
      </w:r>
    </w:p>
    <w:p>
      <w:pPr>
        <w:spacing w:after="0" w:line="70" w:lineRule="exact"/>
        <w:rPr>
          <w:rFonts w:ascii="Times New Roman" w:cs="Times New Roman" w:eastAsia="Times New Roman" w:hAnsi="Times New Roman"/>
          <w:sz w:val="17"/>
          <w:szCs w:val="17"/>
          <w:color w:val="auto"/>
        </w:rPr>
      </w:pPr>
    </w:p>
    <w:p>
      <w:pPr>
        <w:ind w:left="523" w:right="440" w:hanging="523"/>
        <w:spacing w:after="0" w:line="295" w:lineRule="auto"/>
        <w:tabs>
          <w:tab w:leader="none" w:pos="523"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there is no limit on the number of occasions a Solicitation Process or an Open Order Process may be implemented.</w:t>
      </w:r>
    </w:p>
    <w:p>
      <w:pPr>
        <w:spacing w:after="0" w:line="55" w:lineRule="exact"/>
        <w:rPr>
          <w:rFonts w:ascii="Times New Roman" w:cs="Times New Roman" w:eastAsia="Times New Roman" w:hAnsi="Times New Roman"/>
          <w:sz w:val="17"/>
          <w:szCs w:val="17"/>
          <w:color w:val="auto"/>
        </w:rPr>
      </w:pPr>
    </w:p>
    <w:p>
      <w:pPr>
        <w:ind w:left="523" w:right="680" w:hanging="523"/>
        <w:spacing w:after="0" w:line="295" w:lineRule="auto"/>
        <w:tabs>
          <w:tab w:leader="none" w:pos="523"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Debt Purchase Transaction entered into pursuant to this Clause 27.1, notwithstanding any other term of this Agreement or the other Finance Documents:</w:t>
      </w:r>
    </w:p>
    <w:p>
      <w:pPr>
        <w:spacing w:after="0" w:line="55" w:lineRule="exact"/>
        <w:rPr>
          <w:rFonts w:ascii="Times New Roman" w:cs="Times New Roman" w:eastAsia="Times New Roman" w:hAnsi="Times New Roman"/>
          <w:sz w:val="17"/>
          <w:szCs w:val="17"/>
          <w:color w:val="auto"/>
        </w:rPr>
      </w:pPr>
    </w:p>
    <w:p>
      <w:pPr>
        <w:ind w:left="1143" w:right="140" w:hanging="620"/>
        <w:spacing w:after="0" w:line="269"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completion of the relevant assignment or transfer (constituting such Debt Purchase Transaction) pursuant to Clause 26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 xml:space="preserve">), the portions of the Loan(s) to which it relates shall be extinguished and (in the case of any Incremental Term Facility Loan with remaining repayment instalments) such remaining repayment instalments in respect of that Incremental Term Facility Loan will be reduced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accordingly;</w:t>
      </w:r>
    </w:p>
    <w:p>
      <w:pPr>
        <w:spacing w:after="0" w:line="77" w:lineRule="exact"/>
        <w:rPr>
          <w:rFonts w:ascii="Times New Roman" w:cs="Times New Roman" w:eastAsia="Times New Roman" w:hAnsi="Times New Roman"/>
          <w:sz w:val="17"/>
          <w:szCs w:val="17"/>
          <w:color w:val="auto"/>
        </w:rPr>
      </w:pPr>
    </w:p>
    <w:p>
      <w:pPr>
        <w:ind w:left="1143" w:right="520" w:hanging="620"/>
        <w:spacing w:after="0" w:line="295"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Debt Purchase Transaction and the related extinguishment referred to in paragraph (i) above shall not constitute a prepayment of any of the Facilities;</w:t>
      </w:r>
    </w:p>
    <w:p>
      <w:pPr>
        <w:spacing w:after="0" w:line="53" w:lineRule="exact"/>
        <w:rPr>
          <w:rFonts w:ascii="Times New Roman" w:cs="Times New Roman" w:eastAsia="Times New Roman" w:hAnsi="Times New Roman"/>
          <w:sz w:val="17"/>
          <w:szCs w:val="17"/>
          <w:color w:val="auto"/>
        </w:rPr>
      </w:pPr>
    </w:p>
    <w:p>
      <w:pPr>
        <w:ind w:left="1143" w:right="40" w:hanging="620"/>
        <w:spacing w:after="0" w:line="298"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deemed to be an entity which fulfils the requirements of Clause 26.1 (</w:t>
      </w:r>
      <w:r>
        <w:rPr>
          <w:rFonts w:ascii="Times New Roman" w:cs="Times New Roman" w:eastAsia="Times New Roman" w:hAnsi="Times New Roman"/>
          <w:sz w:val="17"/>
          <w:szCs w:val="17"/>
          <w:i w:val="1"/>
          <w:iCs w:val="1"/>
          <w:color w:val="auto"/>
        </w:rPr>
        <w:t>Assignments and transfers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to be a New Lender (as defined in such Clause);</w:t>
      </w:r>
    </w:p>
    <w:p>
      <w:pPr>
        <w:spacing w:after="0" w:line="52" w:lineRule="exact"/>
        <w:rPr>
          <w:rFonts w:ascii="Times New Roman" w:cs="Times New Roman" w:eastAsia="Times New Roman" w:hAnsi="Times New Roman"/>
          <w:sz w:val="17"/>
          <w:szCs w:val="17"/>
          <w:color w:val="auto"/>
        </w:rPr>
      </w:pPr>
    </w:p>
    <w:p>
      <w:pPr>
        <w:ind w:left="1143" w:right="240" w:hanging="620"/>
        <w:spacing w:after="0" w:line="276"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Subsidiary Guarantor or any other member of the Group shall be deemed to be in breach of any provision of Clause 24 (</w:t>
      </w:r>
      <w:r>
        <w:rPr>
          <w:rFonts w:ascii="Times New Roman" w:cs="Times New Roman" w:eastAsia="Times New Roman" w:hAnsi="Times New Roman"/>
          <w:sz w:val="17"/>
          <w:szCs w:val="17"/>
          <w:i w:val="1"/>
          <w:iCs w:val="1"/>
          <w:color w:val="auto"/>
        </w:rPr>
        <w:t>General undertakings</w:t>
      </w:r>
      <w:r>
        <w:rPr>
          <w:rFonts w:ascii="Times New Roman" w:cs="Times New Roman" w:eastAsia="Times New Roman" w:hAnsi="Times New Roman"/>
          <w:sz w:val="17"/>
          <w:szCs w:val="17"/>
          <w:color w:val="auto"/>
        </w:rPr>
        <w:t>) or any other provision of any Finance Document solely by reason of such Debt Purchase Transaction;</w:t>
      </w:r>
    </w:p>
    <w:p>
      <w:pPr>
        <w:spacing w:after="0" w:line="68" w:lineRule="exact"/>
        <w:rPr>
          <w:rFonts w:ascii="Times New Roman" w:cs="Times New Roman" w:eastAsia="Times New Roman" w:hAnsi="Times New Roman"/>
          <w:sz w:val="17"/>
          <w:szCs w:val="17"/>
          <w:color w:val="auto"/>
        </w:rPr>
      </w:pPr>
    </w:p>
    <w:p>
      <w:pPr>
        <w:ind w:left="1143" w:right="220" w:hanging="620"/>
        <w:spacing w:after="0" w:line="298"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31 (</w:t>
      </w:r>
      <w:r>
        <w:rPr>
          <w:rFonts w:ascii="Times New Roman" w:cs="Times New Roman" w:eastAsia="Times New Roman" w:hAnsi="Times New Roman"/>
          <w:sz w:val="17"/>
          <w:szCs w:val="17"/>
          <w:i w:val="1"/>
          <w:iCs w:val="1"/>
          <w:color w:val="auto"/>
        </w:rPr>
        <w:t>Sharing among the Finance Parties</w:t>
      </w:r>
      <w:r>
        <w:rPr>
          <w:rFonts w:ascii="Times New Roman" w:cs="Times New Roman" w:eastAsia="Times New Roman" w:hAnsi="Times New Roman"/>
          <w:sz w:val="17"/>
          <w:szCs w:val="17"/>
          <w:color w:val="auto"/>
        </w:rPr>
        <w:t>) shall not be applicable to the consideration paid under such Debt Purchase Transaction; and</w:t>
      </w:r>
    </w:p>
    <w:p>
      <w:pPr>
        <w:spacing w:after="0" w:line="52" w:lineRule="exact"/>
        <w:rPr>
          <w:rFonts w:ascii="Times New Roman" w:cs="Times New Roman" w:eastAsia="Times New Roman" w:hAnsi="Times New Roman"/>
          <w:sz w:val="17"/>
          <w:szCs w:val="17"/>
          <w:color w:val="auto"/>
        </w:rPr>
      </w:pPr>
    </w:p>
    <w:p>
      <w:pPr>
        <w:jc w:val="both"/>
        <w:ind w:left="1143" w:right="20" w:hanging="620"/>
        <w:spacing w:after="0" w:line="276" w:lineRule="auto"/>
        <w:tabs>
          <w:tab w:leader="none" w:pos="1143"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any extinguishment of any part of any Loan shall not affect any amendment or waiver which prior to such extinguishment had been approved by or on behalf of the requisite Lender or Lenders in accordance with the Finance Documents.</w:t>
      </w:r>
    </w:p>
    <w:p>
      <w:pPr>
        <w:spacing w:after="0" w:line="97" w:lineRule="exact"/>
        <w:rPr>
          <w:sz w:val="20"/>
          <w:szCs w:val="20"/>
          <w:color w:val="auto"/>
        </w:rPr>
      </w:pPr>
    </w:p>
    <w:tbl>
      <w:tblPr>
        <w:tblLayout w:type="fixed"/>
        <w:tblInd w:w="4463"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409" w:name="page410"/>
    <w:bookmarkEnd w:id="409"/>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27.2</w:t>
      </w:r>
      <w:r>
        <w:rPr>
          <w:sz w:val="20"/>
          <w:szCs w:val="20"/>
          <w:color w:val="auto"/>
        </w:rPr>
        <w:tab/>
      </w:r>
      <w:r>
        <w:rPr>
          <w:rFonts w:ascii="Times New Roman" w:cs="Times New Roman" w:eastAsia="Times New Roman" w:hAnsi="Times New Roman"/>
          <w:sz w:val="17"/>
          <w:szCs w:val="17"/>
          <w:b w:val="1"/>
          <w:bCs w:val="1"/>
          <w:color w:val="auto"/>
        </w:rPr>
        <w:t>Disenfranchisement of Sponsor Affiliates</w:t>
      </w:r>
    </w:p>
    <w:p>
      <w:pPr>
        <w:spacing w:after="0" w:line="133" w:lineRule="exact"/>
        <w:rPr>
          <w:sz w:val="20"/>
          <w:szCs w:val="20"/>
          <w:color w:val="auto"/>
        </w:rPr>
      </w:pPr>
    </w:p>
    <w:p>
      <w:pPr>
        <w:ind w:left="1260" w:right="700" w:hanging="523"/>
        <w:spacing w:after="0" w:line="295" w:lineRule="auto"/>
        <w:tabs>
          <w:tab w:leader="none" w:pos="1260" w:val="left"/>
        </w:tabs>
        <w:numPr>
          <w:ilvl w:val="0"/>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a Sponsor Affiliate (A) beneficially owns a Commitment or (B) has entered into any Participation relating to a Commitment and such Participation has not been terminated:</w:t>
      </w:r>
    </w:p>
    <w:p>
      <w:pPr>
        <w:spacing w:after="0" w:line="55" w:lineRule="exact"/>
        <w:rPr>
          <w:rFonts w:ascii="Times New Roman" w:cs="Times New Roman" w:eastAsia="Times New Roman" w:hAnsi="Times New Roman"/>
          <w:sz w:val="17"/>
          <w:szCs w:val="17"/>
          <w:color w:val="auto"/>
        </w:rPr>
      </w:pPr>
    </w:p>
    <w:p>
      <w:pPr>
        <w:ind w:left="1880" w:right="80" w:hanging="620"/>
        <w:spacing w:after="0" w:line="269" w:lineRule="auto"/>
        <w:tabs>
          <w:tab w:leader="none" w:pos="1880"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ascertaining the Majority Lenders, the Majority Facility Lenders or whether the agreement of Lender(s) holding any given percentage (including, for the avoidance of doubt, unanimity) of the Total Commitments or the Commitments has been obtained to approve any request for a consent, waiver, amendment or other vote under the Finance Documents, such Commitment shall be deemed to be zero; and</w:t>
      </w:r>
    </w:p>
    <w:p>
      <w:pPr>
        <w:spacing w:after="0" w:line="75" w:lineRule="exact"/>
        <w:rPr>
          <w:rFonts w:ascii="Times New Roman" w:cs="Times New Roman" w:eastAsia="Times New Roman" w:hAnsi="Times New Roman"/>
          <w:sz w:val="17"/>
          <w:szCs w:val="17"/>
          <w:color w:val="auto"/>
        </w:rPr>
      </w:pPr>
    </w:p>
    <w:p>
      <w:pPr>
        <w:ind w:left="1880" w:right="160" w:hanging="620"/>
        <w:spacing w:after="0" w:line="277" w:lineRule="auto"/>
        <w:tabs>
          <w:tab w:leader="none" w:pos="1880"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Clause 38.2 (</w:t>
      </w: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such Sponsor Affiliate or the person with whom it has entered into such Participation shall be deemed not to be a Lender (unless, in the case of a person not being a Sponsor Affiliate, it is a Lender by virtue otherwise than by beneficially owning such Commitment to which (A) or (B) relates).</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promptly notify the Agent in writing if it knowingly enters into a Participation with a Sponsor Affiliate (a</w:t>
      </w:r>
    </w:p>
    <w:p>
      <w:pPr>
        <w:spacing w:after="0" w:line="31" w:lineRule="exact"/>
        <w:rPr>
          <w:rFonts w:ascii="Times New Roman" w:cs="Times New Roman" w:eastAsia="Times New Roman" w:hAnsi="Times New Roman"/>
          <w:sz w:val="17"/>
          <w:szCs w:val="17"/>
          <w:color w:val="auto"/>
        </w:rPr>
      </w:pPr>
    </w:p>
    <w:p>
      <w:pPr>
        <w:ind w:left="1260" w:right="5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Notifiable Debt Purchase Transaction</w:t>
      </w:r>
      <w:r>
        <w:rPr>
          <w:rFonts w:ascii="Times New Roman" w:cs="Times New Roman" w:eastAsia="Times New Roman" w:hAnsi="Times New Roman"/>
          <w:sz w:val="17"/>
          <w:szCs w:val="17"/>
          <w:color w:val="auto"/>
        </w:rPr>
        <w:t>”), such notification to be substantially in the form set out in Part 1 (</w:t>
      </w:r>
      <w:r>
        <w:rPr>
          <w:rFonts w:ascii="Times New Roman" w:cs="Times New Roman" w:eastAsia="Times New Roman" w:hAnsi="Times New Roman"/>
          <w:sz w:val="17"/>
          <w:szCs w:val="17"/>
          <w:i w:val="1"/>
          <w:iCs w:val="1"/>
          <w:color w:val="auto"/>
        </w:rPr>
        <w:t>Form of 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Notifiable Debt Purchase Transaction</w:t>
      </w:r>
      <w:r>
        <w:rPr>
          <w:rFonts w:ascii="Times New Roman" w:cs="Times New Roman" w:eastAsia="Times New Roman" w:hAnsi="Times New Roman"/>
          <w:sz w:val="17"/>
          <w:szCs w:val="17"/>
          <w:color w:val="auto"/>
        </w:rPr>
        <w:t>) of Schedule 9 (</w:t>
      </w:r>
      <w:r>
        <w:rPr>
          <w:rFonts w:ascii="Times New Roman" w:cs="Times New Roman" w:eastAsia="Times New Roman" w:hAnsi="Times New Roman"/>
          <w:sz w:val="17"/>
          <w:szCs w:val="17"/>
          <w:i w:val="1"/>
          <w:iCs w:val="1"/>
          <w:color w:val="auto"/>
        </w:rPr>
        <w:t>Forms of Notifiable Debt Purchase Transaction Notice</w:t>
      </w:r>
      <w:r>
        <w:rPr>
          <w:rFonts w:ascii="Times New Roman" w:cs="Times New Roman" w:eastAsia="Times New Roman" w:hAnsi="Times New Roman"/>
          <w:sz w:val="17"/>
          <w:szCs w:val="17"/>
          <w:color w:val="auto"/>
        </w:rPr>
        <w:t>).</w:t>
      </w:r>
    </w:p>
    <w:p>
      <w:pPr>
        <w:spacing w:after="0" w:line="72"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Lender shall promptly notify the Agent if a Notifiable Debt Purchase Transaction to which it is a party:</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terminated;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ceases to be with a Sponsor Affiliate,</w:t>
      </w:r>
    </w:p>
    <w:p>
      <w:pPr>
        <w:spacing w:after="0" w:line="116" w:lineRule="exact"/>
        <w:rPr>
          <w:sz w:val="20"/>
          <w:szCs w:val="20"/>
          <w:color w:val="auto"/>
        </w:rPr>
      </w:pPr>
    </w:p>
    <w:p>
      <w:pPr>
        <w:ind w:left="1280" w:right="720"/>
        <w:spacing w:after="0" w:line="298" w:lineRule="auto"/>
        <w:rPr>
          <w:sz w:val="20"/>
          <w:szCs w:val="20"/>
          <w:color w:val="auto"/>
        </w:rPr>
      </w:pPr>
      <w:r>
        <w:rPr>
          <w:rFonts w:ascii="Times New Roman" w:cs="Times New Roman" w:eastAsia="Times New Roman" w:hAnsi="Times New Roman"/>
          <w:sz w:val="17"/>
          <w:szCs w:val="17"/>
          <w:color w:val="auto"/>
        </w:rPr>
        <w:t>such notification to be substantially in the form set out in Part 2 (</w:t>
      </w:r>
      <w:r>
        <w:rPr>
          <w:rFonts w:ascii="Times New Roman" w:cs="Times New Roman" w:eastAsia="Times New Roman" w:hAnsi="Times New Roman"/>
          <w:sz w:val="17"/>
          <w:szCs w:val="17"/>
          <w:i w:val="1"/>
          <w:iCs w:val="1"/>
          <w:color w:val="auto"/>
        </w:rPr>
        <w:t>Form of Notice of Termination of Notifiable Debt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Transaction</w:t>
      </w:r>
      <w:r>
        <w:rPr>
          <w:rFonts w:ascii="Times New Roman" w:cs="Times New Roman" w:eastAsia="Times New Roman" w:hAnsi="Times New Roman"/>
          <w:sz w:val="17"/>
          <w:szCs w:val="17"/>
          <w:color w:val="auto"/>
        </w:rPr>
        <w:t>) of Schedule 9 (</w:t>
      </w:r>
      <w:r>
        <w:rPr>
          <w:rFonts w:ascii="Times New Roman" w:cs="Times New Roman" w:eastAsia="Times New Roman" w:hAnsi="Times New Roman"/>
          <w:sz w:val="17"/>
          <w:szCs w:val="17"/>
          <w:i w:val="1"/>
          <w:iCs w:val="1"/>
          <w:color w:val="auto"/>
        </w:rPr>
        <w:t>Forms of Notifiable Debt Purchase Transaction Notice</w:t>
      </w:r>
      <w:r>
        <w:rPr>
          <w:rFonts w:ascii="Times New Roman" w:cs="Times New Roman" w:eastAsia="Times New Roman" w:hAnsi="Times New Roman"/>
          <w:sz w:val="17"/>
          <w:szCs w:val="17"/>
          <w:color w:val="auto"/>
        </w:rPr>
        <w:t>).</w:t>
      </w:r>
    </w:p>
    <w:p>
      <w:pPr>
        <w:spacing w:after="0" w:line="52" w:lineRule="exact"/>
        <w:rPr>
          <w:sz w:val="20"/>
          <w:szCs w:val="20"/>
          <w:color w:val="auto"/>
        </w:rPr>
      </w:pPr>
    </w:p>
    <w:p>
      <w:pPr>
        <w:ind w:left="1260" w:hanging="523"/>
        <w:spacing w:after="0"/>
        <w:tabs>
          <w:tab w:leader="none" w:pos="1260"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Sponsor Affiliate that is a Lender agrees that:</w:t>
      </w:r>
    </w:p>
    <w:p>
      <w:pPr>
        <w:spacing w:after="0" w:line="131" w:lineRule="exact"/>
        <w:rPr>
          <w:rFonts w:ascii="Times New Roman" w:cs="Times New Roman" w:eastAsia="Times New Roman" w:hAnsi="Times New Roman"/>
          <w:sz w:val="17"/>
          <w:szCs w:val="17"/>
          <w:color w:val="auto"/>
        </w:rPr>
      </w:pPr>
    </w:p>
    <w:p>
      <w:pPr>
        <w:ind w:left="1880" w:right="200" w:hanging="620"/>
        <w:spacing w:after="0" w:line="276" w:lineRule="auto"/>
        <w:tabs>
          <w:tab w:leader="none" w:pos="1880" w:val="left"/>
        </w:tabs>
        <w:numPr>
          <w:ilvl w:val="1"/>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meeting or conference call to which all the Lenders are invited to attend or participate, it shall not receive notice of such meeting or conference call or attend or participate in the same or be entitled to receive the agenda or any minutes of the same; and</w:t>
      </w:r>
    </w:p>
    <w:p>
      <w:pPr>
        <w:spacing w:after="0" w:line="70" w:lineRule="exact"/>
        <w:rPr>
          <w:rFonts w:ascii="Times New Roman" w:cs="Times New Roman" w:eastAsia="Times New Roman" w:hAnsi="Times New Roman"/>
          <w:sz w:val="17"/>
          <w:szCs w:val="17"/>
          <w:color w:val="auto"/>
        </w:rPr>
      </w:pPr>
    </w:p>
    <w:p>
      <w:pPr>
        <w:ind w:left="1880" w:right="220" w:hanging="620"/>
        <w:spacing w:after="0" w:line="295" w:lineRule="auto"/>
        <w:tabs>
          <w:tab w:leader="none" w:pos="1880" w:val="left"/>
        </w:tabs>
        <w:numPr>
          <w:ilvl w:val="1"/>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its capacity as Lender, it shall not be entitled to receive any report or other document prepared at the behest of, or on the instructions of, the Agent or one or more of the Lenders,</w:t>
      </w:r>
    </w:p>
    <w:p>
      <w:pPr>
        <w:spacing w:after="0" w:line="42" w:lineRule="exact"/>
        <w:rPr>
          <w:sz w:val="20"/>
          <w:szCs w:val="20"/>
          <w:color w:val="auto"/>
        </w:rPr>
      </w:pPr>
    </w:p>
    <w:p>
      <w:pPr>
        <w:ind w:left="1280" w:right="440"/>
        <w:spacing w:after="0" w:line="295" w:lineRule="auto"/>
        <w:rPr>
          <w:sz w:val="20"/>
          <w:szCs w:val="20"/>
          <w:color w:val="auto"/>
        </w:rPr>
      </w:pPr>
      <w:r>
        <w:rPr>
          <w:rFonts w:ascii="Times New Roman" w:cs="Times New Roman" w:eastAsia="Times New Roman" w:hAnsi="Times New Roman"/>
          <w:sz w:val="17"/>
          <w:szCs w:val="17"/>
          <w:color w:val="auto"/>
        </w:rPr>
        <w:t>in each case, unless the Agent otherwise agrees or where all of such Sponsor Affiliate’s Commitments are not deemed to be zero pursuant to paragraph (a)(i) above.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27.3</w:t>
      </w:r>
      <w:r>
        <w:rPr>
          <w:sz w:val="20"/>
          <w:szCs w:val="20"/>
          <w:color w:val="auto"/>
        </w:rPr>
        <w:tab/>
      </w:r>
      <w:r>
        <w:rPr>
          <w:rFonts w:ascii="Times New Roman" w:cs="Times New Roman" w:eastAsia="Times New Roman" w:hAnsi="Times New Roman"/>
          <w:sz w:val="17"/>
          <w:szCs w:val="17"/>
          <w:b w:val="1"/>
          <w:bCs w:val="1"/>
          <w:color w:val="auto"/>
        </w:rPr>
        <w:t>Sponsor Affiliates’ notification to other Lenders of Debt Purchase Transactions</w:t>
      </w:r>
    </w:p>
    <w:p>
      <w:pPr>
        <w:spacing w:after="0" w:line="120" w:lineRule="exact"/>
        <w:rPr>
          <w:sz w:val="20"/>
          <w:szCs w:val="20"/>
          <w:color w:val="auto"/>
        </w:rPr>
      </w:pPr>
    </w:p>
    <w:p>
      <w:pPr>
        <w:ind w:left="740" w:right="140"/>
        <w:spacing w:after="0" w:line="269" w:lineRule="auto"/>
        <w:rPr>
          <w:sz w:val="20"/>
          <w:szCs w:val="20"/>
          <w:color w:val="auto"/>
        </w:rPr>
      </w:pPr>
      <w:r>
        <w:rPr>
          <w:rFonts w:ascii="Times New Roman" w:cs="Times New Roman" w:eastAsia="Times New Roman" w:hAnsi="Times New Roman"/>
          <w:sz w:val="17"/>
          <w:szCs w:val="17"/>
          <w:color w:val="auto"/>
        </w:rPr>
        <w:t>Any Sponsor Affiliate which is or becomes a Lender and which enters into a Debt Purchase Transaction as a purchaser or a participant shall, by 5.00 pm on the Business Day following the day on which it entered into that Debt Purchase Transaction, notify the Agent of the extent of the Commitment(s) or amount outstanding to which that Debt Purchase Transaction relates. The Agent shall promptly disclose such information to the Lenders.</w:t>
      </w:r>
    </w:p>
    <w:p>
      <w:pPr>
        <w:spacing w:after="0" w:line="104"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410" w:name="page411"/>
    <w:bookmarkEnd w:id="410"/>
    <w:p>
      <w:pPr>
        <w:ind w:left="748" w:hanging="748"/>
        <w:spacing w:after="0"/>
        <w:tabs>
          <w:tab w:leader="none" w:pos="748" w:val="left"/>
        </w:tabs>
        <w:numPr>
          <w:ilvl w:val="0"/>
          <w:numId w:val="5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Changes to the Company</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28.1</w:t>
      </w:r>
      <w:r>
        <w:rPr>
          <w:sz w:val="20"/>
          <w:szCs w:val="20"/>
          <w:color w:val="auto"/>
        </w:rPr>
        <w:tab/>
      </w:r>
      <w:r>
        <w:rPr>
          <w:rFonts w:ascii="Times New Roman" w:cs="Times New Roman" w:eastAsia="Times New Roman" w:hAnsi="Times New Roman"/>
          <w:sz w:val="17"/>
          <w:szCs w:val="17"/>
          <w:b w:val="1"/>
          <w:bCs w:val="1"/>
          <w:color w:val="auto"/>
        </w:rPr>
        <w:t>Assignment and transfers by the Company</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The Company may not assign any of its rights or transfer any of its rights or obligations under the Finance Documents.</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11" w:name="page412"/>
    <w:bookmarkEnd w:id="411"/>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10</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The Finance Parties</w:t>
      </w:r>
    </w:p>
    <w:p>
      <w:pPr>
        <w:spacing w:after="0" w:line="249" w:lineRule="exact"/>
        <w:rPr>
          <w:sz w:val="20"/>
          <w:szCs w:val="20"/>
          <w:color w:val="auto"/>
        </w:rPr>
      </w:pPr>
    </w:p>
    <w:p>
      <w:pPr>
        <w:ind w:left="748" w:hanging="748"/>
        <w:spacing w:after="0"/>
        <w:tabs>
          <w:tab w:leader="none" w:pos="748" w:val="left"/>
        </w:tabs>
        <w:numPr>
          <w:ilvl w:val="0"/>
          <w:numId w:val="5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Role of the Agent, the Arrangers and others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29.1Appointment of the Agent</w:t>
      </w:r>
    </w:p>
    <w:p>
      <w:pPr>
        <w:spacing w:after="0" w:line="133"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Arrangers and the Lenders appoints the Agent to act as its agent under and in connection with the Finance Documents.</w:t>
      </w:r>
    </w:p>
    <w:p>
      <w:pPr>
        <w:spacing w:after="0" w:line="131" w:lineRule="exact"/>
        <w:rPr>
          <w:rFonts w:ascii="Times New Roman" w:cs="Times New Roman" w:eastAsia="Times New Roman" w:hAnsi="Times New Roman"/>
          <w:sz w:val="17"/>
          <w:szCs w:val="17"/>
          <w:color w:val="auto"/>
        </w:rPr>
      </w:pPr>
    </w:p>
    <w:p>
      <w:pPr>
        <w:ind w:left="1268" w:right="40" w:hanging="523"/>
        <w:spacing w:after="0" w:line="276" w:lineRule="auto"/>
        <w:tabs>
          <w:tab w:leader="none" w:pos="1268" w:val="left"/>
        </w:tabs>
        <w:numPr>
          <w:ilvl w:val="1"/>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Arrangers and the Lenders authorises the Agent to perform the duties, obligations and responsibilities and exercise the rights, powers, authorities and discretions specifically given to the Agent under or in connection with the Finance Documents together with any other incidental rights, powers, authorities and discretions.</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29.2</w:t>
      </w:r>
      <w:r>
        <w:rPr>
          <w:sz w:val="20"/>
          <w:szCs w:val="20"/>
          <w:color w:val="auto"/>
        </w:rPr>
        <w:tab/>
      </w:r>
      <w:r>
        <w:rPr>
          <w:rFonts w:ascii="Times New Roman" w:cs="Times New Roman" w:eastAsia="Times New Roman" w:hAnsi="Times New Roman"/>
          <w:sz w:val="17"/>
          <w:szCs w:val="17"/>
          <w:b w:val="1"/>
          <w:bCs w:val="1"/>
          <w:color w:val="auto"/>
        </w:rPr>
        <w:t>Duties of the Agent</w:t>
      </w:r>
    </w:p>
    <w:p>
      <w:pPr>
        <w:spacing w:after="0" w:line="133" w:lineRule="exact"/>
        <w:rPr>
          <w:sz w:val="20"/>
          <w:szCs w:val="20"/>
          <w:color w:val="auto"/>
        </w:rPr>
      </w:pPr>
    </w:p>
    <w:p>
      <w:pPr>
        <w:ind w:left="1268" w:right="160" w:hanging="523"/>
        <w:spacing w:after="0" w:line="295" w:lineRule="auto"/>
        <w:tabs>
          <w:tab w:leader="none" w:pos="126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promptly forward to a Party the original or a copy of any document which is delivered to the Agent for that Party by any other Party.</w:t>
      </w:r>
    </w:p>
    <w:p>
      <w:pPr>
        <w:spacing w:after="0" w:line="55" w:lineRule="exact"/>
        <w:rPr>
          <w:rFonts w:ascii="Times New Roman" w:cs="Times New Roman" w:eastAsia="Times New Roman" w:hAnsi="Times New Roman"/>
          <w:sz w:val="17"/>
          <w:szCs w:val="17"/>
          <w:color w:val="auto"/>
        </w:rPr>
      </w:pPr>
    </w:p>
    <w:p>
      <w:pPr>
        <w:ind w:left="1268" w:hanging="523"/>
        <w:spacing w:after="0" w:line="295" w:lineRule="auto"/>
        <w:tabs>
          <w:tab w:leader="none" w:pos="126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a Finance Document specifically provides otherwise, the Agent is not obliged to review or check the adequacy, accuracy or completeness of any document it forwards to another Party.</w:t>
      </w:r>
    </w:p>
    <w:p>
      <w:pPr>
        <w:spacing w:after="0" w:line="55" w:lineRule="exact"/>
        <w:rPr>
          <w:rFonts w:ascii="Times New Roman" w:cs="Times New Roman" w:eastAsia="Times New Roman" w:hAnsi="Times New Roman"/>
          <w:sz w:val="17"/>
          <w:szCs w:val="17"/>
          <w:color w:val="auto"/>
        </w:rPr>
      </w:pPr>
    </w:p>
    <w:p>
      <w:pPr>
        <w:ind w:left="1268" w:right="80" w:hanging="523"/>
        <w:spacing w:after="0" w:line="295" w:lineRule="auto"/>
        <w:tabs>
          <w:tab w:leader="none" w:pos="126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receives notice from a Party referring to this Agreement, describing a Default and stating that the circumstance described is a Default, it shall promptly notify the other Finance Parties.</w:t>
      </w:r>
    </w:p>
    <w:p>
      <w:pPr>
        <w:spacing w:after="0" w:line="55" w:lineRule="exact"/>
        <w:rPr>
          <w:rFonts w:ascii="Times New Roman" w:cs="Times New Roman" w:eastAsia="Times New Roman" w:hAnsi="Times New Roman"/>
          <w:sz w:val="17"/>
          <w:szCs w:val="17"/>
          <w:color w:val="auto"/>
        </w:rPr>
      </w:pPr>
    </w:p>
    <w:p>
      <w:pPr>
        <w:ind w:left="1268" w:right="20" w:hanging="523"/>
        <w:spacing w:after="0" w:line="295" w:lineRule="auto"/>
        <w:tabs>
          <w:tab w:leader="none" w:pos="126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is aware of the non-payment of any principal, interest, commitment fee or other fee payable to a Finance Party (other than the Agent or the Arrangers) under this Agreement it shall promptly notify the other Finance Parties.</w:t>
      </w:r>
    </w:p>
    <w:p>
      <w:pPr>
        <w:spacing w:after="0" w:line="55" w:lineRule="exact"/>
        <w:rPr>
          <w:rFonts w:ascii="Times New Roman" w:cs="Times New Roman" w:eastAsia="Times New Roman" w:hAnsi="Times New Roman"/>
          <w:sz w:val="17"/>
          <w:szCs w:val="17"/>
          <w:color w:val="auto"/>
        </w:rPr>
      </w:pPr>
    </w:p>
    <w:p>
      <w:pPr>
        <w:ind w:left="1268" w:right="180" w:hanging="523"/>
        <w:spacing w:after="0" w:line="295" w:lineRule="auto"/>
        <w:tabs>
          <w:tab w:leader="none" w:pos="126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Agent’s duties under the Finance Documents are solely mechanical and administrative in nature. The Agent shall have no duties save as expressly provided under or in connection with any Finance Document.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29.3</w:t>
      </w:r>
      <w:r>
        <w:rPr>
          <w:sz w:val="20"/>
          <w:szCs w:val="20"/>
          <w:color w:val="auto"/>
        </w:rPr>
        <w:tab/>
      </w:r>
      <w:r>
        <w:rPr>
          <w:rFonts w:ascii="Times New Roman" w:cs="Times New Roman" w:eastAsia="Times New Roman" w:hAnsi="Times New Roman"/>
          <w:sz w:val="17"/>
          <w:szCs w:val="17"/>
          <w:b w:val="1"/>
          <w:bCs w:val="1"/>
          <w:color w:val="auto"/>
        </w:rPr>
        <w:t>Role of the Arrangers</w:t>
      </w:r>
    </w:p>
    <w:p>
      <w:pPr>
        <w:spacing w:after="0" w:line="133" w:lineRule="exact"/>
        <w:rPr>
          <w:sz w:val="20"/>
          <w:szCs w:val="20"/>
          <w:color w:val="auto"/>
        </w:rPr>
      </w:pPr>
    </w:p>
    <w:p>
      <w:pPr>
        <w:ind w:left="1268" w:right="160" w:hanging="523"/>
        <w:spacing w:after="0" w:line="295" w:lineRule="auto"/>
        <w:tabs>
          <w:tab w:leader="none" w:pos="1268"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provided in the Finance Documents, the Arrangers have no obligations of any kind to any other Party under or in connection with any Finance Document.</w:t>
      </w:r>
    </w:p>
    <w:p>
      <w:pPr>
        <w:spacing w:after="0" w:line="55" w:lineRule="exact"/>
        <w:rPr>
          <w:rFonts w:ascii="Times New Roman" w:cs="Times New Roman" w:eastAsia="Times New Roman" w:hAnsi="Times New Roman"/>
          <w:sz w:val="17"/>
          <w:szCs w:val="17"/>
          <w:color w:val="auto"/>
        </w:rPr>
      </w:pPr>
    </w:p>
    <w:p>
      <w:pPr>
        <w:ind w:left="1268" w:right="240" w:hanging="523"/>
        <w:spacing w:after="0" w:line="295" w:lineRule="auto"/>
        <w:tabs>
          <w:tab w:leader="none" w:pos="1268"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the Arrangers in this Clause 29 include Morgan Stanley Senior Funding, Inc., Bank of China Limited, Macau Branch and Bank of Communications Co., Ltd. Macau Branch in their capacities as Coordinators.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29.4</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133" w:lineRule="exact"/>
        <w:rPr>
          <w:sz w:val="20"/>
          <w:szCs w:val="20"/>
          <w:color w:val="auto"/>
        </w:rPr>
      </w:pPr>
    </w:p>
    <w:p>
      <w:pPr>
        <w:ind w:left="1268" w:hanging="523"/>
        <w:spacing w:after="0"/>
        <w:tabs>
          <w:tab w:leader="none" w:pos="1268" w:val="left"/>
        </w:tabs>
        <w:numPr>
          <w:ilvl w:val="0"/>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constitutes the Agent or any Arranger as a trustee or fiduciary of any other person.</w:t>
      </w:r>
    </w:p>
    <w:p>
      <w:pPr>
        <w:spacing w:after="0" w:line="131" w:lineRule="exact"/>
        <w:rPr>
          <w:rFonts w:ascii="Times New Roman" w:cs="Times New Roman" w:eastAsia="Times New Roman" w:hAnsi="Times New Roman"/>
          <w:sz w:val="17"/>
          <w:szCs w:val="17"/>
          <w:color w:val="auto"/>
        </w:rPr>
      </w:pPr>
    </w:p>
    <w:p>
      <w:pPr>
        <w:ind w:left="1268" w:right="80" w:hanging="523"/>
        <w:spacing w:after="0" w:line="295" w:lineRule="auto"/>
        <w:tabs>
          <w:tab w:leader="none" w:pos="1268" w:val="left"/>
        </w:tabs>
        <w:numPr>
          <w:ilvl w:val="0"/>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Agent or the Arrangers shall be bound to account to any Lender for any sum or the profit element of any sum received by it for its own account.</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29.5</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120" w:lineRule="exact"/>
        <w:rPr>
          <w:sz w:val="20"/>
          <w:szCs w:val="20"/>
          <w:color w:val="auto"/>
        </w:rPr>
      </w:pPr>
    </w:p>
    <w:p>
      <w:pPr>
        <w:ind w:left="748" w:right="260"/>
        <w:spacing w:after="0" w:line="295" w:lineRule="auto"/>
        <w:rPr>
          <w:sz w:val="20"/>
          <w:szCs w:val="20"/>
          <w:color w:val="auto"/>
        </w:rPr>
      </w:pPr>
      <w:r>
        <w:rPr>
          <w:rFonts w:ascii="Times New Roman" w:cs="Times New Roman" w:eastAsia="Times New Roman" w:hAnsi="Times New Roman"/>
          <w:sz w:val="17"/>
          <w:szCs w:val="17"/>
          <w:color w:val="auto"/>
        </w:rPr>
        <w:t>The Agent and the Arrangers may accept deposits from, lend money to and generally engage in any kind of banking or other business with any member of the Group.</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109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412" w:name="page413"/>
    <w:bookmarkEnd w:id="412"/>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29.6</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133" w:lineRule="exact"/>
        <w:rPr>
          <w:sz w:val="20"/>
          <w:szCs w:val="20"/>
          <w:color w:val="auto"/>
        </w:rPr>
      </w:pPr>
    </w:p>
    <w:p>
      <w:pPr>
        <w:ind w:left="1260" w:hanging="523"/>
        <w:spacing w:after="0"/>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rely on:</w:t>
      </w:r>
    </w:p>
    <w:p>
      <w:pPr>
        <w:spacing w:after="0" w:line="131" w:lineRule="exact"/>
        <w:rPr>
          <w:rFonts w:ascii="Times New Roman" w:cs="Times New Roman" w:eastAsia="Times New Roman" w:hAnsi="Times New Roman"/>
          <w:sz w:val="17"/>
          <w:szCs w:val="17"/>
          <w:color w:val="auto"/>
        </w:rPr>
      </w:pPr>
    </w:p>
    <w:p>
      <w:pPr>
        <w:ind w:left="1880" w:right="220" w:hanging="620"/>
        <w:spacing w:after="0" w:line="295" w:lineRule="auto"/>
        <w:tabs>
          <w:tab w:leader="none" w:pos="188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notice or document believed by it to be genuine, correct and appropriately authorised and shall have no duty to verify any signature on any document; and</w:t>
      </w:r>
    </w:p>
    <w:p>
      <w:pPr>
        <w:spacing w:after="0" w:line="55" w:lineRule="exact"/>
        <w:rPr>
          <w:rFonts w:ascii="Times New Roman" w:cs="Times New Roman" w:eastAsia="Times New Roman" w:hAnsi="Times New Roman"/>
          <w:sz w:val="17"/>
          <w:szCs w:val="17"/>
          <w:color w:val="auto"/>
        </w:rPr>
      </w:pPr>
    </w:p>
    <w:p>
      <w:pPr>
        <w:ind w:left="1880" w:right="40" w:hanging="620"/>
        <w:spacing w:after="0" w:line="295" w:lineRule="auto"/>
        <w:tabs>
          <w:tab w:leader="none" w:pos="188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statement made or purportedly made by a director, authorised signatory or employee of any person regarding any matters which may reasonably be assumed to be within his knowledge or within his power to verify.</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assume (unless it has received notice to the contrary in its capacity as agent for the Lenders) that:</w:t>
      </w:r>
    </w:p>
    <w:p>
      <w:pPr>
        <w:spacing w:after="0" w:line="129"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has occurred (unless it has actual knowledge of a Default arising under Clause 25.1 (</w:t>
      </w:r>
      <w:r>
        <w:rPr>
          <w:rFonts w:ascii="Times New Roman" w:cs="Times New Roman" w:eastAsia="Times New Roman" w:hAnsi="Times New Roman"/>
          <w:sz w:val="17"/>
          <w:szCs w:val="17"/>
          <w:i w:val="1"/>
          <w:iCs w:val="1"/>
          <w:color w:val="auto"/>
        </w:rPr>
        <w:t>Non-payment</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 power, authority or discretion vested in any Party or the Majority Lenders has not been exercised; and</w:t>
      </w:r>
    </w:p>
    <w:p>
      <w:pPr>
        <w:spacing w:after="0" w:line="131" w:lineRule="exact"/>
        <w:rPr>
          <w:rFonts w:ascii="Times New Roman" w:cs="Times New Roman" w:eastAsia="Times New Roman" w:hAnsi="Times New Roman"/>
          <w:sz w:val="17"/>
          <w:szCs w:val="17"/>
          <w:color w:val="auto"/>
        </w:rPr>
      </w:pPr>
    </w:p>
    <w:p>
      <w:pPr>
        <w:ind w:left="1880" w:right="180" w:hanging="620"/>
        <w:spacing w:after="0" w:line="295" w:lineRule="auto"/>
        <w:tabs>
          <w:tab w:leader="none" w:pos="188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request made by the Company (other than a Utilisation Request or Selection Notice) is made on behalf of and with the consent and knowledge of each other member of the Group.</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engage, pay for and rely on the advice or services of any lawyers, accountants, surveyors or other experts.</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act in relation to the Finance Documents through its personnel and agents.</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disclose to any other Party any information it reasonably believes it has received as agent under this Agreement.</w:t>
      </w:r>
    </w:p>
    <w:p>
      <w:pPr>
        <w:spacing w:after="0" w:line="131" w:lineRule="exact"/>
        <w:rPr>
          <w:rFonts w:ascii="Times New Roman" w:cs="Times New Roman" w:eastAsia="Times New Roman" w:hAnsi="Times New Roman"/>
          <w:sz w:val="17"/>
          <w:szCs w:val="17"/>
          <w:color w:val="auto"/>
        </w:rPr>
      </w:pPr>
    </w:p>
    <w:p>
      <w:pPr>
        <w:ind w:left="1260" w:right="320" w:hanging="523"/>
        <w:spacing w:after="0" w:line="295" w:lineRule="auto"/>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paragraph (e) above, the Agent may disclose the identity of a Defaulting Lender to the other Finance Parties and the Company and shall disclose the same upon the written request of the Company or the Majority Lenders.</w:t>
      </w:r>
    </w:p>
    <w:p>
      <w:pPr>
        <w:spacing w:after="0" w:line="55" w:lineRule="exact"/>
        <w:rPr>
          <w:rFonts w:ascii="Times New Roman" w:cs="Times New Roman" w:eastAsia="Times New Roman" w:hAnsi="Times New Roman"/>
          <w:sz w:val="17"/>
          <w:szCs w:val="17"/>
          <w:color w:val="auto"/>
        </w:rPr>
      </w:pPr>
    </w:p>
    <w:p>
      <w:pPr>
        <w:ind w:left="1260" w:hanging="523"/>
        <w:spacing w:after="0" w:line="276" w:lineRule="auto"/>
        <w:tabs>
          <w:tab w:leader="none" w:pos="126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any Finance Document to the contrary, none of the Agent or the Arrangers is obliged to do or omit to do anything if it would or might in its reasonable opinion constitute a breach of any law or regulation or a breach of a fiduciary duty or duty of confidentiality.</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29.7</w:t>
      </w:r>
      <w:r>
        <w:rPr>
          <w:sz w:val="20"/>
          <w:szCs w:val="20"/>
          <w:color w:val="auto"/>
        </w:rPr>
        <w:tab/>
      </w:r>
      <w:r>
        <w:rPr>
          <w:rFonts w:ascii="Times New Roman" w:cs="Times New Roman" w:eastAsia="Times New Roman" w:hAnsi="Times New Roman"/>
          <w:sz w:val="17"/>
          <w:szCs w:val="17"/>
          <w:b w:val="1"/>
          <w:bCs w:val="1"/>
          <w:color w:val="auto"/>
        </w:rPr>
        <w:t>Majority Lenders’ instructions</w:t>
      </w:r>
    </w:p>
    <w:p>
      <w:pPr>
        <w:spacing w:after="0" w:line="133" w:lineRule="exact"/>
        <w:rPr>
          <w:sz w:val="20"/>
          <w:szCs w:val="20"/>
          <w:color w:val="auto"/>
        </w:rPr>
      </w:pPr>
    </w:p>
    <w:p>
      <w:pPr>
        <w:ind w:left="1260" w:right="20" w:hanging="523"/>
        <w:spacing w:after="0" w:line="263" w:lineRule="auto"/>
        <w:tabs>
          <w:tab w:leader="none" w:pos="1260"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in a Finance Document, the Agent shall (i) exercise any right, power, authority or discretion vested in it as Agent in accordance with any instructions given to it by the Majority Lenders (or, if so instructed by the Majority Lenders, refrain from exercising any right, power, authority or discretion vested in it as Agent) and (ii) not be liable for any act (or omission) if it acts (or refrains from taking any action) in accordance with an instruction of the Majority Lenders. Without prejudice to any other provision hereof, it may also exercise on behalf of the Finance Parties any right, power, authority or discretion in respect of such matters as it determines to be of a minor technical or administrative or of a non-credit related nature without any instruction of the Majority Lenders.</w:t>
      </w:r>
    </w:p>
    <w:p>
      <w:pPr>
        <w:spacing w:after="0" w:line="295" w:lineRule="exact"/>
        <w:rPr>
          <w:rFonts w:ascii="Times New Roman" w:cs="Times New Roman" w:eastAsia="Times New Roman" w:hAnsi="Times New Roman"/>
          <w:sz w:val="17"/>
          <w:szCs w:val="17"/>
          <w:color w:val="auto"/>
        </w:rPr>
      </w:pPr>
    </w:p>
    <w:p>
      <w:pPr>
        <w:ind w:left="1260" w:right="60" w:hanging="523"/>
        <w:spacing w:after="0" w:line="295" w:lineRule="auto"/>
        <w:tabs>
          <w:tab w:leader="none" w:pos="1260"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contrary indication appears in a Finance Document, any instructions given by the Majority Lenders will be binding on all the Finance Parties.</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13" w:name="page414"/>
    <w:bookmarkEnd w:id="413"/>
    <w:p>
      <w:pPr>
        <w:ind w:left="1260" w:right="80" w:hanging="523"/>
        <w:spacing w:after="0" w:line="276" w:lineRule="auto"/>
        <w:tabs>
          <w:tab w:leader="none" w:pos="1260" w:val="left"/>
        </w:tabs>
        <w:numPr>
          <w:ilvl w:val="0"/>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Agent may refrain from acting in accordance with the instructions of the Majority Lenders until it has received such security as it may require for any cost, loss or liability (together with any associated Indirect Tax) which it may incur in complying with the instructions.</w:t>
      </w:r>
    </w:p>
    <w:p>
      <w:pPr>
        <w:spacing w:after="0" w:line="70" w:lineRule="exact"/>
        <w:rPr>
          <w:rFonts w:ascii="Times New Roman" w:cs="Times New Roman" w:eastAsia="Times New Roman" w:hAnsi="Times New Roman"/>
          <w:sz w:val="17"/>
          <w:szCs w:val="17"/>
          <w:color w:val="auto"/>
        </w:rPr>
      </w:pPr>
    </w:p>
    <w:p>
      <w:pPr>
        <w:ind w:left="1260" w:right="100" w:hanging="523"/>
        <w:spacing w:after="0" w:line="295" w:lineRule="auto"/>
        <w:tabs>
          <w:tab w:leader="none" w:pos="1260" w:val="left"/>
        </w:tabs>
        <w:numPr>
          <w:ilvl w:val="0"/>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instructions from the Majority Lenders, the Agent may act (or refrain from taking action) as it considers to be in the best interest of the Lenders.</w:t>
      </w:r>
    </w:p>
    <w:p>
      <w:pPr>
        <w:spacing w:after="0" w:line="55" w:lineRule="exact"/>
        <w:rPr>
          <w:rFonts w:ascii="Times New Roman" w:cs="Times New Roman" w:eastAsia="Times New Roman" w:hAnsi="Times New Roman"/>
          <w:sz w:val="17"/>
          <w:szCs w:val="17"/>
          <w:color w:val="auto"/>
        </w:rPr>
      </w:pPr>
    </w:p>
    <w:p>
      <w:pPr>
        <w:ind w:left="1260" w:right="420" w:hanging="523"/>
        <w:spacing w:after="0" w:line="295" w:lineRule="auto"/>
        <w:tabs>
          <w:tab w:leader="none" w:pos="1260" w:val="left"/>
        </w:tabs>
        <w:numPr>
          <w:ilvl w:val="0"/>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is not authorised to act on behalf of a Lender (without first obtaining that Lender’s consent) in any legal or arbitration proceedings relating to any Finance Document.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29.8</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133" w:lineRule="exact"/>
        <w:rPr>
          <w:sz w:val="20"/>
          <w:szCs w:val="20"/>
          <w:color w:val="auto"/>
        </w:rPr>
      </w:pPr>
    </w:p>
    <w:p>
      <w:pPr>
        <w:ind w:left="740"/>
        <w:spacing w:after="0"/>
        <w:tabs>
          <w:tab w:leader="none" w:pos="1240" w:val="left"/>
        </w:tabs>
        <w:rPr>
          <w:sz w:val="20"/>
          <w:szCs w:val="20"/>
          <w:color w:val="auto"/>
        </w:rPr>
      </w:pPr>
      <w:r>
        <w:rPr>
          <w:rFonts w:ascii="Times New Roman" w:cs="Times New Roman" w:eastAsia="Times New Roman" w:hAnsi="Times New Roman"/>
          <w:sz w:val="17"/>
          <w:szCs w:val="17"/>
          <w:color w:val="auto"/>
        </w:rPr>
        <w:t>None</w:t>
        <w:tab/>
        <w:t>of the Agent or the Arrangers:</w:t>
      </w:r>
    </w:p>
    <w:p>
      <w:pPr>
        <w:spacing w:after="0" w:line="131" w:lineRule="exact"/>
        <w:rPr>
          <w:sz w:val="20"/>
          <w:szCs w:val="20"/>
          <w:color w:val="auto"/>
        </w:rPr>
      </w:pPr>
    </w:p>
    <w:p>
      <w:pPr>
        <w:ind w:left="1260" w:right="60" w:hanging="523"/>
        <w:spacing w:after="0" w:line="276" w:lineRule="auto"/>
        <w:tabs>
          <w:tab w:leader="none" w:pos="126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adequacy, accuracy and/or completeness of any information (whether oral or written) supplied by the Agent, any Arranger, the Company, a Subsidiary Guarantor or any other person given in or in connection with any Finance Document or the transactions contemplated in the Finance Documents;</w:t>
      </w:r>
    </w:p>
    <w:p>
      <w:pPr>
        <w:spacing w:after="0" w:line="70" w:lineRule="exact"/>
        <w:rPr>
          <w:rFonts w:ascii="Times New Roman" w:cs="Times New Roman" w:eastAsia="Times New Roman" w:hAnsi="Times New Roman"/>
          <w:sz w:val="17"/>
          <w:szCs w:val="17"/>
          <w:color w:val="auto"/>
        </w:rPr>
      </w:pPr>
    </w:p>
    <w:p>
      <w:pPr>
        <w:ind w:left="1260" w:right="300" w:hanging="523"/>
        <w:spacing w:after="0" w:line="295" w:lineRule="auto"/>
        <w:tabs>
          <w:tab w:leader="none" w:pos="126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legality, validity, effectiveness, adequacy or enforceability of any Finance Document or any other agreement, arrangement or document entered into, made or executed in anticipation of or in connection with any Finance Document; or</w:t>
      </w:r>
    </w:p>
    <w:p>
      <w:pPr>
        <w:spacing w:after="0" w:line="55" w:lineRule="exact"/>
        <w:rPr>
          <w:rFonts w:ascii="Times New Roman" w:cs="Times New Roman" w:eastAsia="Times New Roman" w:hAnsi="Times New Roman"/>
          <w:sz w:val="17"/>
          <w:szCs w:val="17"/>
          <w:color w:val="auto"/>
        </w:rPr>
      </w:pPr>
    </w:p>
    <w:p>
      <w:pPr>
        <w:ind w:left="1260" w:right="200" w:hanging="523"/>
        <w:spacing w:after="0" w:line="295" w:lineRule="auto"/>
        <w:tabs>
          <w:tab w:leader="none" w:pos="126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29.9</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133" w:lineRule="exact"/>
        <w:rPr>
          <w:sz w:val="20"/>
          <w:szCs w:val="20"/>
          <w:color w:val="auto"/>
        </w:rPr>
      </w:pPr>
    </w:p>
    <w:p>
      <w:pPr>
        <w:ind w:left="1260" w:right="160" w:hanging="523"/>
        <w:spacing w:after="0" w:line="295" w:lineRule="auto"/>
        <w:tabs>
          <w:tab w:leader="none" w:pos="126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paragraph (b) below, the Agent will not be liable for any action taken by it under or in connection with any Finance Document, unless directly caused by its gross negligence or wilful misconduct.</w:t>
      </w:r>
    </w:p>
    <w:p>
      <w:pPr>
        <w:spacing w:after="0" w:line="55" w:lineRule="exact"/>
        <w:rPr>
          <w:rFonts w:ascii="Times New Roman" w:cs="Times New Roman" w:eastAsia="Times New Roman" w:hAnsi="Times New Roman"/>
          <w:sz w:val="17"/>
          <w:szCs w:val="17"/>
          <w:color w:val="auto"/>
        </w:rPr>
      </w:pPr>
    </w:p>
    <w:p>
      <w:pPr>
        <w:ind w:left="1260" w:right="80" w:hanging="523"/>
        <w:spacing w:after="0" w:line="269" w:lineRule="auto"/>
        <w:tabs>
          <w:tab w:leader="none" w:pos="126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Transaction Document and any officer, employee or agent of the Agent may rely on this Clause subject to Clause 1.3 (Third party rights) and the provisions of the Third Parties Act.</w:t>
      </w:r>
    </w:p>
    <w:p>
      <w:pPr>
        <w:spacing w:after="0" w:line="77" w:lineRule="exact"/>
        <w:rPr>
          <w:rFonts w:ascii="Times New Roman" w:cs="Times New Roman" w:eastAsia="Times New Roman" w:hAnsi="Times New Roman"/>
          <w:sz w:val="17"/>
          <w:szCs w:val="17"/>
          <w:color w:val="auto"/>
        </w:rPr>
      </w:pPr>
    </w:p>
    <w:p>
      <w:pPr>
        <w:jc w:val="both"/>
        <w:ind w:left="1260" w:right="280" w:hanging="523"/>
        <w:spacing w:after="0" w:line="276" w:lineRule="auto"/>
        <w:tabs>
          <w:tab w:leader="none" w:pos="126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70" w:lineRule="exact"/>
        <w:rPr>
          <w:rFonts w:ascii="Times New Roman" w:cs="Times New Roman" w:eastAsia="Times New Roman" w:hAnsi="Times New Roman"/>
          <w:sz w:val="17"/>
          <w:szCs w:val="17"/>
          <w:color w:val="auto"/>
        </w:rPr>
      </w:pPr>
    </w:p>
    <w:p>
      <w:pPr>
        <w:ind w:left="1260" w:right="80" w:hanging="523"/>
        <w:spacing w:after="0" w:line="269" w:lineRule="auto"/>
        <w:tabs>
          <w:tab w:leader="none" w:pos="126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or any other Finance Document shall oblige the Agent or any Arranger to carry out any “know your customer” or other checks in relation to any person on behalf of any Lender and each Lender confirms to the Agent and the Arrangers that it is solely responsible for any such checks it is required to carry out and that it may not rely on any statement in relation to such checks made by the Agent or the Arrangers.</w:t>
      </w:r>
    </w:p>
    <w:p>
      <w:pPr>
        <w:spacing w:after="0" w:line="104"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14" w:name="page415"/>
    <w:bookmarkEnd w:id="414"/>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29.10</w:t>
      </w:r>
      <w:r>
        <w:rPr>
          <w:sz w:val="20"/>
          <w:szCs w:val="20"/>
          <w:color w:val="auto"/>
        </w:rPr>
        <w:tab/>
      </w:r>
      <w:r>
        <w:rPr>
          <w:rFonts w:ascii="Times New Roman" w:cs="Times New Roman" w:eastAsia="Times New Roman" w:hAnsi="Times New Roman"/>
          <w:sz w:val="17"/>
          <w:szCs w:val="17"/>
          <w:b w:val="1"/>
          <w:bCs w:val="1"/>
          <w:color w:val="auto"/>
        </w:rPr>
        <w:t>Lenders’ indemnity to the Agent</w:t>
      </w:r>
    </w:p>
    <w:p>
      <w:pPr>
        <w:spacing w:after="0" w:line="133" w:lineRule="exact"/>
        <w:rPr>
          <w:sz w:val="20"/>
          <w:szCs w:val="20"/>
          <w:color w:val="auto"/>
        </w:rPr>
      </w:pPr>
    </w:p>
    <w:p>
      <w:pPr>
        <w:ind w:left="1260" w:right="40" w:hanging="523"/>
        <w:spacing w:after="0" w:line="264" w:lineRule="auto"/>
        <w:tabs>
          <w:tab w:leader="none" w:pos="126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(in proportion to its share of the Total Commitments or, if the Total Commitments are then zero, to its share of the Total Commitments immediately prior to their reduction to zero), indemnify the Agent, within three (3) Business Days of demand (accompanied by reasonable written certification), against any cost, loss or liability incurred by the Agent (other than by reason of the fraud, negligence or wilful misconduct of the Agent) in acting as Agent under the Finance Documents (unless the Agent has been reimbursed by, or indemnified to its satisfaction by, the Company or any of its Affiliates pursuant to a Finance Document or otherwise in writing).</w:t>
      </w:r>
    </w:p>
    <w:p>
      <w:pPr>
        <w:spacing w:after="0" w:line="82" w:lineRule="exact"/>
        <w:rPr>
          <w:rFonts w:ascii="Times New Roman" w:cs="Times New Roman" w:eastAsia="Times New Roman" w:hAnsi="Times New Roman"/>
          <w:sz w:val="17"/>
          <w:szCs w:val="17"/>
          <w:color w:val="auto"/>
        </w:rPr>
      </w:pPr>
    </w:p>
    <w:p>
      <w:pPr>
        <w:ind w:left="1260" w:right="100" w:hanging="523"/>
        <w:spacing w:after="0" w:line="295" w:lineRule="auto"/>
        <w:tabs>
          <w:tab w:leader="none" w:pos="126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Clause 29.10 shall not apply to the extent that the Agent is otherwise actually indemnified or reimbursed by any Party under any other provision of the Finance Documents.</w:t>
      </w:r>
    </w:p>
    <w:p>
      <w:pPr>
        <w:spacing w:after="0" w:line="53" w:lineRule="exact"/>
        <w:rPr>
          <w:rFonts w:ascii="Times New Roman" w:cs="Times New Roman" w:eastAsia="Times New Roman" w:hAnsi="Times New Roman"/>
          <w:sz w:val="17"/>
          <w:szCs w:val="17"/>
          <w:color w:val="auto"/>
        </w:rPr>
      </w:pPr>
    </w:p>
    <w:p>
      <w:pPr>
        <w:ind w:left="1260" w:right="180" w:hanging="523"/>
        <w:spacing w:after="0" w:line="270" w:lineRule="auto"/>
        <w:tabs>
          <w:tab w:leader="none" w:pos="126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Provided that </w:t>
      </w:r>
      <w:r>
        <w:rPr>
          <w:rFonts w:ascii="Times New Roman" w:cs="Times New Roman" w:eastAsia="Times New Roman" w:hAnsi="Times New Roman"/>
          <w:sz w:val="17"/>
          <w:szCs w:val="17"/>
          <w:color w:val="auto"/>
        </w:rPr>
        <w:t>if the Company or any of its Affiliates is required to reimburse or indemnify any Finance Party for such cost, loss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in accordance with the terms of the Finance Documents, the Company shall, within ten (10) Business Days of demand in writing by the relevant Finance Party, indemnify such Finance Party in relation to any payment actually made by such Finance Party pursuant to paragraph (a) of Clause 29.10 above.</w:t>
      </w:r>
    </w:p>
    <w:p>
      <w:pPr>
        <w:spacing w:after="0" w:line="3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29.11</w:t>
      </w:r>
      <w:r>
        <w:rPr>
          <w:sz w:val="20"/>
          <w:szCs w:val="20"/>
          <w:color w:val="auto"/>
        </w:rPr>
        <w:tab/>
      </w:r>
      <w:r>
        <w:rPr>
          <w:rFonts w:ascii="Times New Roman" w:cs="Times New Roman" w:eastAsia="Times New Roman" w:hAnsi="Times New Roman"/>
          <w:sz w:val="17"/>
          <w:szCs w:val="17"/>
          <w:b w:val="1"/>
          <w:bCs w:val="1"/>
          <w:color w:val="auto"/>
        </w:rPr>
        <w:t>Resignation of the Agent</w:t>
      </w:r>
    </w:p>
    <w:p>
      <w:pPr>
        <w:spacing w:after="0" w:line="133" w:lineRule="exact"/>
        <w:rPr>
          <w:sz w:val="20"/>
          <w:szCs w:val="20"/>
          <w:color w:val="auto"/>
        </w:rPr>
      </w:pPr>
    </w:p>
    <w:p>
      <w:pPr>
        <w:ind w:left="1260" w:right="220" w:hanging="523"/>
        <w:spacing w:after="0" w:line="295" w:lineRule="auto"/>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resign and appoint one of its Affiliates acting through an office in Hong Kong SAR as successor by giving notice to the Lenders and the Company.</w:t>
      </w:r>
    </w:p>
    <w:p>
      <w:pPr>
        <w:spacing w:after="0" w:line="55" w:lineRule="exact"/>
        <w:rPr>
          <w:rFonts w:ascii="Times New Roman" w:cs="Times New Roman" w:eastAsia="Times New Roman" w:hAnsi="Times New Roman"/>
          <w:sz w:val="17"/>
          <w:szCs w:val="17"/>
          <w:color w:val="auto"/>
        </w:rPr>
      </w:pPr>
    </w:p>
    <w:p>
      <w:pPr>
        <w:ind w:left="1260" w:right="500" w:hanging="523"/>
        <w:spacing w:after="0" w:line="295" w:lineRule="auto"/>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Alternatively the Agent may resign by giving notice to the Lenders and the Company, in which case the Majority Lenders (after consultation with the Company) may appoint a successor Agent.</w:t>
      </w:r>
    </w:p>
    <w:p>
      <w:pPr>
        <w:spacing w:after="0" w:line="55" w:lineRule="exact"/>
        <w:rPr>
          <w:rFonts w:ascii="Times New Roman" w:cs="Times New Roman" w:eastAsia="Times New Roman" w:hAnsi="Times New Roman"/>
          <w:sz w:val="17"/>
          <w:szCs w:val="17"/>
          <w:color w:val="auto"/>
        </w:rPr>
      </w:pPr>
    </w:p>
    <w:p>
      <w:pPr>
        <w:ind w:left="1260" w:right="220" w:hanging="523"/>
        <w:spacing w:after="0" w:line="276" w:lineRule="auto"/>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Majority Lenders have not appointed a successor Agent in accordance with paragraph (b) above within thirty (30) days after notice of resignation was given, the Agent (after consultation with the Company) may appoint a successor Agent (acting through an office in Hong Kong SAR).</w:t>
      </w:r>
    </w:p>
    <w:p>
      <w:pPr>
        <w:spacing w:after="0" w:line="70" w:lineRule="exact"/>
        <w:rPr>
          <w:rFonts w:ascii="Times New Roman" w:cs="Times New Roman" w:eastAsia="Times New Roman" w:hAnsi="Times New Roman"/>
          <w:sz w:val="17"/>
          <w:szCs w:val="17"/>
          <w:color w:val="auto"/>
        </w:rPr>
      </w:pPr>
    </w:p>
    <w:p>
      <w:pPr>
        <w:ind w:left="1260" w:right="360" w:hanging="523"/>
        <w:spacing w:after="0" w:line="276" w:lineRule="auto"/>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Agent’s resignation notice shall only take effect upon the appointment of a successor.</w:t>
      </w:r>
    </w:p>
    <w:p>
      <w:pPr>
        <w:spacing w:after="0" w:line="131" w:lineRule="exact"/>
        <w:rPr>
          <w:rFonts w:ascii="Times New Roman" w:cs="Times New Roman" w:eastAsia="Times New Roman" w:hAnsi="Times New Roman"/>
          <w:sz w:val="17"/>
          <w:szCs w:val="17"/>
          <w:color w:val="auto"/>
        </w:rPr>
      </w:pPr>
    </w:p>
    <w:p>
      <w:pPr>
        <w:ind w:left="1260" w:right="300" w:hanging="523"/>
        <w:spacing w:after="0" w:line="276" w:lineRule="auto"/>
        <w:tabs>
          <w:tab w:leader="none" w:pos="126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appointment of a successor, the retiring Agent shall be discharged from any further obligation in respect of the Finance Documents but shall remain entitled to the benefit of this Clause 29. Its successor and each of the other Parties shall have the same rights and obligations amongst themselves as they would have had if such successor had been an original Party.</w:t>
      </w:r>
    </w:p>
    <w:p>
      <w:pPr>
        <w:spacing w:after="0" w:line="9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15" w:name="page416"/>
    <w:bookmarkEnd w:id="415"/>
    <w:p>
      <w:pPr>
        <w:ind w:left="1260" w:right="300" w:hanging="523"/>
        <w:spacing w:after="0" w:line="269" w:lineRule="auto"/>
        <w:tabs>
          <w:tab w:leader="none" w:pos="126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Agent shall (at the cost of the Company or (as the case may be) such Lender requiring the Agent to resign pursuant to this paragraph (g)) resign in accordance with paragraph (b) above (and, to the extent applicable, shall use reasonable endeavours to appoint a successor Agent pursuant to paragraph (b) above) if on or after the date which is three months before the earliest FATCA Application Date relating to any payment to the Agent under the Finance Documents, either:</w:t>
      </w:r>
    </w:p>
    <w:p>
      <w:pPr>
        <w:spacing w:after="0" w:line="75" w:lineRule="exact"/>
        <w:rPr>
          <w:rFonts w:ascii="Times New Roman" w:cs="Times New Roman" w:eastAsia="Times New Roman" w:hAnsi="Times New Roman"/>
          <w:sz w:val="17"/>
          <w:szCs w:val="17"/>
          <w:color w:val="auto"/>
        </w:rPr>
      </w:pPr>
    </w:p>
    <w:p>
      <w:pPr>
        <w:ind w:left="1880" w:right="280" w:hanging="620"/>
        <w:spacing w:after="0" w:line="277" w:lineRule="auto"/>
        <w:tabs>
          <w:tab w:leader="none" w:pos="1880"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fails to respond to a request under Clause 16.8 (</w:t>
      </w:r>
      <w:r>
        <w:rPr>
          <w:rFonts w:ascii="Times New Roman" w:cs="Times New Roman" w:eastAsia="Times New Roman" w:hAnsi="Times New Roman"/>
          <w:sz w:val="17"/>
          <w:szCs w:val="17"/>
          <w:i w:val="1"/>
          <w:iCs w:val="1"/>
          <w:color w:val="auto"/>
        </w:rPr>
        <w:t>FATCA Information</w:t>
      </w:r>
      <w:r>
        <w:rPr>
          <w:rFonts w:ascii="Times New Roman" w:cs="Times New Roman" w:eastAsia="Times New Roman" w:hAnsi="Times New Roman"/>
          <w:sz w:val="17"/>
          <w:szCs w:val="17"/>
          <w:color w:val="auto"/>
        </w:rPr>
        <w:t>) and the Company or a Lender reasonably believes that the Agent will not be (or will have ceased to be) a FATCA Exempt Party on or after that FATCA Application Date;</w:t>
      </w:r>
    </w:p>
    <w:p>
      <w:pPr>
        <w:spacing w:after="0" w:line="70" w:lineRule="exact"/>
        <w:rPr>
          <w:rFonts w:ascii="Times New Roman" w:cs="Times New Roman" w:eastAsia="Times New Roman" w:hAnsi="Times New Roman"/>
          <w:sz w:val="17"/>
          <w:szCs w:val="17"/>
          <w:color w:val="auto"/>
        </w:rPr>
      </w:pPr>
    </w:p>
    <w:p>
      <w:pPr>
        <w:ind w:left="1880" w:right="120" w:hanging="620"/>
        <w:spacing w:after="0" w:line="295" w:lineRule="auto"/>
        <w:tabs>
          <w:tab w:leader="none" w:pos="1880"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supplied by the Agent pursuant to Clause 16.8 (FATCA Information) indicates that the Agent will not be (or will have ceased to be) a FATCA Exempt Party on or after that FATCA Application Date; or</w:t>
      </w:r>
    </w:p>
    <w:p>
      <w:pPr>
        <w:spacing w:after="0" w:line="55" w:lineRule="exact"/>
        <w:rPr>
          <w:rFonts w:ascii="Times New Roman" w:cs="Times New Roman" w:eastAsia="Times New Roman" w:hAnsi="Times New Roman"/>
          <w:sz w:val="17"/>
          <w:szCs w:val="17"/>
          <w:color w:val="auto"/>
        </w:rPr>
      </w:pPr>
    </w:p>
    <w:p>
      <w:pPr>
        <w:ind w:left="1880" w:right="400" w:hanging="620"/>
        <w:spacing w:after="0" w:line="295" w:lineRule="auto"/>
        <w:tabs>
          <w:tab w:leader="none" w:pos="1880"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notifies the Company and the Lenders that the Agent will not be (or will have ceased to be) a FATCA Exempt Party on or after that FATCA Application Date;</w:t>
      </w:r>
    </w:p>
    <w:p>
      <w:pPr>
        <w:spacing w:after="0" w:line="42" w:lineRule="exact"/>
        <w:rPr>
          <w:sz w:val="20"/>
          <w:szCs w:val="20"/>
          <w:color w:val="auto"/>
        </w:rPr>
      </w:pPr>
    </w:p>
    <w:p>
      <w:pPr>
        <w:ind w:left="1280" w:right="60"/>
        <w:spacing w:after="0" w:line="288" w:lineRule="auto"/>
        <w:rPr>
          <w:sz w:val="20"/>
          <w:szCs w:val="20"/>
          <w:color w:val="auto"/>
        </w:rPr>
      </w:pPr>
      <w:r>
        <w:rPr>
          <w:rFonts w:ascii="Times New Roman" w:cs="Times New Roman" w:eastAsia="Times New Roman" w:hAnsi="Times New Roman"/>
          <w:sz w:val="17"/>
          <w:szCs w:val="17"/>
          <w:color w:val="auto"/>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spacing w:after="0" w:line="200" w:lineRule="exact"/>
        <w:rPr>
          <w:sz w:val="20"/>
          <w:szCs w:val="20"/>
          <w:color w:val="auto"/>
        </w:rPr>
      </w:pPr>
    </w:p>
    <w:p>
      <w:pPr>
        <w:spacing w:after="0" w:line="30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29.12</w:t>
      </w:r>
      <w:r>
        <w:rPr>
          <w:sz w:val="20"/>
          <w:szCs w:val="20"/>
          <w:color w:val="auto"/>
        </w:rPr>
        <w:tab/>
      </w:r>
      <w:r>
        <w:rPr>
          <w:rFonts w:ascii="Times New Roman" w:cs="Times New Roman" w:eastAsia="Times New Roman" w:hAnsi="Times New Roman"/>
          <w:sz w:val="17"/>
          <w:szCs w:val="17"/>
          <w:b w:val="1"/>
          <w:bCs w:val="1"/>
          <w:color w:val="auto"/>
        </w:rPr>
        <w:t>Replacement of the Agent</w:t>
      </w:r>
    </w:p>
    <w:p>
      <w:pPr>
        <w:spacing w:after="0" w:line="133" w:lineRule="exact"/>
        <w:rPr>
          <w:sz w:val="20"/>
          <w:szCs w:val="20"/>
          <w:color w:val="auto"/>
        </w:rPr>
      </w:pPr>
    </w:p>
    <w:p>
      <w:pPr>
        <w:ind w:left="1260" w:right="280" w:hanging="523"/>
        <w:spacing w:after="0" w:line="276" w:lineRule="auto"/>
        <w:tabs>
          <w:tab w:leader="none" w:pos="126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consultation with the Company, the Majority Lenders may, by giving thirty (30) days’ notice to the Agent (or, at any time the Agent is an Impaired Agent, by giving any shorter notice determined by the Majority Lenders) replace the Agent by appointing a successor Agent (acting through an office in Hong Kong SAR).</w:t>
      </w:r>
    </w:p>
    <w:p>
      <w:pPr>
        <w:spacing w:after="0" w:line="70" w:lineRule="exact"/>
        <w:rPr>
          <w:rFonts w:ascii="Times New Roman" w:cs="Times New Roman" w:eastAsia="Times New Roman" w:hAnsi="Times New Roman"/>
          <w:sz w:val="17"/>
          <w:szCs w:val="17"/>
          <w:color w:val="auto"/>
        </w:rPr>
      </w:pPr>
    </w:p>
    <w:p>
      <w:pPr>
        <w:ind w:left="1260" w:right="140" w:hanging="523"/>
        <w:spacing w:after="0" w:line="276" w:lineRule="auto"/>
        <w:tabs>
          <w:tab w:leader="none" w:pos="126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70" w:lineRule="exact"/>
        <w:rPr>
          <w:rFonts w:ascii="Times New Roman" w:cs="Times New Roman" w:eastAsia="Times New Roman" w:hAnsi="Times New Roman"/>
          <w:sz w:val="17"/>
          <w:szCs w:val="17"/>
          <w:color w:val="auto"/>
        </w:rPr>
      </w:pPr>
    </w:p>
    <w:p>
      <w:pPr>
        <w:ind w:left="1260" w:right="180" w:hanging="523"/>
        <w:spacing w:after="0" w:line="269" w:lineRule="auto"/>
        <w:tabs>
          <w:tab w:leader="none" w:pos="126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but shall remain entitled to the benefit of this Clause 29 (and any agency fees for the account of the retiring Agent shall cease to accrue from (and shall be payable on) that date).</w:t>
      </w:r>
    </w:p>
    <w:p>
      <w:pPr>
        <w:spacing w:after="0" w:line="77" w:lineRule="exact"/>
        <w:rPr>
          <w:rFonts w:ascii="Times New Roman" w:cs="Times New Roman" w:eastAsia="Times New Roman" w:hAnsi="Times New Roman"/>
          <w:sz w:val="17"/>
          <w:szCs w:val="17"/>
          <w:color w:val="auto"/>
        </w:rPr>
      </w:pPr>
    </w:p>
    <w:p>
      <w:pPr>
        <w:ind w:left="1260" w:right="100" w:hanging="523"/>
        <w:spacing w:after="0" w:line="295" w:lineRule="auto"/>
        <w:tabs>
          <w:tab w:leader="none" w:pos="126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successor Agent and each of the other Parties shall have the same rights and obligations amongst themselves as they would have had if such successor had been an original Party.</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29.13</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133" w:lineRule="exact"/>
        <w:rPr>
          <w:sz w:val="20"/>
          <w:szCs w:val="20"/>
          <w:color w:val="auto"/>
        </w:rPr>
      </w:pPr>
    </w:p>
    <w:p>
      <w:pPr>
        <w:ind w:left="1260" w:right="80" w:hanging="523"/>
        <w:spacing w:after="0" w:line="295" w:lineRule="auto"/>
        <w:tabs>
          <w:tab w:leader="none" w:pos="126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acting as agent for the Finance Parties, the Agent shall be regarded as acting through its agency division which shall be treated as a separate entity from any other of its divisions or departments.</w:t>
      </w:r>
    </w:p>
    <w:p>
      <w:pPr>
        <w:spacing w:after="0" w:line="55" w:lineRule="exact"/>
        <w:rPr>
          <w:rFonts w:ascii="Times New Roman" w:cs="Times New Roman" w:eastAsia="Times New Roman" w:hAnsi="Times New Roman"/>
          <w:sz w:val="17"/>
          <w:szCs w:val="17"/>
          <w:color w:val="auto"/>
        </w:rPr>
      </w:pPr>
    </w:p>
    <w:p>
      <w:pPr>
        <w:ind w:left="1260" w:right="720" w:hanging="523"/>
        <w:spacing w:after="0" w:line="295" w:lineRule="auto"/>
        <w:tabs>
          <w:tab w:leader="none" w:pos="126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information is received by another division or department of the Agent, it may be treated as confidential to that division or department and the Agent shall not be deemed to have notice of it.</w:t>
      </w:r>
    </w:p>
    <w:p>
      <w:pPr>
        <w:spacing w:after="0" w:line="55" w:lineRule="exact"/>
        <w:rPr>
          <w:rFonts w:ascii="Times New Roman" w:cs="Times New Roman" w:eastAsia="Times New Roman" w:hAnsi="Times New Roman"/>
          <w:sz w:val="17"/>
          <w:szCs w:val="17"/>
          <w:color w:val="auto"/>
        </w:rPr>
      </w:pPr>
    </w:p>
    <w:p>
      <w:pPr>
        <w:ind w:left="1260" w:right="320" w:hanging="523"/>
        <w:spacing w:after="0" w:line="276" w:lineRule="auto"/>
        <w:tabs>
          <w:tab w:leader="none" w:pos="126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any Finance Document to the contrary, none of the Agent and the Arrangers are obliged to disclose to any other person (i) any confidential information or (ii) any other information if the disclosure would or might in its reasonable opinion constitute a breach of any law or a breach of a fiduciary duty.</w:t>
      </w:r>
    </w:p>
    <w:p>
      <w:pPr>
        <w:spacing w:after="0" w:line="70" w:lineRule="exact"/>
        <w:rPr>
          <w:rFonts w:ascii="Times New Roman" w:cs="Times New Roman" w:eastAsia="Times New Roman" w:hAnsi="Times New Roman"/>
          <w:sz w:val="17"/>
          <w:szCs w:val="17"/>
          <w:color w:val="auto"/>
        </w:rPr>
      </w:pPr>
    </w:p>
    <w:p>
      <w:pPr>
        <w:ind w:left="1260" w:right="40" w:hanging="523"/>
        <w:spacing w:after="0" w:line="276" w:lineRule="auto"/>
        <w:tabs>
          <w:tab w:leader="none" w:pos="126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obliged to disclose to any Finance Party any information supplied to it by the Company or any Affiliates of the Company on a confidential basis and for the purpose of evaluating whether any waiver or amendment is or may be required or desirable in relation to any Finance Document.</w:t>
      </w:r>
    </w:p>
    <w:p>
      <w:pPr>
        <w:spacing w:after="0" w:line="9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416" w:name="page417"/>
    <w:bookmarkEnd w:id="416"/>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29.14</w:t>
      </w:r>
      <w:r>
        <w:rPr>
          <w:sz w:val="20"/>
          <w:szCs w:val="20"/>
          <w:color w:val="auto"/>
        </w:rPr>
        <w:tab/>
      </w:r>
      <w:r>
        <w:rPr>
          <w:rFonts w:ascii="Times New Roman" w:cs="Times New Roman" w:eastAsia="Times New Roman" w:hAnsi="Times New Roman"/>
          <w:sz w:val="17"/>
          <w:szCs w:val="17"/>
          <w:b w:val="1"/>
          <w:bCs w:val="1"/>
          <w:color w:val="auto"/>
        </w:rPr>
        <w:t>Relationship with the Lenders</w:t>
      </w:r>
    </w:p>
    <w:p>
      <w:pPr>
        <w:spacing w:after="0" w:line="120" w:lineRule="exact"/>
        <w:rPr>
          <w:sz w:val="20"/>
          <w:szCs w:val="20"/>
          <w:color w:val="auto"/>
        </w:rPr>
      </w:pPr>
    </w:p>
    <w:p>
      <w:pPr>
        <w:ind w:left="740" w:right="20"/>
        <w:spacing w:after="0" w:line="288" w:lineRule="auto"/>
        <w:rPr>
          <w:sz w:val="20"/>
          <w:szCs w:val="20"/>
          <w:color w:val="auto"/>
        </w:rPr>
      </w:pPr>
      <w:r>
        <w:rPr>
          <w:rFonts w:ascii="Times New Roman" w:cs="Times New Roman" w:eastAsia="Times New Roman" w:hAnsi="Times New Roman"/>
          <w:sz w:val="17"/>
          <w:szCs w:val="17"/>
          <w:color w:val="auto"/>
        </w:rPr>
        <w:t>The Agent may treat each Lender as a Lender, entitled to payments under the Finance Documents and acting through its Facility Office unless it has received not less than five (5) Business Days prior notice from that Lender to the contrary in accordance with the terms of this Agreement.</w:t>
      </w:r>
    </w:p>
    <w:p>
      <w:pPr>
        <w:spacing w:after="0" w:line="200" w:lineRule="exact"/>
        <w:rPr>
          <w:sz w:val="20"/>
          <w:szCs w:val="20"/>
          <w:color w:val="auto"/>
        </w:rPr>
      </w:pPr>
    </w:p>
    <w:p>
      <w:pPr>
        <w:spacing w:after="0" w:line="30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29.15</w:t>
      </w:r>
      <w:r>
        <w:rPr>
          <w:sz w:val="20"/>
          <w:szCs w:val="20"/>
          <w:color w:val="auto"/>
        </w:rPr>
        <w:tab/>
      </w:r>
      <w:r>
        <w:rPr>
          <w:rFonts w:ascii="Times New Roman" w:cs="Times New Roman" w:eastAsia="Times New Roman" w:hAnsi="Times New Roman"/>
          <w:sz w:val="17"/>
          <w:szCs w:val="17"/>
          <w:b w:val="1"/>
          <w:bCs w:val="1"/>
          <w:color w:val="auto"/>
        </w:rPr>
        <w:t>Credit appraisal by the Lenders</w:t>
      </w:r>
    </w:p>
    <w:p>
      <w:pPr>
        <w:spacing w:after="0" w:line="120" w:lineRule="exact"/>
        <w:rPr>
          <w:sz w:val="20"/>
          <w:szCs w:val="20"/>
          <w:color w:val="auto"/>
        </w:rPr>
      </w:pPr>
    </w:p>
    <w:p>
      <w:pPr>
        <w:jc w:val="both"/>
        <w:ind w:left="740" w:right="140"/>
        <w:spacing w:after="0" w:line="269" w:lineRule="auto"/>
        <w:rPr>
          <w:sz w:val="20"/>
          <w:szCs w:val="20"/>
          <w:color w:val="auto"/>
        </w:rPr>
      </w:pPr>
      <w:r>
        <w:rPr>
          <w:rFonts w:ascii="Times New Roman" w:cs="Times New Roman" w:eastAsia="Times New Roman" w:hAnsi="Times New Roman"/>
          <w:sz w:val="17"/>
          <w:szCs w:val="17"/>
          <w:color w:val="auto"/>
        </w:rPr>
        <w:t>Without affecting the responsibility of the Company or any of its Affiliates for information supplied by it or on its behalf in connection with any Finance Document, each Lender confirms to the Agent and the Arrangers that it has been, and will continue to be, solely responsible for making its own independent appraisal and investigation of all risks arising under or in connection with any Finance Document including but not limited to:</w:t>
      </w:r>
    </w:p>
    <w:p>
      <w:pPr>
        <w:spacing w:after="0" w:line="78" w:lineRule="exact"/>
        <w:rPr>
          <w:sz w:val="20"/>
          <w:szCs w:val="20"/>
          <w:color w:val="auto"/>
        </w:rPr>
      </w:pPr>
    </w:p>
    <w:p>
      <w:pPr>
        <w:ind w:left="1260" w:hanging="523"/>
        <w:spacing w:after="0"/>
        <w:tabs>
          <w:tab w:leader="none" w:pos="1260"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status and nature of each member of the Group;</w:t>
      </w:r>
    </w:p>
    <w:p>
      <w:pPr>
        <w:spacing w:after="0" w:line="131" w:lineRule="exact"/>
        <w:rPr>
          <w:rFonts w:ascii="Times New Roman" w:cs="Times New Roman" w:eastAsia="Times New Roman" w:hAnsi="Times New Roman"/>
          <w:sz w:val="17"/>
          <w:szCs w:val="17"/>
          <w:color w:val="auto"/>
        </w:rPr>
      </w:pPr>
    </w:p>
    <w:p>
      <w:pPr>
        <w:ind w:left="1260" w:right="340" w:hanging="523"/>
        <w:spacing w:after="0" w:line="295" w:lineRule="auto"/>
        <w:tabs>
          <w:tab w:leader="none" w:pos="1260"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55" w:lineRule="exact"/>
        <w:rPr>
          <w:rFonts w:ascii="Times New Roman" w:cs="Times New Roman" w:eastAsia="Times New Roman" w:hAnsi="Times New Roman"/>
          <w:sz w:val="17"/>
          <w:szCs w:val="17"/>
          <w:color w:val="auto"/>
        </w:rPr>
      </w:pPr>
    </w:p>
    <w:p>
      <w:pPr>
        <w:ind w:left="1260" w:right="120" w:hanging="523"/>
        <w:spacing w:after="0" w:line="276" w:lineRule="auto"/>
        <w:tabs>
          <w:tab w:leader="none" w:pos="1260"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70" w:lineRule="exact"/>
        <w:rPr>
          <w:rFonts w:ascii="Times New Roman" w:cs="Times New Roman" w:eastAsia="Times New Roman" w:hAnsi="Times New Roman"/>
          <w:sz w:val="17"/>
          <w:szCs w:val="17"/>
          <w:color w:val="auto"/>
        </w:rPr>
      </w:pPr>
    </w:p>
    <w:p>
      <w:pPr>
        <w:ind w:left="1260" w:right="260" w:hanging="523"/>
        <w:spacing w:after="0" w:line="276" w:lineRule="auto"/>
        <w:tabs>
          <w:tab w:leader="none" w:pos="1260"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accuracy and/or completeness any information provided by the Agent to any Party or by any other person under or in connection with any Finance Document, the transactions contemplated by the Finance Documents or any other agreement, arrangement or document entered into, made or executed in anticipation of, under or in connection with any Finance Document.</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29.16</w:t>
      </w:r>
      <w:r>
        <w:rPr>
          <w:sz w:val="20"/>
          <w:szCs w:val="20"/>
          <w:color w:val="auto"/>
        </w:rPr>
        <w:tab/>
      </w:r>
      <w:r>
        <w:rPr>
          <w:rFonts w:ascii="Times New Roman" w:cs="Times New Roman" w:eastAsia="Times New Roman" w:hAnsi="Times New Roman"/>
          <w:sz w:val="17"/>
          <w:szCs w:val="17"/>
          <w:b w:val="1"/>
          <w:bCs w:val="1"/>
          <w:color w:val="auto"/>
        </w:rPr>
        <w:t>Reference Banks</w:t>
      </w:r>
    </w:p>
    <w:p>
      <w:pPr>
        <w:spacing w:after="0" w:line="120" w:lineRule="exact"/>
        <w:rPr>
          <w:sz w:val="20"/>
          <w:szCs w:val="20"/>
          <w:color w:val="auto"/>
        </w:rPr>
      </w:pPr>
    </w:p>
    <w:p>
      <w:pPr>
        <w:ind w:left="740" w:right="140"/>
        <w:spacing w:after="0" w:line="295" w:lineRule="auto"/>
        <w:rPr>
          <w:sz w:val="20"/>
          <w:szCs w:val="20"/>
          <w:color w:val="auto"/>
        </w:rPr>
      </w:pPr>
      <w:r>
        <w:rPr>
          <w:rFonts w:ascii="Times New Roman" w:cs="Times New Roman" w:eastAsia="Times New Roman" w:hAnsi="Times New Roman"/>
          <w:sz w:val="17"/>
          <w:szCs w:val="17"/>
          <w:color w:val="auto"/>
        </w:rPr>
        <w:t>If a Reference Bank (or, if a Reference Bank is not a Lender, the Lender of which it is an Affiliate) ceases to be a Lender, the Agent shall (in consultation with the Company) appoint another Lender or an Affiliate of a Lender to replace that Reference Bank.</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29.17</w:t>
      </w:r>
      <w:r>
        <w:rPr>
          <w:sz w:val="20"/>
          <w:szCs w:val="20"/>
          <w:color w:val="auto"/>
        </w:rPr>
        <w:tab/>
      </w:r>
      <w:r>
        <w:rPr>
          <w:rFonts w:ascii="Times New Roman" w:cs="Times New Roman" w:eastAsia="Times New Roman" w:hAnsi="Times New Roman"/>
          <w:sz w:val="17"/>
          <w:szCs w:val="17"/>
          <w:b w:val="1"/>
          <w:bCs w:val="1"/>
          <w:color w:val="auto"/>
        </w:rPr>
        <w:t>Agent’s management time</w:t>
      </w:r>
    </w:p>
    <w:p>
      <w:pPr>
        <w:spacing w:after="0" w:line="118" w:lineRule="exact"/>
        <w:rPr>
          <w:sz w:val="20"/>
          <w:szCs w:val="20"/>
          <w:color w:val="auto"/>
        </w:rPr>
      </w:pPr>
    </w:p>
    <w:p>
      <w:pPr>
        <w:ind w:left="740"/>
        <w:spacing w:after="0" w:line="270" w:lineRule="auto"/>
        <w:rPr>
          <w:sz w:val="20"/>
          <w:szCs w:val="20"/>
          <w:color w:val="auto"/>
        </w:rPr>
      </w:pPr>
      <w:r>
        <w:rPr>
          <w:rFonts w:ascii="Times New Roman" w:cs="Times New Roman" w:eastAsia="Times New Roman" w:hAnsi="Times New Roman"/>
          <w:sz w:val="17"/>
          <w:szCs w:val="17"/>
          <w:color w:val="auto"/>
        </w:rPr>
        <w:t>Any amount payable to the Agent under Clause 18.3 (</w:t>
      </w:r>
      <w:r>
        <w:rPr>
          <w:rFonts w:ascii="Times New Roman" w:cs="Times New Roman" w:eastAsia="Times New Roman" w:hAnsi="Times New Roman"/>
          <w:sz w:val="17"/>
          <w:szCs w:val="17"/>
          <w:i w:val="1"/>
          <w:iCs w:val="1"/>
          <w:color w:val="auto"/>
        </w:rPr>
        <w:t>Indemnity to the Agent</w:t>
      </w:r>
      <w:r>
        <w:rPr>
          <w:rFonts w:ascii="Times New Roman" w:cs="Times New Roman" w:eastAsia="Times New Roman" w:hAnsi="Times New Roman"/>
          <w:sz w:val="17"/>
          <w:szCs w:val="17"/>
          <w:color w:val="auto"/>
        </w:rPr>
        <w:t>), Clause 20 (</w:t>
      </w: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and Clause 29.10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indemnity to the Agent</w:t>
      </w:r>
      <w:r>
        <w:rPr>
          <w:rFonts w:ascii="Times New Roman" w:cs="Times New Roman" w:eastAsia="Times New Roman" w:hAnsi="Times New Roman"/>
          <w:sz w:val="17"/>
          <w:szCs w:val="17"/>
          <w:color w:val="auto"/>
        </w:rPr>
        <w:t>) shall include the cost of utilising the Agent’s management time or other resources and will be calculated on the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such reasonable daily or hourly rates as the Agent may notify to the Company and the Lenders, and is in addition to any fee paid or payable to the Agent under Clause 15 (</w:t>
      </w:r>
      <w:r>
        <w:rPr>
          <w:rFonts w:ascii="Times New Roman" w:cs="Times New Roman" w:eastAsia="Times New Roman" w:hAnsi="Times New Roman"/>
          <w:sz w:val="17"/>
          <w:szCs w:val="17"/>
          <w:i w:val="1"/>
          <w:iCs w:val="1"/>
          <w:color w:val="auto"/>
        </w:rPr>
        <w:t>Fees</w:t>
      </w:r>
      <w:r>
        <w:rPr>
          <w:rFonts w:ascii="Times New Roman" w:cs="Times New Roman" w:eastAsia="Times New Roman" w:hAnsi="Times New Roman"/>
          <w:sz w:val="17"/>
          <w:szCs w:val="17"/>
          <w:color w:val="auto"/>
        </w:rPr>
        <w:t>).</w:t>
      </w:r>
    </w:p>
    <w:p>
      <w:pPr>
        <w:spacing w:after="0" w:line="3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29.18</w:t>
      </w:r>
      <w:r>
        <w:rPr>
          <w:sz w:val="20"/>
          <w:szCs w:val="20"/>
          <w:color w:val="auto"/>
        </w:rPr>
        <w:tab/>
      </w:r>
      <w:r>
        <w:rPr>
          <w:rFonts w:ascii="Times New Roman" w:cs="Times New Roman" w:eastAsia="Times New Roman" w:hAnsi="Times New Roman"/>
          <w:sz w:val="17"/>
          <w:szCs w:val="17"/>
          <w:b w:val="1"/>
          <w:bCs w:val="1"/>
          <w:color w:val="auto"/>
        </w:rPr>
        <w:t>Deduction from amounts payable by the Agent</w:t>
      </w:r>
    </w:p>
    <w:p>
      <w:pPr>
        <w:spacing w:after="0" w:line="120" w:lineRule="exact"/>
        <w:rPr>
          <w:sz w:val="20"/>
          <w:szCs w:val="20"/>
          <w:color w:val="auto"/>
        </w:rPr>
      </w:pPr>
    </w:p>
    <w:p>
      <w:pPr>
        <w:ind w:left="740" w:right="240"/>
        <w:spacing w:after="0" w:line="269" w:lineRule="auto"/>
        <w:rPr>
          <w:sz w:val="20"/>
          <w:szCs w:val="20"/>
          <w:color w:val="auto"/>
        </w:rPr>
      </w:pPr>
      <w:r>
        <w:rPr>
          <w:rFonts w:ascii="Times New Roman" w:cs="Times New Roman" w:eastAsia="Times New Roman" w:hAnsi="Times New Roman"/>
          <w:sz w:val="17"/>
          <w:szCs w:val="17"/>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04"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417" w:name="page418"/>
    <w:bookmarkEnd w:id="417"/>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29.19</w:t>
      </w:r>
      <w:r>
        <w:rPr>
          <w:sz w:val="20"/>
          <w:szCs w:val="20"/>
          <w:color w:val="auto"/>
        </w:rPr>
        <w:tab/>
      </w:r>
      <w:r>
        <w:rPr>
          <w:rFonts w:ascii="Times New Roman" w:cs="Times New Roman" w:eastAsia="Times New Roman" w:hAnsi="Times New Roman"/>
          <w:sz w:val="17"/>
          <w:szCs w:val="17"/>
          <w:b w:val="1"/>
          <w:bCs w:val="1"/>
          <w:color w:val="auto"/>
        </w:rPr>
        <w:t>Reliance and engagement letters</w:t>
      </w:r>
    </w:p>
    <w:p>
      <w:pPr>
        <w:spacing w:after="0" w:line="120" w:lineRule="exact"/>
        <w:rPr>
          <w:sz w:val="20"/>
          <w:szCs w:val="20"/>
          <w:color w:val="auto"/>
        </w:rPr>
      </w:pPr>
    </w:p>
    <w:p>
      <w:pPr>
        <w:ind w:left="748" w:right="200"/>
        <w:spacing w:after="0" w:line="266" w:lineRule="auto"/>
        <w:rPr>
          <w:sz w:val="20"/>
          <w:szCs w:val="20"/>
          <w:color w:val="auto"/>
        </w:rPr>
      </w:pPr>
      <w:r>
        <w:rPr>
          <w:rFonts w:ascii="Times New Roman" w:cs="Times New Roman" w:eastAsia="Times New Roman" w:hAnsi="Times New Roman"/>
          <w:sz w:val="17"/>
          <w:szCs w:val="17"/>
          <w:color w:val="auto"/>
        </w:rPr>
        <w:t>Each Finance Party confirms that each of the Arrangers and the Agent has authority to accept on its behalf and ratifies the acceptance on its behalf of any letters or reports already accepted by the Arrangers or Agent, the terms of any reliance letter or engagement letters relating to any reports or letters provided by any advisers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313" w:lineRule="exact"/>
        <w:rPr>
          <w:sz w:val="20"/>
          <w:szCs w:val="20"/>
          <w:color w:val="auto"/>
        </w:rPr>
      </w:pPr>
    </w:p>
    <w:p>
      <w:pPr>
        <w:ind w:left="748" w:right="6720" w:hanging="748"/>
        <w:spacing w:after="0" w:line="394" w:lineRule="auto"/>
        <w:tabs>
          <w:tab w:leader="none" w:pos="747" w:val="left"/>
        </w:tabs>
        <w:numPr>
          <w:ilvl w:val="0"/>
          <w:numId w:val="5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Conduct of business by the Finance Parties </w:t>
      </w:r>
      <w:r>
        <w:rPr>
          <w:rFonts w:ascii="Times New Roman" w:cs="Times New Roman" w:eastAsia="Times New Roman" w:hAnsi="Times New Roman"/>
          <w:sz w:val="17"/>
          <w:szCs w:val="17"/>
          <w:color w:val="auto"/>
        </w:rPr>
        <w:t>No provision of this Agreement will:</w:t>
      </w:r>
    </w:p>
    <w:p>
      <w:pPr>
        <w:ind w:left="1268" w:hanging="523"/>
        <w:spacing w:after="0"/>
        <w:tabs>
          <w:tab w:leader="none" w:pos="1268"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interfere with the right of any Finance Party to arrange its affairs (tax or otherwise) in whatever manner it thinks fit;</w:t>
      </w:r>
    </w:p>
    <w:p>
      <w:pPr>
        <w:spacing w:after="0" w:line="131" w:lineRule="exact"/>
        <w:rPr>
          <w:rFonts w:ascii="Times New Roman" w:cs="Times New Roman" w:eastAsia="Times New Roman" w:hAnsi="Times New Roman"/>
          <w:sz w:val="17"/>
          <w:szCs w:val="17"/>
          <w:color w:val="auto"/>
        </w:rPr>
      </w:pPr>
    </w:p>
    <w:p>
      <w:pPr>
        <w:ind w:left="1268" w:right="500" w:hanging="523"/>
        <w:spacing w:after="0" w:line="295" w:lineRule="auto"/>
        <w:tabs>
          <w:tab w:leader="none" w:pos="1268"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oblige any Finance Party to investigate or claim any credit, relief, remission or repayment available to it or the extent, order and manner of any claim;</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oblige any Finance Party to disclose any information relating to its affairs (tax or otherwise) or any computations in respect of Tax; or</w:t>
      </w:r>
    </w:p>
    <w:p>
      <w:pPr>
        <w:spacing w:after="0" w:line="131" w:lineRule="exact"/>
        <w:rPr>
          <w:rFonts w:ascii="Times New Roman" w:cs="Times New Roman" w:eastAsia="Times New Roman" w:hAnsi="Times New Roman"/>
          <w:sz w:val="17"/>
          <w:szCs w:val="17"/>
          <w:color w:val="auto"/>
        </w:rPr>
      </w:pPr>
    </w:p>
    <w:p>
      <w:pPr>
        <w:ind w:left="1268" w:right="580" w:hanging="523"/>
        <w:spacing w:after="0" w:line="295" w:lineRule="auto"/>
        <w:tabs>
          <w:tab w:leader="none" w:pos="1268"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oblige any Finance Party to do or omit to do anything if it would, or might in its reasonable opinion, constitute a breach of any applicable anti-money laundering, economic or trade sanctions laws or regulations.</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5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Sharing among the Finance Parties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31.1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118" w:lineRule="exact"/>
        <w:rPr>
          <w:sz w:val="20"/>
          <w:szCs w:val="20"/>
          <w:color w:val="auto"/>
        </w:rPr>
      </w:pPr>
    </w:p>
    <w:p>
      <w:pPr>
        <w:ind w:left="748" w:right="220"/>
        <w:spacing w:after="0" w:line="277" w:lineRule="auto"/>
        <w:rPr>
          <w:sz w:val="20"/>
          <w:szCs w:val="20"/>
          <w:color w:val="auto"/>
        </w:rPr>
      </w:pPr>
      <w:r>
        <w:rPr>
          <w:rFonts w:ascii="Times New Roman" w:cs="Times New Roman" w:eastAsia="Times New Roman" w:hAnsi="Times New Roman"/>
          <w:sz w:val="17"/>
          <w:szCs w:val="17"/>
          <w:color w:val="auto"/>
        </w:rPr>
        <w:t>If a Finance Party (a “</w:t>
      </w:r>
      <w:r>
        <w:rPr>
          <w:rFonts w:ascii="Times New Roman" w:cs="Times New Roman" w:eastAsia="Times New Roman" w:hAnsi="Times New Roman"/>
          <w:sz w:val="17"/>
          <w:szCs w:val="17"/>
          <w:b w:val="1"/>
          <w:bCs w:val="1"/>
          <w:color w:val="auto"/>
        </w:rPr>
        <w:t>Recovering Finance Party</w:t>
      </w:r>
      <w:r>
        <w:rPr>
          <w:rFonts w:ascii="Times New Roman" w:cs="Times New Roman" w:eastAsia="Times New Roman" w:hAnsi="Times New Roman"/>
          <w:sz w:val="17"/>
          <w:szCs w:val="17"/>
          <w:color w:val="auto"/>
        </w:rPr>
        <w:t>”) receives or recovers any amount from the Company or any Subsidiary Guarantor other than in accordance with Clause 32 (</w:t>
      </w:r>
      <w:r>
        <w:rPr>
          <w:rFonts w:ascii="Times New Roman" w:cs="Times New Roman" w:eastAsia="Times New Roman" w:hAnsi="Times New Roman"/>
          <w:sz w:val="17"/>
          <w:szCs w:val="17"/>
          <w:i w:val="1"/>
          <w:iCs w:val="1"/>
          <w:color w:val="auto"/>
        </w:rPr>
        <w:t>Payment mechanics</w:t>
      </w:r>
      <w:r>
        <w:rPr>
          <w:rFonts w:ascii="Times New Roman" w:cs="Times New Roman" w:eastAsia="Times New Roman" w:hAnsi="Times New Roman"/>
          <w:sz w:val="17"/>
          <w:szCs w:val="17"/>
          <w:color w:val="auto"/>
        </w:rPr>
        <w:t>) or any corresponding provision of a Finance Document in respect of which that amount relates (in each case, a “</w:t>
      </w:r>
      <w:r>
        <w:rPr>
          <w:rFonts w:ascii="Times New Roman" w:cs="Times New Roman" w:eastAsia="Times New Roman" w:hAnsi="Times New Roman"/>
          <w:sz w:val="17"/>
          <w:szCs w:val="17"/>
          <w:b w:val="1"/>
          <w:bCs w:val="1"/>
          <w:color w:val="auto"/>
        </w:rPr>
        <w:t>Recovered Amount</w:t>
      </w:r>
      <w:r>
        <w:rPr>
          <w:rFonts w:ascii="Times New Roman" w:cs="Times New Roman" w:eastAsia="Times New Roman" w:hAnsi="Times New Roman"/>
          <w:sz w:val="17"/>
          <w:szCs w:val="17"/>
          <w:color w:val="auto"/>
        </w:rPr>
        <w:t>”) and applies that amount to a payment due under the Finance Documents then:</w:t>
      </w:r>
    </w:p>
    <w:p>
      <w:pPr>
        <w:spacing w:after="0" w:line="70" w:lineRule="exact"/>
        <w:rPr>
          <w:sz w:val="20"/>
          <w:szCs w:val="20"/>
          <w:color w:val="auto"/>
        </w:rPr>
      </w:pPr>
    </w:p>
    <w:p>
      <w:pPr>
        <w:ind w:left="1268" w:hanging="523"/>
        <w:spacing w:after="0"/>
        <w:tabs>
          <w:tab w:leader="none" w:pos="1268" w:val="left"/>
        </w:tabs>
        <w:numPr>
          <w:ilvl w:val="0"/>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Recovering Finance Party shall, within three (3) Business Days, notify details of the receipt or recovery, to the Agent;</w:t>
      </w:r>
    </w:p>
    <w:p>
      <w:pPr>
        <w:spacing w:after="0" w:line="131" w:lineRule="exact"/>
        <w:rPr>
          <w:rFonts w:ascii="Times New Roman" w:cs="Times New Roman" w:eastAsia="Times New Roman" w:hAnsi="Times New Roman"/>
          <w:sz w:val="17"/>
          <w:szCs w:val="17"/>
          <w:color w:val="auto"/>
        </w:rPr>
      </w:pPr>
    </w:p>
    <w:p>
      <w:pPr>
        <w:ind w:left="1268" w:right="200" w:hanging="523"/>
        <w:spacing w:after="0" w:line="269" w:lineRule="auto"/>
        <w:tabs>
          <w:tab w:leader="none" w:pos="1268" w:val="left"/>
        </w:tabs>
        <w:numPr>
          <w:ilvl w:val="0"/>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determine whether the receipt or recovery is in excess of the amount the Recovering Finance Party would have been paid had the receipt or recovery been received or made by the Agent and distributed in accordance with Clause 32 (Payment Mechanics), without taking account of any Tax which would be imposed on the Agent in relation to the receipt, recovery or distribution; and</w:t>
      </w:r>
    </w:p>
    <w:p>
      <w:pPr>
        <w:spacing w:after="0" w:line="77" w:lineRule="exact"/>
        <w:rPr>
          <w:rFonts w:ascii="Times New Roman" w:cs="Times New Roman" w:eastAsia="Times New Roman" w:hAnsi="Times New Roman"/>
          <w:sz w:val="17"/>
          <w:szCs w:val="17"/>
          <w:color w:val="auto"/>
        </w:rPr>
      </w:pPr>
    </w:p>
    <w:p>
      <w:pPr>
        <w:ind w:left="1268" w:right="680" w:hanging="523"/>
        <w:spacing w:after="0" w:line="276" w:lineRule="auto"/>
        <w:tabs>
          <w:tab w:leader="none" w:pos="1268" w:val="left"/>
        </w:tabs>
        <w:numPr>
          <w:ilvl w:val="0"/>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Recovering Finance Party shall, within three (3) Business Days of demand by the Agent, pay to the Agent an amount (the “</w:t>
      </w:r>
      <w:r>
        <w:rPr>
          <w:rFonts w:ascii="Times New Roman" w:cs="Times New Roman" w:eastAsia="Times New Roman" w:hAnsi="Times New Roman"/>
          <w:sz w:val="17"/>
          <w:szCs w:val="17"/>
          <w:b w:val="1"/>
          <w:bCs w:val="1"/>
          <w:color w:val="auto"/>
        </w:rPr>
        <w:t>Sharing Payment</w:t>
      </w:r>
      <w:r>
        <w:rPr>
          <w:rFonts w:ascii="Times New Roman" w:cs="Times New Roman" w:eastAsia="Times New Roman" w:hAnsi="Times New Roman"/>
          <w:sz w:val="17"/>
          <w:szCs w:val="17"/>
          <w:color w:val="auto"/>
        </w:rPr>
        <w:t>”) equal to such receipt or recovery less any amount which the Agent determines may be retained by the Recovering Finance Party as its share of any payment to be made, in accordance with Clause 32.6 (</w:t>
      </w:r>
      <w:r>
        <w:rPr>
          <w:rFonts w:ascii="Times New Roman" w:cs="Times New Roman" w:eastAsia="Times New Roman" w:hAnsi="Times New Roman"/>
          <w:sz w:val="17"/>
          <w:szCs w:val="17"/>
          <w:i w:val="1"/>
          <w:iCs w:val="1"/>
          <w:color w:val="auto"/>
        </w:rPr>
        <w:t>Partial payments</w:t>
      </w:r>
      <w:r>
        <w:rPr>
          <w:rFonts w:ascii="Times New Roman" w:cs="Times New Roman" w:eastAsia="Times New Roman" w:hAnsi="Times New Roman"/>
          <w:sz w:val="17"/>
          <w:szCs w:val="17"/>
          <w:color w:val="auto"/>
        </w:rPr>
        <w:t>).</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120" w:lineRule="exact"/>
        <w:rPr>
          <w:sz w:val="20"/>
          <w:szCs w:val="20"/>
          <w:color w:val="auto"/>
        </w:rPr>
      </w:pPr>
    </w:p>
    <w:p>
      <w:pPr>
        <w:ind w:left="748" w:right="240"/>
        <w:spacing w:after="0" w:line="269" w:lineRule="auto"/>
        <w:rPr>
          <w:sz w:val="20"/>
          <w:szCs w:val="20"/>
          <w:color w:val="auto"/>
        </w:rPr>
      </w:pPr>
      <w:r>
        <w:rPr>
          <w:rFonts w:ascii="Times New Roman" w:cs="Times New Roman" w:eastAsia="Times New Roman" w:hAnsi="Times New Roman"/>
          <w:sz w:val="17"/>
          <w:szCs w:val="17"/>
          <w:color w:val="auto"/>
        </w:rPr>
        <w:t>The Agent shall treat the Sharing Payment as if it had been paid by the Company or the relevant Subsidiary Guarantor (as applicable) and distribute it between the Finance Parties (other than the Recovering Finance Party) (the “</w:t>
      </w:r>
      <w:r>
        <w:rPr>
          <w:rFonts w:ascii="Times New Roman" w:cs="Times New Roman" w:eastAsia="Times New Roman" w:hAnsi="Times New Roman"/>
          <w:sz w:val="17"/>
          <w:szCs w:val="17"/>
          <w:b w:val="1"/>
          <w:bCs w:val="1"/>
          <w:color w:val="auto"/>
        </w:rPr>
        <w:t>Sharing Finance Parties</w:t>
      </w:r>
      <w:r>
        <w:rPr>
          <w:rFonts w:ascii="Times New Roman" w:cs="Times New Roman" w:eastAsia="Times New Roman" w:hAnsi="Times New Roman"/>
          <w:sz w:val="17"/>
          <w:szCs w:val="17"/>
          <w:color w:val="auto"/>
        </w:rPr>
        <w:t>”) in accordance with Clause 32.6 (</w:t>
      </w:r>
      <w:r>
        <w:rPr>
          <w:rFonts w:ascii="Times New Roman" w:cs="Times New Roman" w:eastAsia="Times New Roman" w:hAnsi="Times New Roman"/>
          <w:sz w:val="17"/>
          <w:szCs w:val="17"/>
          <w:i w:val="1"/>
          <w:iCs w:val="1"/>
          <w:color w:val="auto"/>
        </w:rPr>
        <w:t>Partial payments</w:t>
      </w:r>
      <w:r>
        <w:rPr>
          <w:rFonts w:ascii="Times New Roman" w:cs="Times New Roman" w:eastAsia="Times New Roman" w:hAnsi="Times New Roman"/>
          <w:sz w:val="17"/>
          <w:szCs w:val="17"/>
          <w:color w:val="auto"/>
        </w:rPr>
        <w:t>) towards the obligations of the Company or the relevant Subsidiary Guarantor (as applicable) to the Sharing Finance Parties.</w:t>
      </w:r>
    </w:p>
    <w:p>
      <w:pPr>
        <w:spacing w:after="0" w:line="104"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18" w:name="page419"/>
    <w:bookmarkEnd w:id="418"/>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31.3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131" w:lineRule="exact"/>
        <w:rPr>
          <w:sz w:val="20"/>
          <w:szCs w:val="20"/>
          <w:color w:val="auto"/>
        </w:rPr>
      </w:pPr>
    </w:p>
    <w:p>
      <w:pPr>
        <w:ind w:left="1260" w:right="120" w:hanging="523"/>
        <w:spacing w:after="0" w:line="270" w:lineRule="auto"/>
        <w:tabs>
          <w:tab w:leader="none" w:pos="1260"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distribution by the Agent under Clause 31.2 (</w:t>
      </w:r>
      <w:r>
        <w:rPr>
          <w:rFonts w:ascii="Times New Roman" w:cs="Times New Roman" w:eastAsia="Times New Roman" w:hAnsi="Times New Roman"/>
          <w:sz w:val="17"/>
          <w:szCs w:val="17"/>
          <w:i w:val="1"/>
          <w:iCs w:val="1"/>
          <w:color w:val="auto"/>
        </w:rPr>
        <w:t>Redistribution of payments</w:t>
      </w:r>
      <w:r>
        <w:rPr>
          <w:rFonts w:ascii="Times New Roman" w:cs="Times New Roman" w:eastAsia="Times New Roman" w:hAnsi="Times New Roman"/>
          <w:sz w:val="17"/>
          <w:szCs w:val="17"/>
          <w:color w:val="auto"/>
        </w:rPr>
        <w:t>) of a payment received by a Recovering Finance Party from the Company or a Subsidiary Guarantor, as between the Company or the relevant Subsidiary Guarantor (as applicable) and the Recovering Finance Party, an amount of the Recovered Amount equal to the Sharing Payment will be treated as not having been paid by the Company or the relevant Subsidiary Guarantor (as applicable).</w:t>
      </w:r>
    </w:p>
    <w:p>
      <w:pPr>
        <w:spacing w:after="0" w:line="76" w:lineRule="exact"/>
        <w:rPr>
          <w:rFonts w:ascii="Times New Roman" w:cs="Times New Roman" w:eastAsia="Times New Roman" w:hAnsi="Times New Roman"/>
          <w:sz w:val="17"/>
          <w:szCs w:val="17"/>
          <w:color w:val="auto"/>
        </w:rPr>
      </w:pPr>
    </w:p>
    <w:p>
      <w:pPr>
        <w:ind w:left="1260" w:right="140" w:hanging="523"/>
        <w:spacing w:after="0" w:line="276" w:lineRule="auto"/>
        <w:tabs>
          <w:tab w:leader="none" w:pos="1260"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to the extent that the Recovering Finance Party is not able to rely on its rights under paragraph (a) above, the Company or the relevant Subsidiary Guarantor (as applicable) shall be liable to the Recovering Finance Party for a debt equal to the Sharing Payment which is immediately due and payable.</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120" w:lineRule="exact"/>
        <w:rPr>
          <w:sz w:val="20"/>
          <w:szCs w:val="20"/>
          <w:color w:val="auto"/>
        </w:rPr>
      </w:pPr>
    </w:p>
    <w:p>
      <w:pPr>
        <w:ind w:left="740" w:right="100"/>
        <w:spacing w:after="0" w:line="295" w:lineRule="auto"/>
        <w:rPr>
          <w:sz w:val="20"/>
          <w:szCs w:val="20"/>
          <w:color w:val="auto"/>
        </w:rPr>
      </w:pPr>
      <w:r>
        <w:rPr>
          <w:rFonts w:ascii="Times New Roman" w:cs="Times New Roman" w:eastAsia="Times New Roman" w:hAnsi="Times New Roman"/>
          <w:sz w:val="17"/>
          <w:szCs w:val="17"/>
          <w:color w:val="auto"/>
        </w:rPr>
        <w:t>If any part of the Sharing Payment received or recovered by a Recovering Finance Party becomes repayable and is repaid by that Recovering Finance Party, then:</w:t>
      </w:r>
    </w:p>
    <w:p>
      <w:pPr>
        <w:spacing w:after="0" w:line="55" w:lineRule="exact"/>
        <w:rPr>
          <w:sz w:val="20"/>
          <w:szCs w:val="20"/>
          <w:color w:val="auto"/>
        </w:rPr>
      </w:pPr>
    </w:p>
    <w:p>
      <w:pPr>
        <w:ind w:left="1260" w:right="20" w:hanging="523"/>
        <w:spacing w:after="0" w:line="269" w:lineRule="auto"/>
        <w:tabs>
          <w:tab w:leader="none" w:pos="1260"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7"/>
          <w:szCs w:val="17"/>
          <w:b w:val="1"/>
          <w:bCs w:val="1"/>
          <w:color w:val="auto"/>
        </w:rPr>
        <w:t>Redistributed Amount</w:t>
      </w:r>
      <w:r>
        <w:rPr>
          <w:rFonts w:ascii="Times New Roman" w:cs="Times New Roman" w:eastAsia="Times New Roman" w:hAnsi="Times New Roman"/>
          <w:sz w:val="17"/>
          <w:szCs w:val="17"/>
          <w:color w:val="auto"/>
        </w:rPr>
        <w:t>”); and</w:t>
      </w:r>
    </w:p>
    <w:p>
      <w:pPr>
        <w:spacing w:after="0" w:line="77" w:lineRule="exact"/>
        <w:rPr>
          <w:rFonts w:ascii="Times New Roman" w:cs="Times New Roman" w:eastAsia="Times New Roman" w:hAnsi="Times New Roman"/>
          <w:sz w:val="17"/>
          <w:szCs w:val="17"/>
          <w:color w:val="auto"/>
        </w:rPr>
      </w:pPr>
    </w:p>
    <w:p>
      <w:pPr>
        <w:ind w:left="1260" w:right="340" w:hanging="523"/>
        <w:spacing w:after="0" w:line="276" w:lineRule="auto"/>
        <w:tabs>
          <w:tab w:leader="none" w:pos="1260"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between the Company or the relevant Subsidiary Guarantor (as applicable) and each relevant Sharing Finance Party, an amount equal to the relevant Redistributed Amount will be treated as not having been paid by the Company or the relevant Subsidiary Guarantor (as applicable).</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1260" w:right="200" w:hanging="523"/>
        <w:spacing w:after="0" w:line="295" w:lineRule="auto"/>
        <w:tabs>
          <w:tab w:leader="none" w:pos="1260"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Clause 31 shall not apply to the extent that the Recovering Finance Party would not, after making any payment pursuant to this Clause 31, have a valid and enforceable claim against the Company or the relevant Subsidiary Guarantor (as applicable).</w:t>
      </w:r>
    </w:p>
    <w:p>
      <w:pPr>
        <w:spacing w:after="0" w:line="55" w:lineRule="exact"/>
        <w:rPr>
          <w:rFonts w:ascii="Times New Roman" w:cs="Times New Roman" w:eastAsia="Times New Roman" w:hAnsi="Times New Roman"/>
          <w:sz w:val="17"/>
          <w:szCs w:val="17"/>
          <w:color w:val="auto"/>
        </w:rPr>
      </w:pPr>
    </w:p>
    <w:p>
      <w:pPr>
        <w:ind w:left="1260" w:right="60" w:hanging="523"/>
        <w:spacing w:after="0" w:line="295" w:lineRule="auto"/>
        <w:tabs>
          <w:tab w:leader="none" w:pos="1260"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Recovering Finance Party is not obliged to share with any other Finance Party any amount which the Recovering Finance Party has received or recovered as a result of taking legal or arbitration proceedings, if:</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notified the other Finance Party of the legal or arbitration proceedings; and</w:t>
      </w:r>
    </w:p>
    <w:p>
      <w:pPr>
        <w:spacing w:after="0" w:line="131" w:lineRule="exact"/>
        <w:rPr>
          <w:rFonts w:ascii="Times New Roman" w:cs="Times New Roman" w:eastAsia="Times New Roman" w:hAnsi="Times New Roman"/>
          <w:sz w:val="17"/>
          <w:szCs w:val="17"/>
          <w:color w:val="auto"/>
        </w:rPr>
      </w:pPr>
    </w:p>
    <w:p>
      <w:pPr>
        <w:ind w:left="1880" w:right="60" w:hanging="620"/>
        <w:spacing w:after="0" w:line="295" w:lineRule="auto"/>
        <w:tabs>
          <w:tab w:leader="none" w:pos="1880"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419" w:name="page420"/>
    <w:bookmarkEnd w:id="419"/>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11</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229" w:lineRule="exact"/>
        <w:rPr>
          <w:sz w:val="20"/>
          <w:szCs w:val="20"/>
          <w:color w:val="auto"/>
        </w:rPr>
      </w:pPr>
    </w:p>
    <w:p>
      <w:pPr>
        <w:ind w:left="748" w:hanging="748"/>
        <w:spacing w:after="0"/>
        <w:tabs>
          <w:tab w:leader="none" w:pos="748" w:val="left"/>
        </w:tabs>
        <w:numPr>
          <w:ilvl w:val="0"/>
          <w:numId w:val="5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w:t>
      </w:r>
    </w:p>
    <w:p>
      <w:pPr>
        <w:spacing w:after="0" w:line="131" w:lineRule="exact"/>
        <w:rPr>
          <w:rFonts w:ascii="Times New Roman" w:cs="Times New Roman" w:eastAsia="Times New Roman" w:hAnsi="Times New Roman"/>
          <w:sz w:val="17"/>
          <w:szCs w:val="17"/>
          <w:b w:val="1"/>
          <w:bCs w:val="1"/>
          <w:color w:val="auto"/>
        </w:rPr>
      </w:pPr>
    </w:p>
    <w:p>
      <w:pPr>
        <w:ind w:left="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32.1Payments to the Agent</w:t>
      </w:r>
    </w:p>
    <w:p>
      <w:pPr>
        <w:spacing w:after="0" w:line="133" w:lineRule="exact"/>
        <w:rPr>
          <w:rFonts w:ascii="Times New Roman" w:cs="Times New Roman" w:eastAsia="Times New Roman" w:hAnsi="Times New Roman"/>
          <w:sz w:val="17"/>
          <w:szCs w:val="17"/>
          <w:b w:val="1"/>
          <w:bCs w:val="1"/>
          <w:color w:val="auto"/>
        </w:rPr>
      </w:pPr>
    </w:p>
    <w:p>
      <w:pPr>
        <w:ind w:left="1268" w:right="80" w:hanging="523"/>
        <w:spacing w:after="0" w:line="269" w:lineRule="auto"/>
        <w:tabs>
          <w:tab w:leader="none" w:pos="1268"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each date (or such other date) on which the Company or a Lender is required to make a payment under a Finance Document the Company or Lender (as applicable) shall make the same available to the Agent (unless a contrary indication appears in a Finance Document) for value on the due date or such other date at the time and in such funds specified by the Agent as being customary at the time for settlement of transactions in the relevant currency in the place of payment.</w:t>
      </w:r>
    </w:p>
    <w:p>
      <w:pPr>
        <w:spacing w:after="0" w:line="77" w:lineRule="exact"/>
        <w:rPr>
          <w:rFonts w:ascii="Times New Roman" w:cs="Times New Roman" w:eastAsia="Times New Roman" w:hAnsi="Times New Roman"/>
          <w:sz w:val="17"/>
          <w:szCs w:val="17"/>
          <w:color w:val="auto"/>
        </w:rPr>
      </w:pPr>
    </w:p>
    <w:p>
      <w:pPr>
        <w:ind w:left="1268" w:right="440" w:hanging="523"/>
        <w:spacing w:after="0" w:line="295" w:lineRule="auto"/>
        <w:tabs>
          <w:tab w:leader="none" w:pos="1268"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be made to such account in the principal financial centre of the country of that currency and with such bank as the Agent, in each case, specifies.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32.2</w:t>
      </w:r>
      <w:r>
        <w:rPr>
          <w:sz w:val="20"/>
          <w:szCs w:val="20"/>
          <w:color w:val="auto"/>
        </w:rPr>
        <w:tab/>
      </w:r>
      <w:r>
        <w:rPr>
          <w:rFonts w:ascii="Times New Roman" w:cs="Times New Roman" w:eastAsia="Times New Roman" w:hAnsi="Times New Roman"/>
          <w:sz w:val="17"/>
          <w:szCs w:val="17"/>
          <w:b w:val="1"/>
          <w:bCs w:val="1"/>
          <w:color w:val="auto"/>
        </w:rPr>
        <w:t>Distributions by the Agent</w:t>
      </w:r>
    </w:p>
    <w:p>
      <w:pPr>
        <w:spacing w:after="0" w:line="131" w:lineRule="exact"/>
        <w:rPr>
          <w:sz w:val="20"/>
          <w:szCs w:val="20"/>
          <w:color w:val="auto"/>
        </w:rPr>
      </w:pPr>
    </w:p>
    <w:p>
      <w:pPr>
        <w:ind w:left="1268" w:right="20" w:hanging="523"/>
        <w:spacing w:after="0" w:line="267" w:lineRule="auto"/>
        <w:tabs>
          <w:tab w:leader="none" w:pos="1268"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received by the Agent under the Finance Documents for another Party shall, subject to Clause 32.3 (</w:t>
      </w:r>
      <w:r>
        <w:rPr>
          <w:rFonts w:ascii="Times New Roman" w:cs="Times New Roman" w:eastAsia="Times New Roman" w:hAnsi="Times New Roman"/>
          <w:sz w:val="17"/>
          <w:szCs w:val="17"/>
          <w:i w:val="1"/>
          <w:iCs w:val="1"/>
          <w:color w:val="auto"/>
        </w:rPr>
        <w:t>Distributions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Clause 32.4 (</w:t>
      </w:r>
      <w:r>
        <w:rPr>
          <w:rFonts w:ascii="Times New Roman" w:cs="Times New Roman" w:eastAsia="Times New Roman" w:hAnsi="Times New Roman"/>
          <w:sz w:val="17"/>
          <w:szCs w:val="17"/>
          <w:i w:val="1"/>
          <w:iCs w:val="1"/>
          <w:color w:val="auto"/>
        </w:rPr>
        <w:t>Clawback</w:t>
      </w:r>
      <w:r>
        <w:rPr>
          <w:rFonts w:ascii="Times New Roman" w:cs="Times New Roman" w:eastAsia="Times New Roman" w:hAnsi="Times New Roman"/>
          <w:sz w:val="17"/>
          <w:szCs w:val="17"/>
          <w:color w:val="auto"/>
        </w:rPr>
        <w:t>) be made available by the Agent as soon as practicable after receipt to the Party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payment in accordance with this Agreement (in the case of a Lender, for the account of its Facility Office), to such account as that Party may notify to the Agent by not less than five (5) Business Days’ notice with a bank specified by that Party in the principal financial centre of the country of that currency.</w:t>
      </w:r>
    </w:p>
    <w:p>
      <w:pPr>
        <w:spacing w:after="0" w:line="77" w:lineRule="exact"/>
        <w:rPr>
          <w:rFonts w:ascii="Times New Roman" w:cs="Times New Roman" w:eastAsia="Times New Roman" w:hAnsi="Times New Roman"/>
          <w:sz w:val="17"/>
          <w:szCs w:val="17"/>
          <w:color w:val="auto"/>
        </w:rPr>
      </w:pPr>
    </w:p>
    <w:p>
      <w:pPr>
        <w:ind w:left="1268" w:right="140" w:hanging="523"/>
        <w:spacing w:after="0" w:line="269" w:lineRule="auto"/>
        <w:tabs>
          <w:tab w:leader="none" w:pos="1268"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distribute payments received by it in relation to all or any part of a Loan to the Lender indicated in the records of the Agent as being so entitled on that date provided that the Agent is authorised to distribute payments to be made on the date on which any transfer becomes effective pursuant to Clause 26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 to the Lender so entitled immediately before such transfer took place regardless of the period to which such sums relate.</w:t>
      </w:r>
    </w:p>
    <w:p>
      <w:pPr>
        <w:spacing w:after="0" w:line="31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32.3</w:t>
      </w:r>
      <w:r>
        <w:rPr>
          <w:sz w:val="20"/>
          <w:szCs w:val="20"/>
          <w:color w:val="auto"/>
        </w:rPr>
        <w:tab/>
      </w:r>
      <w:r>
        <w:rPr>
          <w:rFonts w:ascii="Times New Roman" w:cs="Times New Roman" w:eastAsia="Times New Roman" w:hAnsi="Times New Roman"/>
          <w:sz w:val="17"/>
          <w:szCs w:val="17"/>
          <w:b w:val="1"/>
          <w:bCs w:val="1"/>
          <w:color w:val="auto"/>
        </w:rPr>
        <w:t>Distributions to the Company</w:t>
      </w:r>
    </w:p>
    <w:p>
      <w:pPr>
        <w:spacing w:after="0" w:line="118" w:lineRule="exact"/>
        <w:rPr>
          <w:sz w:val="20"/>
          <w:szCs w:val="20"/>
          <w:color w:val="auto"/>
        </w:rPr>
      </w:pPr>
    </w:p>
    <w:p>
      <w:pPr>
        <w:ind w:left="748" w:right="500"/>
        <w:spacing w:after="0" w:line="277" w:lineRule="auto"/>
        <w:rPr>
          <w:sz w:val="20"/>
          <w:szCs w:val="20"/>
          <w:color w:val="auto"/>
        </w:rPr>
      </w:pPr>
      <w:r>
        <w:rPr>
          <w:rFonts w:ascii="Times New Roman" w:cs="Times New Roman" w:eastAsia="Times New Roman" w:hAnsi="Times New Roman"/>
          <w:sz w:val="17"/>
          <w:szCs w:val="17"/>
          <w:color w:val="auto"/>
        </w:rPr>
        <w:t>The Agent may (with the consent of the Company or in accordance with Clause 33 (</w:t>
      </w:r>
      <w:r>
        <w:rPr>
          <w:rFonts w:ascii="Times New Roman" w:cs="Times New Roman" w:eastAsia="Times New Roman" w:hAnsi="Times New Roman"/>
          <w:sz w:val="17"/>
          <w:szCs w:val="17"/>
          <w:i w:val="1"/>
          <w:iCs w:val="1"/>
          <w:color w:val="auto"/>
        </w:rPr>
        <w:t>Set-Off</w:t>
      </w:r>
      <w:r>
        <w:rPr>
          <w:rFonts w:ascii="Times New Roman" w:cs="Times New Roman" w:eastAsia="Times New Roman" w:hAnsi="Times New Roman"/>
          <w:sz w:val="17"/>
          <w:szCs w:val="17"/>
          <w:color w:val="auto"/>
        </w:rPr>
        <w:t>)) apply any amount received by it for the Company in or towards payment (on the date and in the currency and funds of receipt) of any amount due from the Company under the Finance Documents or in or towards purchase of any amount of any currency to be so applied.</w:t>
      </w:r>
    </w:p>
    <w:p>
      <w:pPr>
        <w:spacing w:after="0" w:line="303"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32.4</w:t>
      </w:r>
      <w:r>
        <w:rPr>
          <w:sz w:val="20"/>
          <w:szCs w:val="20"/>
          <w:color w:val="auto"/>
        </w:rPr>
        <w:tab/>
      </w:r>
      <w:r>
        <w:rPr>
          <w:rFonts w:ascii="Times New Roman" w:cs="Times New Roman" w:eastAsia="Times New Roman" w:hAnsi="Times New Roman"/>
          <w:sz w:val="17"/>
          <w:szCs w:val="17"/>
          <w:b w:val="1"/>
          <w:bCs w:val="1"/>
          <w:color w:val="auto"/>
        </w:rPr>
        <w:t>Clawback and pre-funding</w:t>
      </w:r>
    </w:p>
    <w:p>
      <w:pPr>
        <w:spacing w:after="0" w:line="133" w:lineRule="exact"/>
        <w:rPr>
          <w:sz w:val="20"/>
          <w:szCs w:val="20"/>
          <w:color w:val="auto"/>
        </w:rPr>
      </w:pPr>
    </w:p>
    <w:p>
      <w:pPr>
        <w:jc w:val="both"/>
        <w:ind w:left="1268" w:right="240" w:hanging="523"/>
        <w:spacing w:after="0" w:line="276" w:lineRule="auto"/>
        <w:tabs>
          <w:tab w:leader="none" w:pos="1268"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70" w:lineRule="exact"/>
        <w:rPr>
          <w:rFonts w:ascii="Times New Roman" w:cs="Times New Roman" w:eastAsia="Times New Roman" w:hAnsi="Times New Roman"/>
          <w:sz w:val="17"/>
          <w:szCs w:val="17"/>
          <w:color w:val="auto"/>
        </w:rPr>
      </w:pPr>
    </w:p>
    <w:p>
      <w:pPr>
        <w:ind w:left="1268" w:right="40" w:hanging="523"/>
        <w:spacing w:after="0" w:line="269" w:lineRule="auto"/>
        <w:tabs>
          <w:tab w:leader="none" w:pos="1268"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77" w:lineRule="exact"/>
        <w:rPr>
          <w:rFonts w:ascii="Times New Roman" w:cs="Times New Roman" w:eastAsia="Times New Roman" w:hAnsi="Times New Roman"/>
          <w:sz w:val="17"/>
          <w:szCs w:val="17"/>
          <w:color w:val="auto"/>
        </w:rPr>
      </w:pPr>
    </w:p>
    <w:p>
      <w:pPr>
        <w:ind w:left="1268" w:right="200" w:hanging="523"/>
        <w:spacing w:after="0" w:line="276" w:lineRule="auto"/>
        <w:tabs>
          <w:tab w:leader="none" w:pos="1268"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has notified the Lenders that it is willing to make available amounts for the account of the Company before receiving funds from the Lenders then if and to the extent that the Agent does so but it proves to be the case that it does not then receive funds from a Lender in respect of a sum which it paid to the Company:</w:t>
      </w:r>
    </w:p>
    <w:p>
      <w:pPr>
        <w:spacing w:after="0" w:line="7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notify the Company of that Lender’s identity and the Company shall on demand refund it to the Agent; and</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20" w:name="page421"/>
    <w:bookmarkEnd w:id="420"/>
    <w:p>
      <w:pPr>
        <w:jc w:val="both"/>
        <w:ind w:left="1880" w:right="320" w:hanging="620"/>
        <w:spacing w:after="0" w:line="276" w:lineRule="auto"/>
        <w:tabs>
          <w:tab w:leader="none" w:pos="188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Lender by whom those funds should have been made available or, if that Lender fails to do so, the Company shall on demand pay to the Agent the amount (as certified by the Agent) which will indemnify the Agent against any funding cost incurred by it as a result of paying out that sum before receiving those funds from that Lender.</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133" w:lineRule="exact"/>
        <w:rPr>
          <w:sz w:val="20"/>
          <w:szCs w:val="20"/>
          <w:color w:val="auto"/>
        </w:rPr>
      </w:pPr>
    </w:p>
    <w:p>
      <w:pPr>
        <w:ind w:left="1260" w:right="600" w:hanging="523"/>
        <w:spacing w:after="0" w:line="295" w:lineRule="auto"/>
        <w:tabs>
          <w:tab w:leader="none" w:pos="1260" w:val="left"/>
        </w:tabs>
        <w:numPr>
          <w:ilvl w:val="0"/>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Agent becomes an Impaired Agent, any other Party which is required to make a payment under the Finance Documents to the Agent in accordance with Clause 32.1 (</w:t>
      </w:r>
      <w:r>
        <w:rPr>
          <w:rFonts w:ascii="Times New Roman" w:cs="Times New Roman" w:eastAsia="Times New Roman" w:hAnsi="Times New Roman"/>
          <w:sz w:val="17"/>
          <w:szCs w:val="17"/>
          <w:i w:val="1"/>
          <w:iCs w:val="1"/>
          <w:color w:val="auto"/>
        </w:rPr>
        <w:t>Payments to the Agent</w:t>
      </w:r>
      <w:r>
        <w:rPr>
          <w:rFonts w:ascii="Times New Roman" w:cs="Times New Roman" w:eastAsia="Times New Roman" w:hAnsi="Times New Roman"/>
          <w:sz w:val="17"/>
          <w:szCs w:val="17"/>
          <w:color w:val="auto"/>
        </w:rPr>
        <w:t>) may instead either:</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that amount direct to the required recipient(s); or</w:t>
      </w:r>
    </w:p>
    <w:p>
      <w:pPr>
        <w:spacing w:after="0" w:line="131" w:lineRule="exact"/>
        <w:rPr>
          <w:rFonts w:ascii="Times New Roman" w:cs="Times New Roman" w:eastAsia="Times New Roman" w:hAnsi="Times New Roman"/>
          <w:sz w:val="17"/>
          <w:szCs w:val="17"/>
          <w:color w:val="auto"/>
        </w:rPr>
      </w:pPr>
    </w:p>
    <w:p>
      <w:pPr>
        <w:ind w:left="1880" w:right="60" w:hanging="620"/>
        <w:spacing w:after="0" w:line="264" w:lineRule="auto"/>
        <w:tabs>
          <w:tab w:leader="none" w:pos="1880" w:val="left"/>
        </w:tabs>
        <w:numPr>
          <w:ilvl w:val="1"/>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Party making the payment (the “</w:t>
      </w:r>
      <w:r>
        <w:rPr>
          <w:rFonts w:ascii="Times New Roman" w:cs="Times New Roman" w:eastAsia="Times New Roman" w:hAnsi="Times New Roman"/>
          <w:sz w:val="17"/>
          <w:szCs w:val="17"/>
          <w:b w:val="1"/>
          <w:bCs w:val="1"/>
          <w:color w:val="auto"/>
        </w:rPr>
        <w:t>Paying Party</w:t>
      </w:r>
      <w:r>
        <w:rPr>
          <w:rFonts w:ascii="Times New Roman" w:cs="Times New Roman" w:eastAsia="Times New Roman" w:hAnsi="Times New Roman"/>
          <w:sz w:val="17"/>
          <w:szCs w:val="17"/>
          <w:color w:val="auto"/>
        </w:rPr>
        <w:t>”) and designated as a trust account for the benefit of the Party or Parties beneficially entitled to that payment under the Finance Documents (the “</w:t>
      </w:r>
      <w:r>
        <w:rPr>
          <w:rFonts w:ascii="Times New Roman" w:cs="Times New Roman" w:eastAsia="Times New Roman" w:hAnsi="Times New Roman"/>
          <w:sz w:val="17"/>
          <w:szCs w:val="17"/>
          <w:b w:val="1"/>
          <w:bCs w:val="1"/>
          <w:color w:val="auto"/>
        </w:rPr>
        <w:t>Recipient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Recipient Parties</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In each case such payments must be made on the due date for payment under the Finance Documents.</w:t>
      </w:r>
    </w:p>
    <w:p>
      <w:pPr>
        <w:spacing w:after="0" w:line="131" w:lineRule="exact"/>
        <w:rPr>
          <w:sz w:val="20"/>
          <w:szCs w:val="20"/>
          <w:color w:val="auto"/>
        </w:rPr>
      </w:pPr>
    </w:p>
    <w:p>
      <w:pPr>
        <w:ind w:left="1260" w:right="480" w:hanging="523"/>
        <w:spacing w:after="0" w:line="295" w:lineRule="auto"/>
        <w:tabs>
          <w:tab w:leader="none" w:pos="126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interest accrued on the amount standing to the credit of the trust account shall be for the benefit of the Recipient Party or the Recipient Parties pro rata to their respective entitlements.</w:t>
      </w:r>
    </w:p>
    <w:p>
      <w:pPr>
        <w:spacing w:after="0" w:line="55" w:lineRule="exact"/>
        <w:rPr>
          <w:rFonts w:ascii="Times New Roman" w:cs="Times New Roman" w:eastAsia="Times New Roman" w:hAnsi="Times New Roman"/>
          <w:sz w:val="17"/>
          <w:szCs w:val="17"/>
          <w:color w:val="auto"/>
        </w:rPr>
      </w:pPr>
    </w:p>
    <w:p>
      <w:pPr>
        <w:ind w:left="1260" w:right="160" w:hanging="523"/>
        <w:spacing w:after="0" w:line="295" w:lineRule="auto"/>
        <w:tabs>
          <w:tab w:leader="none" w:pos="126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Party which has made a payment in accordance with this Clause 32.5 shall be discharged of the relevant payment obligation under the Finance Documents and shall not take any credit risk with respect to the amounts standing to the credit of the trust account.</w:t>
      </w:r>
    </w:p>
    <w:p>
      <w:pPr>
        <w:spacing w:after="0" w:line="53" w:lineRule="exact"/>
        <w:rPr>
          <w:rFonts w:ascii="Times New Roman" w:cs="Times New Roman" w:eastAsia="Times New Roman" w:hAnsi="Times New Roman"/>
          <w:sz w:val="17"/>
          <w:szCs w:val="17"/>
          <w:color w:val="auto"/>
        </w:rPr>
      </w:pPr>
    </w:p>
    <w:p>
      <w:pPr>
        <w:ind w:left="1260" w:right="80" w:hanging="523"/>
        <w:spacing w:after="0" w:line="270" w:lineRule="auto"/>
        <w:tabs>
          <w:tab w:leader="none" w:pos="126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appointment of a successor Agent in accordance with Clause 29.12 (</w:t>
      </w:r>
      <w:r>
        <w:rPr>
          <w:rFonts w:ascii="Times New Roman" w:cs="Times New Roman" w:eastAsia="Times New Roman" w:hAnsi="Times New Roman"/>
          <w:sz w:val="17"/>
          <w:szCs w:val="17"/>
          <w:i w:val="1"/>
          <w:iCs w:val="1"/>
          <w:color w:val="auto"/>
        </w:rPr>
        <w:t>Replacement of the Agent</w:t>
      </w:r>
      <w:r>
        <w:rPr>
          <w:rFonts w:ascii="Times New Roman" w:cs="Times New Roman" w:eastAsia="Times New Roman" w:hAnsi="Times New Roman"/>
          <w:sz w:val="17"/>
          <w:szCs w:val="17"/>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in accordance with Clause 32.2 (</w:t>
      </w:r>
      <w:r>
        <w:rPr>
          <w:rFonts w:ascii="Times New Roman" w:cs="Times New Roman" w:eastAsia="Times New Roman" w:hAnsi="Times New Roman"/>
          <w:sz w:val="17"/>
          <w:szCs w:val="17"/>
          <w:i w:val="1"/>
          <w:iCs w:val="1"/>
          <w:color w:val="auto"/>
        </w:rPr>
        <w:t>Distributions by the Agent</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Paying Party shall, promptly upon request by a Recipient Party and to the extent: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has not given an instruction pursuant to paragraph (d) above; and</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has been provided with the necessary information by that Recipient Party,</w:t>
      </w:r>
    </w:p>
    <w:p>
      <w:pPr>
        <w:spacing w:after="0" w:line="118" w:lineRule="exact"/>
        <w:rPr>
          <w:sz w:val="20"/>
          <w:szCs w:val="20"/>
          <w:color w:val="auto"/>
        </w:rPr>
      </w:pPr>
    </w:p>
    <w:p>
      <w:pPr>
        <w:ind w:left="1280" w:right="520"/>
        <w:spacing w:after="0" w:line="295" w:lineRule="auto"/>
        <w:rPr>
          <w:sz w:val="20"/>
          <w:szCs w:val="20"/>
          <w:color w:val="auto"/>
        </w:rPr>
      </w:pPr>
      <w:r>
        <w:rPr>
          <w:rFonts w:ascii="Times New Roman" w:cs="Times New Roman" w:eastAsia="Times New Roman" w:hAnsi="Times New Roman"/>
          <w:sz w:val="17"/>
          <w:szCs w:val="17"/>
          <w:color w:val="auto"/>
        </w:rPr>
        <w:t>give all requisite instructions to the bank with whom the trust account is held to transfer the relevant amount (together with any accrued interest) to that Recipient Party.</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21" w:name="page422"/>
    <w:bookmarkEnd w:id="421"/>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32.6</w:t>
      </w:r>
      <w:r>
        <w:rPr>
          <w:sz w:val="20"/>
          <w:szCs w:val="20"/>
          <w:color w:val="auto"/>
        </w:rPr>
        <w:tab/>
      </w:r>
      <w:r>
        <w:rPr>
          <w:rFonts w:ascii="Times New Roman" w:cs="Times New Roman" w:eastAsia="Times New Roman" w:hAnsi="Times New Roman"/>
          <w:sz w:val="17"/>
          <w:szCs w:val="17"/>
          <w:b w:val="1"/>
          <w:bCs w:val="1"/>
          <w:color w:val="auto"/>
        </w:rPr>
        <w:t>Partial payments</w:t>
      </w:r>
    </w:p>
    <w:p>
      <w:pPr>
        <w:spacing w:after="0" w:line="133" w:lineRule="exact"/>
        <w:rPr>
          <w:sz w:val="20"/>
          <w:szCs w:val="20"/>
          <w:color w:val="auto"/>
        </w:rPr>
      </w:pPr>
    </w:p>
    <w:p>
      <w:pPr>
        <w:ind w:left="1260" w:right="120" w:hanging="523"/>
        <w:spacing w:after="0" w:line="276" w:lineRule="auto"/>
        <w:tabs>
          <w:tab w:leader="none" w:pos="126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receives a payment for application against amounts due in respect of any Finance Documents that is insufficient to discharge all the amounts then due and payable by the Company under those Finance Documents, the Agent shall apply that payment towards the obligations of the Company under those Finance Documents in the following order:</w:t>
      </w:r>
    </w:p>
    <w:p>
      <w:pPr>
        <w:spacing w:after="0" w:line="68" w:lineRule="exact"/>
        <w:rPr>
          <w:rFonts w:ascii="Times New Roman" w:cs="Times New Roman" w:eastAsia="Times New Roman" w:hAnsi="Times New Roman"/>
          <w:sz w:val="17"/>
          <w:szCs w:val="17"/>
          <w:color w:val="auto"/>
        </w:rPr>
      </w:pPr>
    </w:p>
    <w:p>
      <w:pPr>
        <w:ind w:left="1880" w:right="680" w:hanging="620"/>
        <w:spacing w:after="0" w:line="298" w:lineRule="auto"/>
        <w:tabs>
          <w:tab w:leader="none" w:pos="188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firstly</w:t>
      </w:r>
      <w:r>
        <w:rPr>
          <w:rFonts w:ascii="Times New Roman" w:cs="Times New Roman" w:eastAsia="Times New Roman" w:hAnsi="Times New Roman"/>
          <w:sz w:val="17"/>
          <w:szCs w:val="17"/>
          <w:color w:val="auto"/>
        </w:rPr>
        <w:t>, in or towards payment</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of any unpaid fees, costs and expenses or other amounts of the Agent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Arrangers under those Finance Documents;</w:t>
      </w:r>
    </w:p>
    <w:p>
      <w:pPr>
        <w:spacing w:after="0" w:line="50" w:lineRule="exact"/>
        <w:rPr>
          <w:rFonts w:ascii="Times New Roman" w:cs="Times New Roman" w:eastAsia="Times New Roman" w:hAnsi="Times New Roman"/>
          <w:sz w:val="17"/>
          <w:szCs w:val="17"/>
          <w:color w:val="auto"/>
        </w:rPr>
      </w:pPr>
    </w:p>
    <w:p>
      <w:pPr>
        <w:ind w:left="1880" w:right="20" w:hanging="620"/>
        <w:spacing w:after="0" w:line="298" w:lineRule="auto"/>
        <w:tabs>
          <w:tab w:leader="none" w:pos="188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secondly</w:t>
      </w:r>
      <w:r>
        <w:rPr>
          <w:rFonts w:ascii="Times New Roman" w:cs="Times New Roman" w:eastAsia="Times New Roman" w:hAnsi="Times New Roman"/>
          <w:sz w:val="17"/>
          <w:szCs w:val="17"/>
          <w:color w:val="auto"/>
        </w:rPr>
        <w:t>, in payment pro rata of all amounts paid by any Finance Party under Clause 29.10 (</w:t>
      </w:r>
      <w:r>
        <w:rPr>
          <w:rFonts w:ascii="Times New Roman" w:cs="Times New Roman" w:eastAsia="Times New Roman" w:hAnsi="Times New Roman"/>
          <w:sz w:val="17"/>
          <w:szCs w:val="17"/>
          <w:i w:val="1"/>
          <w:iCs w:val="1"/>
          <w:color w:val="auto"/>
        </w:rPr>
        <w:t>Lenders’ indemnity to the Agent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which have not been reimbursed by the Company;</w:t>
      </w:r>
    </w:p>
    <w:p>
      <w:pPr>
        <w:spacing w:after="0" w:line="50" w:lineRule="exact"/>
        <w:rPr>
          <w:rFonts w:ascii="Times New Roman" w:cs="Times New Roman" w:eastAsia="Times New Roman" w:hAnsi="Times New Roman"/>
          <w:sz w:val="17"/>
          <w:szCs w:val="17"/>
          <w:color w:val="auto"/>
        </w:rPr>
      </w:pPr>
    </w:p>
    <w:p>
      <w:pPr>
        <w:ind w:left="1880" w:right="360" w:hanging="620"/>
        <w:spacing w:after="0" w:line="298" w:lineRule="auto"/>
        <w:tabs>
          <w:tab w:leader="none" w:pos="188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thirdly</w:t>
      </w:r>
      <w:r>
        <w:rPr>
          <w:rFonts w:ascii="Times New Roman" w:cs="Times New Roman" w:eastAsia="Times New Roman" w:hAnsi="Times New Roman"/>
          <w:sz w:val="17"/>
          <w:szCs w:val="17"/>
          <w:color w:val="auto"/>
        </w:rPr>
        <w:t>, in or towards payment of any accrued interest, costs, fees and expenses due and payable to the Lenders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Finance Documents; and</w:t>
      </w:r>
    </w:p>
    <w:p>
      <w:pPr>
        <w:spacing w:after="0" w:line="50"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fourthly</w:t>
      </w:r>
      <w:r>
        <w:rPr>
          <w:rFonts w:ascii="Times New Roman" w:cs="Times New Roman" w:eastAsia="Times New Roman" w:hAnsi="Times New Roman"/>
          <w:sz w:val="17"/>
          <w:szCs w:val="17"/>
          <w:color w:val="auto"/>
        </w:rPr>
        <w:t>, payment pro rata of any principal due and payable under the Facilities to the extent due and payable to the Lenders: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fifthly</w:t>
      </w:r>
      <w:r>
        <w:rPr>
          <w:rFonts w:ascii="Times New Roman" w:cs="Times New Roman" w:eastAsia="Times New Roman" w:hAnsi="Times New Roman"/>
          <w:sz w:val="17"/>
          <w:szCs w:val="17"/>
          <w:color w:val="auto"/>
        </w:rPr>
        <w:t>, in or towards payment</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of any other sum due but unpaid under the Finance Documents.</w:t>
      </w:r>
    </w:p>
    <w:p>
      <w:pPr>
        <w:spacing w:after="0" w:line="133"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if so directed by the Lenders, vary the order set out in paragraphs (a)(ii) to (v) above.</w:t>
      </w:r>
    </w:p>
    <w:p>
      <w:pPr>
        <w:spacing w:after="0" w:line="13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Paragraphs (a) and (b) above will override any appropriation made by the Company.</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32.7</w:t>
      </w:r>
      <w:r>
        <w:rPr>
          <w:sz w:val="20"/>
          <w:szCs w:val="20"/>
          <w:color w:val="auto"/>
        </w:rPr>
        <w:tab/>
      </w:r>
      <w:r>
        <w:rPr>
          <w:rFonts w:ascii="Times New Roman" w:cs="Times New Roman" w:eastAsia="Times New Roman" w:hAnsi="Times New Roman"/>
          <w:sz w:val="17"/>
          <w:szCs w:val="17"/>
          <w:b w:val="1"/>
          <w:bCs w:val="1"/>
          <w:color w:val="auto"/>
        </w:rPr>
        <w:t>No set-off by the Company</w:t>
      </w:r>
    </w:p>
    <w:p>
      <w:pPr>
        <w:spacing w:after="0" w:line="120" w:lineRule="exact"/>
        <w:rPr>
          <w:sz w:val="20"/>
          <w:szCs w:val="20"/>
          <w:color w:val="auto"/>
        </w:rPr>
      </w:pPr>
    </w:p>
    <w:p>
      <w:pPr>
        <w:ind w:left="740" w:right="200"/>
        <w:spacing w:after="0" w:line="295" w:lineRule="auto"/>
        <w:rPr>
          <w:sz w:val="20"/>
          <w:szCs w:val="20"/>
          <w:color w:val="auto"/>
        </w:rPr>
      </w:pPr>
      <w:r>
        <w:rPr>
          <w:rFonts w:ascii="Times New Roman" w:cs="Times New Roman" w:eastAsia="Times New Roman" w:hAnsi="Times New Roman"/>
          <w:sz w:val="17"/>
          <w:szCs w:val="17"/>
          <w:color w:val="auto"/>
        </w:rPr>
        <w:t>All payments to be made by the Company under the Finance Documents shall be calculated and be made without (and free and clear of any deduction for) set-off or counterclaim.</w:t>
      </w:r>
    </w:p>
    <w:p>
      <w:pPr>
        <w:spacing w:after="0" w:line="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133" w:lineRule="exact"/>
        <w:rPr>
          <w:sz w:val="20"/>
          <w:szCs w:val="20"/>
          <w:color w:val="auto"/>
        </w:rPr>
      </w:pPr>
    </w:p>
    <w:p>
      <w:pPr>
        <w:ind w:left="1260" w:right="300" w:hanging="523"/>
        <w:spacing w:after="0" w:line="295" w:lineRule="auto"/>
        <w:tabs>
          <w:tab w:leader="none" w:pos="126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55" w:lineRule="exact"/>
        <w:rPr>
          <w:rFonts w:ascii="Times New Roman" w:cs="Times New Roman" w:eastAsia="Times New Roman" w:hAnsi="Times New Roman"/>
          <w:sz w:val="17"/>
          <w:szCs w:val="17"/>
          <w:color w:val="auto"/>
        </w:rPr>
      </w:pPr>
    </w:p>
    <w:p>
      <w:pPr>
        <w:ind w:left="1260" w:right="320" w:hanging="523"/>
        <w:spacing w:after="0" w:line="295" w:lineRule="auto"/>
        <w:tabs>
          <w:tab w:leader="none" w:pos="126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extension of the due date for payment of any principal or Unpaid Sum under this Agreement, interest is payable on the principal or Unpaid Sum at the rate payable on the original due date.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133" w:lineRule="exact"/>
        <w:rPr>
          <w:sz w:val="20"/>
          <w:szCs w:val="20"/>
          <w:color w:val="auto"/>
        </w:rPr>
      </w:pPr>
    </w:p>
    <w:p>
      <w:pPr>
        <w:ind w:left="1260" w:right="80" w:hanging="523"/>
        <w:spacing w:after="0" w:line="295" w:lineRule="auto"/>
        <w:tabs>
          <w:tab w:leader="none" w:pos="126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paragraphs (b) to (e) below, the Base Currency is the currency of account and payment for any sum due from the Company under any Finance Document.</w:t>
      </w:r>
    </w:p>
    <w:p>
      <w:pPr>
        <w:spacing w:after="0" w:line="55" w:lineRule="exact"/>
        <w:rPr>
          <w:rFonts w:ascii="Times New Roman" w:cs="Times New Roman" w:eastAsia="Times New Roman" w:hAnsi="Times New Roman"/>
          <w:sz w:val="17"/>
          <w:szCs w:val="17"/>
          <w:color w:val="auto"/>
        </w:rPr>
      </w:pPr>
    </w:p>
    <w:p>
      <w:pPr>
        <w:ind w:left="1260" w:right="440" w:hanging="523"/>
        <w:spacing w:after="0" w:line="295" w:lineRule="auto"/>
        <w:tabs>
          <w:tab w:leader="none" w:pos="126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repayment of a Utilisation or Unpaid Sum or a part of a Utilisation or Unpaid Sum shall be made in the currency in which that Utilisation or Unpaid Sum is denominated on its due date.</w:t>
      </w:r>
    </w:p>
    <w:p>
      <w:pPr>
        <w:spacing w:after="0" w:line="55" w:lineRule="exact"/>
        <w:rPr>
          <w:rFonts w:ascii="Times New Roman" w:cs="Times New Roman" w:eastAsia="Times New Roman" w:hAnsi="Times New Roman"/>
          <w:sz w:val="17"/>
          <w:szCs w:val="17"/>
          <w:color w:val="auto"/>
        </w:rPr>
      </w:pPr>
    </w:p>
    <w:p>
      <w:pPr>
        <w:ind w:left="1260" w:right="140" w:hanging="523"/>
        <w:spacing w:after="0" w:line="295" w:lineRule="auto"/>
        <w:tabs>
          <w:tab w:leader="none" w:pos="126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of interest shall be made in the currency in which the sum in respect of which the interest is payable was denominated when that interest accrued.</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in respect of costs, expenses or Taxes shall be made in the currency in which the costs, expenses or Taxes are incurred.</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119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22" w:name="page423"/>
    <w:bookmarkEnd w:id="422"/>
    <w:p>
      <w:pPr>
        <w:ind w:left="1260" w:hanging="523"/>
        <w:spacing w:after="0"/>
        <w:tabs>
          <w:tab w:leader="none" w:pos="1260"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amount expressed to be payable in a currency other than the Base Currency shall be paid in that other currency.</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32.10</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133" w:lineRule="exact"/>
        <w:rPr>
          <w:sz w:val="20"/>
          <w:szCs w:val="20"/>
          <w:color w:val="auto"/>
        </w:rPr>
      </w:pPr>
    </w:p>
    <w:p>
      <w:pPr>
        <w:ind w:left="1260" w:right="100" w:hanging="523"/>
        <w:spacing w:after="0" w:line="295" w:lineRule="auto"/>
        <w:tabs>
          <w:tab w:leader="none" w:pos="1260"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prohibited by law, if more than one currency or currency unit are at the same time recognised by the central bank of any country as the lawful currency of that country, then:</w:t>
      </w:r>
    </w:p>
    <w:p>
      <w:pPr>
        <w:spacing w:after="0" w:line="55" w:lineRule="exact"/>
        <w:rPr>
          <w:sz w:val="20"/>
          <w:szCs w:val="20"/>
          <w:color w:val="auto"/>
        </w:rPr>
      </w:pPr>
    </w:p>
    <w:p>
      <w:pPr>
        <w:ind w:left="1260" w:right="120" w:hanging="523"/>
        <w:spacing w:after="0" w:line="276" w:lineRule="auto"/>
        <w:tabs>
          <w:tab w:leader="none" w:pos="1260"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70" w:lineRule="exact"/>
        <w:rPr>
          <w:rFonts w:ascii="Times New Roman" w:cs="Times New Roman" w:eastAsia="Times New Roman" w:hAnsi="Times New Roman"/>
          <w:sz w:val="17"/>
          <w:szCs w:val="17"/>
          <w:color w:val="auto"/>
        </w:rPr>
      </w:pPr>
    </w:p>
    <w:p>
      <w:pPr>
        <w:ind w:left="1260" w:right="220" w:hanging="523"/>
        <w:spacing w:after="0" w:line="295" w:lineRule="auto"/>
        <w:tabs>
          <w:tab w:leader="none" w:pos="1260"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55" w:lineRule="exact"/>
        <w:rPr>
          <w:sz w:val="20"/>
          <w:szCs w:val="20"/>
          <w:color w:val="auto"/>
        </w:rPr>
      </w:pPr>
    </w:p>
    <w:p>
      <w:pPr>
        <w:ind w:left="1260" w:right="100" w:hanging="523"/>
        <w:spacing w:after="0" w:line="276" w:lineRule="auto"/>
        <w:tabs>
          <w:tab w:leader="none" w:pos="1260"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Interbank Market and otherwise to reflect the change in currency.</w:t>
      </w:r>
    </w:p>
    <w:p>
      <w:pPr>
        <w:spacing w:after="0" w:line="3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32.11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If either the Agent determines (in its discretion) that a Disruption Event has occurred or the Agent is notified by the Company that a</w:t>
      </w:r>
    </w:p>
    <w:p>
      <w:pPr>
        <w:spacing w:after="0" w:line="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Disruption Event has occurred:</w:t>
      </w:r>
    </w:p>
    <w:p>
      <w:pPr>
        <w:spacing w:after="0" w:line="113" w:lineRule="exact"/>
        <w:rPr>
          <w:sz w:val="20"/>
          <w:szCs w:val="20"/>
          <w:color w:val="auto"/>
        </w:rPr>
      </w:pPr>
    </w:p>
    <w:p>
      <w:pPr>
        <w:ind w:left="1260" w:right="100" w:hanging="523"/>
        <w:spacing w:after="0" w:line="295" w:lineRule="auto"/>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and shall if requested to do so by the Company, consult with the Company with a view to agreeing with the Company such changes to the operation or administration of the Facilities as the Agent may deem necessary in the circumstances;</w:t>
      </w:r>
    </w:p>
    <w:p>
      <w:pPr>
        <w:spacing w:after="0" w:line="55" w:lineRule="exact"/>
        <w:rPr>
          <w:rFonts w:ascii="Times New Roman" w:cs="Times New Roman" w:eastAsia="Times New Roman" w:hAnsi="Times New Roman"/>
          <w:sz w:val="17"/>
          <w:szCs w:val="17"/>
          <w:color w:val="auto"/>
        </w:rPr>
      </w:pPr>
    </w:p>
    <w:p>
      <w:pPr>
        <w:ind w:left="1260" w:right="440" w:hanging="523"/>
        <w:spacing w:after="0" w:line="295" w:lineRule="auto"/>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55" w:lineRule="exact"/>
        <w:rPr>
          <w:rFonts w:ascii="Times New Roman" w:cs="Times New Roman" w:eastAsia="Times New Roman" w:hAnsi="Times New Roman"/>
          <w:sz w:val="17"/>
          <w:szCs w:val="17"/>
          <w:color w:val="auto"/>
        </w:rPr>
      </w:pPr>
    </w:p>
    <w:p>
      <w:pPr>
        <w:ind w:left="1260" w:right="20" w:hanging="523"/>
        <w:spacing w:after="0" w:line="295" w:lineRule="auto"/>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consult with the Finance Parties in relation to any changes mentioned in paragraph (a) above but shall not be obliged to do so if, in its opinion, it is not practicable to do so in the circumstances;</w:t>
      </w:r>
    </w:p>
    <w:p>
      <w:pPr>
        <w:spacing w:after="0" w:line="55" w:lineRule="exact"/>
        <w:rPr>
          <w:rFonts w:ascii="Times New Roman" w:cs="Times New Roman" w:eastAsia="Times New Roman" w:hAnsi="Times New Roman"/>
          <w:sz w:val="17"/>
          <w:szCs w:val="17"/>
          <w:color w:val="auto"/>
        </w:rPr>
      </w:pPr>
    </w:p>
    <w:p>
      <w:pPr>
        <w:ind w:left="1260" w:right="20" w:hanging="523"/>
        <w:spacing w:after="0" w:line="276" w:lineRule="auto"/>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38 (</w:t>
      </w: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260" w:right="120" w:hanging="523"/>
        <w:spacing w:after="0" w:line="269" w:lineRule="auto"/>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32.11; and</w:t>
      </w:r>
    </w:p>
    <w:p>
      <w:pPr>
        <w:spacing w:after="0" w:line="77"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notify the Finance Parties of all changes agreed pursuant to paragraph (d) above.</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423" w:name="page424"/>
    <w:bookmarkEnd w:id="423"/>
    <w:p>
      <w:pPr>
        <w:ind w:left="748" w:hanging="748"/>
        <w:spacing w:after="0"/>
        <w:tabs>
          <w:tab w:leader="none" w:pos="748" w:val="left"/>
        </w:tabs>
        <w:numPr>
          <w:ilvl w:val="0"/>
          <w:numId w:val="5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Set-off</w:t>
      </w:r>
    </w:p>
    <w:p>
      <w:pPr>
        <w:spacing w:after="0" w:line="120" w:lineRule="exact"/>
        <w:rPr>
          <w:rFonts w:ascii="Times New Roman" w:cs="Times New Roman" w:eastAsia="Times New Roman" w:hAnsi="Times New Roman"/>
          <w:sz w:val="17"/>
          <w:szCs w:val="17"/>
          <w:b w:val="1"/>
          <w:bCs w:val="1"/>
          <w:color w:val="auto"/>
        </w:rPr>
      </w:pPr>
    </w:p>
    <w:p>
      <w:pPr>
        <w:ind w:left="748" w:right="1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Finance Party may set off any matured obligation due from the Company under the Finance Documents (to the extent beneficially owned by that Finance Party) against any matured obligation owed by that Finance Party to the Company,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310"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5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120" w:lineRule="exact"/>
        <w:rPr>
          <w:sz w:val="20"/>
          <w:szCs w:val="20"/>
          <w:color w:val="auto"/>
        </w:rPr>
      </w:pPr>
    </w:p>
    <w:p>
      <w:pPr>
        <w:ind w:left="748" w:right="280"/>
        <w:spacing w:after="0" w:line="295" w:lineRule="auto"/>
        <w:rPr>
          <w:sz w:val="20"/>
          <w:szCs w:val="20"/>
          <w:color w:val="auto"/>
        </w:rPr>
      </w:pPr>
      <w:r>
        <w:rPr>
          <w:rFonts w:ascii="Times New Roman" w:cs="Times New Roman" w:eastAsia="Times New Roman" w:hAnsi="Times New Roman"/>
          <w:sz w:val="17"/>
          <w:szCs w:val="17"/>
          <w:color w:val="auto"/>
        </w:rPr>
        <w:t>Any communication to be made under or in connection with the Finance Documents shall be made in writing and, unless otherwise stated, may be made by fax or letter.</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Addresses</w:t>
      </w:r>
    </w:p>
    <w:p>
      <w:pPr>
        <w:spacing w:after="0" w:line="120" w:lineRule="exact"/>
        <w:rPr>
          <w:sz w:val="20"/>
          <w:szCs w:val="20"/>
          <w:color w:val="auto"/>
        </w:rPr>
      </w:pPr>
    </w:p>
    <w:p>
      <w:pPr>
        <w:ind w:left="748"/>
        <w:spacing w:after="0" w:line="295" w:lineRule="auto"/>
        <w:rPr>
          <w:sz w:val="20"/>
          <w:szCs w:val="20"/>
          <w:color w:val="auto"/>
        </w:rPr>
      </w:pPr>
      <w:r>
        <w:rPr>
          <w:rFonts w:ascii="Times New Roman" w:cs="Times New Roman" w:eastAsia="Times New Roman" w:hAnsi="Times New Roman"/>
          <w:sz w:val="17"/>
          <w:szCs w:val="17"/>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55" w:lineRule="exact"/>
        <w:rPr>
          <w:sz w:val="20"/>
          <w:szCs w:val="20"/>
          <w:color w:val="auto"/>
        </w:rPr>
      </w:pPr>
    </w:p>
    <w:p>
      <w:pPr>
        <w:ind w:left="1268" w:hanging="523"/>
        <w:spacing w:after="0"/>
        <w:tabs>
          <w:tab w:leader="none" w:pos="1268"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Company:</w:t>
      </w:r>
    </w:p>
    <w:p>
      <w:pPr>
        <w:sectPr>
          <w:pgSz w:w="11900" w:h="16838" w:orient="portrait"/>
          <w:cols w:equalWidth="0" w:num="1">
            <w:col w:w="10668"/>
          </w:cols>
          <w:pgMar w:left="612" w:top="263" w:right="619" w:bottom="1440" w:gutter="0" w:footer="0" w:header="0"/>
        </w:sectPr>
      </w:pPr>
    </w:p>
    <w:p>
      <w:pPr>
        <w:spacing w:after="0" w:line="131" w:lineRule="exact"/>
        <w:rPr>
          <w:sz w:val="20"/>
          <w:szCs w:val="20"/>
          <w:color w:val="auto"/>
        </w:rPr>
      </w:pPr>
    </w:p>
    <w:p>
      <w:pPr>
        <w:ind w:left="1268"/>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38/F, The Centrium, 60 Wyndham Street, Central, Hong Kong</w:t>
      </w:r>
    </w:p>
    <w:p>
      <w:pPr>
        <w:spacing w:after="0" w:line="131" w:lineRule="exact"/>
        <w:rPr>
          <w:sz w:val="20"/>
          <w:szCs w:val="20"/>
          <w:color w:val="auto"/>
        </w:rPr>
      </w:pPr>
    </w:p>
    <w:p>
      <w:pPr>
        <w:sectPr>
          <w:pgSz w:w="11900" w:h="16838" w:orient="portrait"/>
          <w:cols w:equalWidth="0" w:num="2">
            <w:col w:w="1928" w:space="72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 Secretary</w:t>
      </w:r>
    </w:p>
    <w:p>
      <w:pPr>
        <w:spacing w:after="0" w:line="131" w:lineRule="exact"/>
        <w:rPr>
          <w:sz w:val="20"/>
          <w:szCs w:val="20"/>
          <w:color w:val="auto"/>
        </w:rPr>
      </w:pPr>
    </w:p>
    <w:p>
      <w:pPr>
        <w:sectPr>
          <w:pgSz w:w="11900" w:h="16838" w:orient="portrait"/>
          <w:cols w:equalWidth="0" w:num="2">
            <w:col w:w="1968" w:space="68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+852 2598 3600</w:t>
      </w:r>
    </w:p>
    <w:p>
      <w:pPr>
        <w:spacing w:after="0" w:line="131" w:lineRule="exact"/>
        <w:rPr>
          <w:sz w:val="20"/>
          <w:szCs w:val="20"/>
          <w:color w:val="auto"/>
        </w:rPr>
      </w:pPr>
    </w:p>
    <w:p>
      <w:pPr>
        <w:sectPr>
          <w:pgSz w:w="11900" w:h="16838" w:orient="portrait"/>
          <w:cols w:equalWidth="0" w:num="2">
            <w:col w:w="2048" w:space="60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+852 2537 3618</w:t>
      </w:r>
    </w:p>
    <w:p>
      <w:pPr>
        <w:spacing w:after="0" w:line="131" w:lineRule="exact"/>
        <w:rPr>
          <w:sz w:val="20"/>
          <w:szCs w:val="20"/>
          <w:color w:val="auto"/>
        </w:rPr>
      </w:pPr>
    </w:p>
    <w:p>
      <w:pPr>
        <w:sectPr>
          <w:pgSz w:w="11900" w:h="16838" w:orient="portrait"/>
          <w:cols w:equalWidth="0" w:num="2">
            <w:col w:w="1928" w:space="72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mco-comsec@melco-resorts.com</w:t>
      </w:r>
    </w:p>
    <w:p>
      <w:pPr>
        <w:spacing w:after="0" w:line="131" w:lineRule="exact"/>
        <w:rPr>
          <w:sz w:val="20"/>
          <w:szCs w:val="20"/>
          <w:color w:val="auto"/>
        </w:rPr>
      </w:pPr>
    </w:p>
    <w:p>
      <w:pPr>
        <w:sectPr>
          <w:pgSz w:w="11900" w:h="16838" w:orient="portrait"/>
          <w:cols w:equalWidth="0" w:num="2">
            <w:col w:w="1928" w:space="720"/>
            <w:col w:w="8020"/>
          </w:cols>
          <w:pgMar w:left="612" w:top="263" w:right="619" w:bottom="1440" w:gutter="0" w:footer="0" w:header="0"/>
          <w:type w:val="continuous"/>
        </w:sectPr>
      </w:pPr>
    </w:p>
    <w:p>
      <w:pPr>
        <w:ind w:left="1268" w:hanging="523"/>
        <w:spacing w:after="0"/>
        <w:tabs>
          <w:tab w:leader="none" w:pos="1268"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each Lender, that notified in writing to the Agent on or prior to the date on which it becomes a Party; and</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Agent:</w:t>
      </w:r>
    </w:p>
    <w:p>
      <w:pPr>
        <w:sectPr>
          <w:pgSz w:w="11900" w:h="16838" w:orient="portrait"/>
          <w:cols w:equalWidth="0" w:num="1">
            <w:col w:w="10668"/>
          </w:cols>
          <w:pgMar w:left="612" w:top="263" w:right="619" w:bottom="1440" w:gutter="0" w:footer="0" w:header="0"/>
          <w:type w:val="continuous"/>
        </w:sectPr>
      </w:pPr>
    </w:p>
    <w:p>
      <w:pPr>
        <w:spacing w:after="0" w:line="131" w:lineRule="exact"/>
        <w:rPr>
          <w:sz w:val="20"/>
          <w:szCs w:val="20"/>
          <w:color w:val="auto"/>
        </w:rPr>
      </w:pPr>
    </w:p>
    <w:p>
      <w:pPr>
        <w:ind w:left="1268"/>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17/F, Bank of China Building, Avenida Doutor Mario Soares, Macau</w:t>
      </w:r>
    </w:p>
    <w:p>
      <w:pPr>
        <w:spacing w:after="0" w:line="131" w:lineRule="exact"/>
        <w:rPr>
          <w:sz w:val="20"/>
          <w:szCs w:val="20"/>
          <w:color w:val="auto"/>
        </w:rPr>
      </w:pPr>
    </w:p>
    <w:p>
      <w:pPr>
        <w:sectPr>
          <w:pgSz w:w="11900" w:h="16838" w:orient="portrait"/>
          <w:cols w:equalWidth="0" w:num="2">
            <w:col w:w="1928" w:space="72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Ms Jennie Chan / Ms Yan Chan / Ms Nora Pang / Ms Tong Huangmei / Ms Christine Chong</w:t>
      </w:r>
    </w:p>
    <w:p>
      <w:pPr>
        <w:spacing w:after="0" w:line="131" w:lineRule="exact"/>
        <w:rPr>
          <w:sz w:val="20"/>
          <w:szCs w:val="20"/>
          <w:color w:val="auto"/>
        </w:rPr>
      </w:pPr>
    </w:p>
    <w:p>
      <w:pPr>
        <w:sectPr>
          <w:pgSz w:w="11900" w:h="16838" w:orient="portrait"/>
          <w:cols w:equalWidth="0" w:num="2">
            <w:col w:w="1968" w:space="68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(853) 8792 1659</w:t>
      </w:r>
    </w:p>
    <w:p>
      <w:pPr>
        <w:spacing w:after="0" w:line="131" w:lineRule="exact"/>
        <w:rPr>
          <w:sz w:val="20"/>
          <w:szCs w:val="20"/>
          <w:color w:val="auto"/>
        </w:rPr>
      </w:pPr>
    </w:p>
    <w:p>
      <w:pPr>
        <w:sectPr>
          <w:pgSz w:w="11900" w:h="16838" w:orient="portrait"/>
          <w:cols w:equalWidth="0" w:num="2">
            <w:col w:w="1988" w:space="660"/>
            <w:col w:w="8020"/>
          </w:cols>
          <w:pgMar w:left="612" w:top="263" w:right="619" w:bottom="1440" w:gutter="0" w:footer="0" w:header="0"/>
          <w:type w:val="continuous"/>
        </w:sectPr>
      </w:pPr>
    </w:p>
    <w:p>
      <w:pPr>
        <w:ind w:left="1268"/>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ind w:right="2120"/>
        <w:spacing w:after="0" w:line="266" w:lineRule="auto"/>
        <w:rPr>
          <w:sz w:val="20"/>
          <w:szCs w:val="20"/>
          <w:color w:val="auto"/>
        </w:rPr>
      </w:pPr>
      <w:r>
        <w:rPr>
          <w:rFonts w:ascii="Times New Roman" w:cs="Times New Roman" w:eastAsia="Times New Roman" w:hAnsi="Times New Roman"/>
          <w:sz w:val="17"/>
          <w:szCs w:val="17"/>
          <w:color w:val="auto"/>
        </w:rPr>
        <w:t>chan_unteng_mac@bank-of-china.com / chan_unteng_mac@bankofchina.com / chan_chiian_mac@bank-of-china.com / chan_chiian_mac@bankofchina.com / pang_kaian_mac@bank-of-china.com / pang_kaian _mac@bankofchina.com / chong_hongin_mac@bankofchina.com / chong_hongin_mac@bank-of-china.com / tong_huangmei_mac@bank-of-china.com / tong_huangmei_mac@bankofchina.com</w:t>
      </w:r>
    </w:p>
    <w:p>
      <w:pPr>
        <w:spacing w:after="0" w:line="67" w:lineRule="exact"/>
        <w:rPr>
          <w:sz w:val="20"/>
          <w:szCs w:val="20"/>
          <w:color w:val="auto"/>
        </w:rPr>
      </w:pPr>
    </w:p>
    <w:p>
      <w:pPr>
        <w:sectPr>
          <w:pgSz w:w="11900" w:h="16838" w:orient="portrait"/>
          <w:cols w:equalWidth="0" w:num="2">
            <w:col w:w="1928" w:space="720"/>
            <w:col w:w="8020"/>
          </w:cols>
          <w:pgMar w:left="612" w:top="263" w:right="619" w:bottom="1440" w:gutter="0" w:footer="0" w:header="0"/>
          <w:type w:val="continuous"/>
        </w:sectPr>
      </w:pPr>
    </w:p>
    <w:p>
      <w:pPr>
        <w:ind w:left="748" w:right="440"/>
        <w:spacing w:after="0" w:line="295" w:lineRule="auto"/>
        <w:rPr>
          <w:sz w:val="20"/>
          <w:szCs w:val="20"/>
          <w:color w:val="auto"/>
        </w:rPr>
      </w:pPr>
      <w:r>
        <w:rPr>
          <w:rFonts w:ascii="Times New Roman" w:cs="Times New Roman" w:eastAsia="Times New Roman" w:hAnsi="Times New Roman"/>
          <w:sz w:val="17"/>
          <w:szCs w:val="17"/>
          <w:color w:val="auto"/>
        </w:rPr>
        <w:t>or any substitute address, fax number or department or officer as the Party may notify to the Agent (or the Agent may notify to the other Parties, if a change is made by the Agent) by not less than ten (10) Business Days’ notice.</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type w:val="continuous"/>
        </w:sectPr>
      </w:pPr>
    </w:p>
    <w:bookmarkStart w:id="424" w:name="page425"/>
    <w:bookmarkEnd w:id="424"/>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34.3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133" w:lineRule="exact"/>
        <w:rPr>
          <w:sz w:val="20"/>
          <w:szCs w:val="20"/>
          <w:color w:val="auto"/>
        </w:rPr>
      </w:pPr>
    </w:p>
    <w:p>
      <w:pPr>
        <w:ind w:left="1260" w:right="20" w:hanging="523"/>
        <w:spacing w:after="0" w:line="295" w:lineRule="auto"/>
        <w:tabs>
          <w:tab w:leader="none" w:pos="1260"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communication or document made or delivered by one person to another under or in connection with the Finance Documents will only be effective:</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way of fax, when received in legible form; or</w:t>
      </w:r>
    </w:p>
    <w:p>
      <w:pPr>
        <w:spacing w:after="0" w:line="131" w:lineRule="exact"/>
        <w:rPr>
          <w:rFonts w:ascii="Times New Roman" w:cs="Times New Roman" w:eastAsia="Times New Roman" w:hAnsi="Times New Roman"/>
          <w:sz w:val="17"/>
          <w:szCs w:val="17"/>
          <w:color w:val="auto"/>
        </w:rPr>
      </w:pPr>
    </w:p>
    <w:p>
      <w:pPr>
        <w:ind w:left="1880" w:right="320" w:hanging="620"/>
        <w:spacing w:after="0" w:line="295" w:lineRule="auto"/>
        <w:tabs>
          <w:tab w:leader="none" w:pos="1880" w:val="left"/>
        </w:tabs>
        <w:numPr>
          <w:ilvl w:val="1"/>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way of letter, when it has been left at the relevant address or five (5) Business Days after being deposited in the post postage prepaid in an envelope addressed to it at that address,</w:t>
      </w:r>
    </w:p>
    <w:p>
      <w:pPr>
        <w:spacing w:after="0" w:line="40" w:lineRule="exact"/>
        <w:rPr>
          <w:sz w:val="20"/>
          <w:szCs w:val="20"/>
          <w:color w:val="auto"/>
        </w:rPr>
      </w:pPr>
    </w:p>
    <w:p>
      <w:pPr>
        <w:ind w:left="1280" w:right="40"/>
        <w:spacing w:after="0" w:line="298" w:lineRule="auto"/>
        <w:rPr>
          <w:sz w:val="20"/>
          <w:szCs w:val="20"/>
          <w:color w:val="auto"/>
        </w:rPr>
      </w:pPr>
      <w:r>
        <w:rPr>
          <w:rFonts w:ascii="Times New Roman" w:cs="Times New Roman" w:eastAsia="Times New Roman" w:hAnsi="Times New Roman"/>
          <w:sz w:val="17"/>
          <w:szCs w:val="17"/>
          <w:color w:val="auto"/>
        </w:rPr>
        <w:t>and, if a particular department or officer is specified as part of its address details provided under Clause 34.2 (</w:t>
      </w:r>
      <w:r>
        <w:rPr>
          <w:rFonts w:ascii="Times New Roman" w:cs="Times New Roman" w:eastAsia="Times New Roman" w:hAnsi="Times New Roman"/>
          <w:sz w:val="17"/>
          <w:szCs w:val="17"/>
          <w:i w:val="1"/>
          <w:iCs w:val="1"/>
          <w:color w:val="auto"/>
        </w:rPr>
        <w:t>Addresses</w:t>
      </w:r>
      <w:r>
        <w:rPr>
          <w:rFonts w:ascii="Times New Roman" w:cs="Times New Roman" w:eastAsia="Times New Roman" w:hAnsi="Times New Roman"/>
          <w:sz w:val="17"/>
          <w:szCs w:val="17"/>
          <w:color w:val="auto"/>
        </w:rPr>
        <w:t>), if addressed to that department or officer.</w:t>
      </w:r>
    </w:p>
    <w:p>
      <w:pPr>
        <w:spacing w:after="0" w:line="52" w:lineRule="exact"/>
        <w:rPr>
          <w:sz w:val="20"/>
          <w:szCs w:val="20"/>
          <w:color w:val="auto"/>
        </w:rPr>
      </w:pPr>
    </w:p>
    <w:p>
      <w:pPr>
        <w:jc w:val="both"/>
        <w:ind w:left="1260" w:right="40" w:hanging="523"/>
        <w:spacing w:after="0" w:line="276" w:lineRule="auto"/>
        <w:tabs>
          <w:tab w:leader="none" w:pos="126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communication or document to be made or delivered to the Agent will be effective only when actually received by the Agent and then only if it is expressly marked for the attention of the department or officer identified in Clause 34.2 (</w:t>
      </w:r>
      <w:r>
        <w:rPr>
          <w:rFonts w:ascii="Times New Roman" w:cs="Times New Roman" w:eastAsia="Times New Roman" w:hAnsi="Times New Roman"/>
          <w:sz w:val="17"/>
          <w:szCs w:val="17"/>
          <w:i w:val="1"/>
          <w:iCs w:val="1"/>
          <w:color w:val="auto"/>
        </w:rPr>
        <w:t>Addresses</w:t>
      </w:r>
      <w:r>
        <w:rPr>
          <w:rFonts w:ascii="Times New Roman" w:cs="Times New Roman" w:eastAsia="Times New Roman" w:hAnsi="Times New Roman"/>
          <w:sz w:val="17"/>
          <w:szCs w:val="17"/>
          <w:color w:val="auto"/>
        </w:rPr>
        <w:t>) (or any substitute department or officer as the Agent shall specify for this purpose).</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notices from or to the Company shall be sent through the Agent.</w:t>
      </w:r>
    </w:p>
    <w:p>
      <w:pPr>
        <w:spacing w:after="0" w:line="131" w:lineRule="exact"/>
        <w:rPr>
          <w:rFonts w:ascii="Times New Roman" w:cs="Times New Roman" w:eastAsia="Times New Roman" w:hAnsi="Times New Roman"/>
          <w:sz w:val="17"/>
          <w:szCs w:val="17"/>
          <w:color w:val="auto"/>
        </w:rPr>
      </w:pPr>
    </w:p>
    <w:p>
      <w:pPr>
        <w:ind w:left="1260" w:right="420" w:hanging="523"/>
        <w:spacing w:after="0" w:line="295" w:lineRule="auto"/>
        <w:tabs>
          <w:tab w:leader="none" w:pos="126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communication or document which becomes effective, in accordance with paragraphs (a) to (c) above, after 5:00 p.m. in the place of receipt shall be deemed only to become effective on the following day.</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34.4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Promptly upon changing its own address or fax number, the Agent shall notify the other Parties.</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34.5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120" w:lineRule="exact"/>
        <w:rPr>
          <w:sz w:val="20"/>
          <w:szCs w:val="20"/>
          <w:color w:val="auto"/>
        </w:rPr>
      </w:pPr>
    </w:p>
    <w:p>
      <w:pPr>
        <w:ind w:left="740" w:right="200"/>
        <w:spacing w:after="0" w:line="269" w:lineRule="auto"/>
        <w:rPr>
          <w:sz w:val="20"/>
          <w:szCs w:val="20"/>
          <w:color w:val="auto"/>
        </w:rPr>
      </w:pPr>
      <w:r>
        <w:rPr>
          <w:rFonts w:ascii="Times New Roman" w:cs="Times New Roman" w:eastAsia="Times New Roman" w:hAnsi="Times New Roman"/>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34.6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133" w:lineRule="exact"/>
        <w:rPr>
          <w:sz w:val="20"/>
          <w:szCs w:val="20"/>
          <w:color w:val="auto"/>
        </w:rPr>
      </w:pPr>
    </w:p>
    <w:p>
      <w:pPr>
        <w:ind w:left="1260" w:right="140" w:hanging="523"/>
        <w:spacing w:after="0" w:line="295" w:lineRule="auto"/>
        <w:tabs>
          <w:tab w:leader="none" w:pos="1260"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communication to be made between any two Parties under or in connection with the Finance Documents may be electronic mail or other electronic means (including, without limitation, by way of posting to a secure website) if those two Parties:</w:t>
      </w:r>
    </w:p>
    <w:p>
      <w:pPr>
        <w:spacing w:after="0" w:line="55" w:lineRule="exact"/>
        <w:rPr>
          <w:rFonts w:ascii="Times New Roman" w:cs="Times New Roman" w:eastAsia="Times New Roman" w:hAnsi="Times New Roman"/>
          <w:sz w:val="17"/>
          <w:szCs w:val="17"/>
          <w:color w:val="auto"/>
        </w:rPr>
      </w:pPr>
    </w:p>
    <w:p>
      <w:pPr>
        <w:ind w:left="1880" w:right="180" w:hanging="620"/>
        <w:spacing w:after="0" w:line="295" w:lineRule="auto"/>
        <w:tabs>
          <w:tab w:leader="none" w:pos="1880" w:val="left"/>
        </w:tabs>
        <w:numPr>
          <w:ilvl w:val="1"/>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other in writing of their electronic mail address and/or any other information required to enable the sending and receipt of information by that means; and</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other of any change to their address or any other such information supplied by them by not less than five</w:t>
      </w:r>
    </w:p>
    <w:p>
      <w:pPr>
        <w:spacing w:after="0" w:line="31" w:lineRule="exact"/>
        <w:rPr>
          <w:rFonts w:ascii="Times New Roman" w:cs="Times New Roman" w:eastAsia="Times New Roman" w:hAnsi="Times New Roman"/>
          <w:sz w:val="17"/>
          <w:szCs w:val="17"/>
          <w:color w:val="auto"/>
        </w:rPr>
      </w:pPr>
    </w:p>
    <w:p>
      <w:pPr>
        <w:ind w:left="1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Business Days’ notice.</w:t>
      </w:r>
    </w:p>
    <w:p>
      <w:pPr>
        <w:spacing w:after="0" w:line="113" w:lineRule="exact"/>
        <w:rPr>
          <w:rFonts w:ascii="Times New Roman" w:cs="Times New Roman" w:eastAsia="Times New Roman" w:hAnsi="Times New Roman"/>
          <w:sz w:val="17"/>
          <w:szCs w:val="17"/>
          <w:color w:val="auto"/>
        </w:rPr>
      </w:pPr>
    </w:p>
    <w:p>
      <w:pPr>
        <w:ind w:left="1260" w:right="240" w:hanging="523"/>
        <w:spacing w:after="0" w:line="276" w:lineRule="auto"/>
        <w:tabs>
          <w:tab w:leader="none" w:pos="1260"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electronic communication as specified in paragraph (a) above to be made between the Company and a Finance Party may only be made in that way to the extent that those two Parties agree that, unless and until notified to the contrary, this is to be an accepted form of communication.</w:t>
      </w:r>
    </w:p>
    <w:p>
      <w:pPr>
        <w:spacing w:after="0" w:line="70" w:lineRule="exact"/>
        <w:rPr>
          <w:rFonts w:ascii="Times New Roman" w:cs="Times New Roman" w:eastAsia="Times New Roman" w:hAnsi="Times New Roman"/>
          <w:sz w:val="17"/>
          <w:szCs w:val="17"/>
          <w:color w:val="auto"/>
        </w:rPr>
      </w:pPr>
    </w:p>
    <w:p>
      <w:pPr>
        <w:ind w:left="1260" w:right="140" w:hanging="523"/>
        <w:spacing w:after="0" w:line="276" w:lineRule="auto"/>
        <w:tabs>
          <w:tab w:leader="none" w:pos="1260"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9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3" w:right="619" w:bottom="1440" w:gutter="0" w:footer="0" w:header="0"/>
        </w:sectPr>
      </w:pPr>
    </w:p>
    <w:bookmarkStart w:id="425" w:name="page426"/>
    <w:bookmarkEnd w:id="425"/>
    <w:p>
      <w:pPr>
        <w:ind w:left="523" w:hanging="523"/>
        <w:spacing w:after="0" w:line="264" w:lineRule="auto"/>
        <w:tabs>
          <w:tab w:leader="none" w:pos="523"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Notwithstanding the foregoing, each Party hereto agrees that the Agent may make information, documents and other materials that the Company is obligated to furnish to the Agent pursuant to the Finance Documents (together, “</w:t>
      </w:r>
      <w:r>
        <w:rPr>
          <w:rFonts w:ascii="Times New Roman" w:cs="Times New Roman" w:eastAsia="Times New Roman" w:hAnsi="Times New Roman"/>
          <w:sz w:val="17"/>
          <w:szCs w:val="17"/>
          <w:b w:val="1"/>
          <w:bCs w:val="1"/>
          <w:color w:val="auto"/>
        </w:rPr>
        <w:t>Communications</w:t>
      </w:r>
      <w:r>
        <w:rPr>
          <w:rFonts w:ascii="Times New Roman" w:cs="Times New Roman" w:eastAsia="Times New Roman" w:hAnsi="Times New Roman"/>
          <w:sz w:val="17"/>
          <w:szCs w:val="17"/>
          <w:color w:val="auto"/>
        </w:rPr>
        <w:t>”) available to any Finance Party by posting the Communications on IntraLinks or another relevant website, if any, to which such Finance Party has access (whether a commercial, third-party website or whether sponsored by the Agent) (the “</w:t>
      </w:r>
      <w:r>
        <w:rPr>
          <w:rFonts w:ascii="Times New Roman" w:cs="Times New Roman" w:eastAsia="Times New Roman" w:hAnsi="Times New Roman"/>
          <w:sz w:val="17"/>
          <w:szCs w:val="17"/>
          <w:b w:val="1"/>
          <w:bCs w:val="1"/>
          <w:color w:val="auto"/>
        </w:rPr>
        <w:t>Platform</w:t>
      </w:r>
      <w:r>
        <w:rPr>
          <w:rFonts w:ascii="Times New Roman" w:cs="Times New Roman" w:eastAsia="Times New Roman" w:hAnsi="Times New Roman"/>
          <w:sz w:val="17"/>
          <w:szCs w:val="17"/>
          <w:color w:val="auto"/>
        </w:rPr>
        <w:t>”). Nothing in this Clause 34.6 shall prejudice the right of the Agent to make the Communications available to any Finance Party in any other manner specified in this Agreement or any other Finance Documents.</w:t>
      </w:r>
    </w:p>
    <w:p>
      <w:pPr>
        <w:spacing w:after="0" w:line="82" w:lineRule="exact"/>
        <w:rPr>
          <w:rFonts w:ascii="Times New Roman" w:cs="Times New Roman" w:eastAsia="Times New Roman" w:hAnsi="Times New Roman"/>
          <w:sz w:val="17"/>
          <w:szCs w:val="17"/>
          <w:color w:val="auto"/>
        </w:rPr>
      </w:pPr>
    </w:p>
    <w:p>
      <w:pPr>
        <w:ind w:left="523" w:right="20" w:hanging="523"/>
        <w:spacing w:after="0" w:line="269" w:lineRule="auto"/>
        <w:tabs>
          <w:tab w:leader="none" w:pos="523"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Finance Party agrees that e-mail notice to it (at the address provided pursuant to the next sentence and deemed delivered as provided in the next paragraph) specifying that Communications have been posted to the Platform shall constitute effective delivery of such Communications to such Finance Party for purposes of this Agreement and the other Finance Documents. Each Finance Party agrees:</w:t>
      </w:r>
    </w:p>
    <w:p>
      <w:pPr>
        <w:spacing w:after="0" w:line="77" w:lineRule="exact"/>
        <w:rPr>
          <w:rFonts w:ascii="Times New Roman" w:cs="Times New Roman" w:eastAsia="Times New Roman" w:hAnsi="Times New Roman"/>
          <w:sz w:val="17"/>
          <w:szCs w:val="17"/>
          <w:color w:val="auto"/>
        </w:rPr>
      </w:pPr>
    </w:p>
    <w:p>
      <w:pPr>
        <w:ind w:left="1143" w:right="380" w:hanging="620"/>
        <w:spacing w:after="0" w:line="276" w:lineRule="auto"/>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notify the Agent in writing (including by electronic communication) from time to time to ensure that the Agent has on record an effective e-mail address for such Finance Party to which the foregoing notice may be sent by electronic transmission; and</w:t>
      </w:r>
    </w:p>
    <w:p>
      <w:pPr>
        <w:spacing w:after="0" w:line="70"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foregoing notice may be sent to such e-mail address.</w:t>
      </w:r>
    </w:p>
    <w:p>
      <w:pPr>
        <w:spacing w:after="0" w:line="131" w:lineRule="exact"/>
        <w:rPr>
          <w:rFonts w:ascii="Times New Roman" w:cs="Times New Roman" w:eastAsia="Times New Roman" w:hAnsi="Times New Roman"/>
          <w:sz w:val="17"/>
          <w:szCs w:val="17"/>
          <w:color w:val="auto"/>
        </w:rPr>
      </w:pPr>
    </w:p>
    <w:p>
      <w:pPr>
        <w:ind w:left="523" w:right="60" w:hanging="523"/>
        <w:spacing w:after="0" w:line="264" w:lineRule="auto"/>
        <w:tabs>
          <w:tab w:leader="none" w:pos="523"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paragraph (g) below, each Party hereto agrees that any electronic communication referred to in this Clause 34.6 shall be deemed delivered upon the posting of a record of such communication (properly addressed to such party at the e-mail address provided to the Agent) as “sent” in the e-mail system of the sending party or, in the case of any such communication to the Agent, upon the posting of a record of such communication as “received” in the e-mail system of the Agent;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if such communication is not so received by the Agent during the normal business hours of the Agent, such communication shall be deemed delivered at the opening of business on the next Business Day for the Agent.</w:t>
      </w:r>
    </w:p>
    <w:p>
      <w:pPr>
        <w:spacing w:after="0" w:line="82"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acknowledges that:</w:t>
      </w:r>
    </w:p>
    <w:p>
      <w:pPr>
        <w:spacing w:after="0" w:line="131" w:lineRule="exact"/>
        <w:rPr>
          <w:rFonts w:ascii="Times New Roman" w:cs="Times New Roman" w:eastAsia="Times New Roman" w:hAnsi="Times New Roman"/>
          <w:sz w:val="17"/>
          <w:szCs w:val="17"/>
          <w:color w:val="auto"/>
        </w:rPr>
      </w:pPr>
    </w:p>
    <w:p>
      <w:pPr>
        <w:ind w:left="1143" w:right="80" w:hanging="620"/>
        <w:spacing w:after="0" w:line="295" w:lineRule="auto"/>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of material through an electronic medium is not necessarily secure and that there are confidentially and other risks associated with such distribution;</w:t>
      </w:r>
    </w:p>
    <w:p>
      <w:pPr>
        <w:spacing w:after="0" w:line="55" w:lineRule="exact"/>
        <w:rPr>
          <w:rFonts w:ascii="Times New Roman" w:cs="Times New Roman" w:eastAsia="Times New Roman" w:hAnsi="Times New Roman"/>
          <w:sz w:val="17"/>
          <w:szCs w:val="17"/>
          <w:color w:val="auto"/>
        </w:rPr>
      </w:pPr>
    </w:p>
    <w:p>
      <w:pPr>
        <w:ind w:left="1143" w:hanging="620"/>
        <w:spacing w:after="0"/>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Communications and the Platform are provided “as is” and “as available”;</w:t>
      </w:r>
    </w:p>
    <w:p>
      <w:pPr>
        <w:spacing w:after="0" w:line="131" w:lineRule="exact"/>
        <w:rPr>
          <w:rFonts w:ascii="Times New Roman" w:cs="Times New Roman" w:eastAsia="Times New Roman" w:hAnsi="Times New Roman"/>
          <w:sz w:val="17"/>
          <w:szCs w:val="17"/>
          <w:color w:val="auto"/>
        </w:rPr>
      </w:pPr>
    </w:p>
    <w:p>
      <w:pPr>
        <w:ind w:left="1143" w:right="180" w:hanging="620"/>
        <w:spacing w:after="0" w:line="269" w:lineRule="auto"/>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Agent, its affiliates nor any of their respective officers, directors, employees, agents, advisors or representatives (collectively, the “</w:t>
      </w:r>
      <w:r>
        <w:rPr>
          <w:rFonts w:ascii="Times New Roman" w:cs="Times New Roman" w:eastAsia="Times New Roman" w:hAnsi="Times New Roman"/>
          <w:sz w:val="17"/>
          <w:szCs w:val="17"/>
          <w:b w:val="1"/>
          <w:bCs w:val="1"/>
          <w:color w:val="auto"/>
        </w:rPr>
        <w:t>Agency Parties</w:t>
      </w:r>
      <w:r>
        <w:rPr>
          <w:rFonts w:ascii="Times New Roman" w:cs="Times New Roman" w:eastAsia="Times New Roman" w:hAnsi="Times New Roman"/>
          <w:sz w:val="17"/>
          <w:szCs w:val="17"/>
          <w:color w:val="auto"/>
        </w:rPr>
        <w:t>”) warrants the adequacy, accuracy or completeness of the Communications or the Platform, and each Agency Party expressly disclaims liability for errors or omissions in any Communications or the Platform; and</w:t>
      </w:r>
    </w:p>
    <w:p>
      <w:pPr>
        <w:spacing w:after="0" w:line="77" w:lineRule="exact"/>
        <w:rPr>
          <w:rFonts w:ascii="Times New Roman" w:cs="Times New Roman" w:eastAsia="Times New Roman" w:hAnsi="Times New Roman"/>
          <w:sz w:val="17"/>
          <w:szCs w:val="17"/>
          <w:color w:val="auto"/>
        </w:rPr>
      </w:pPr>
    </w:p>
    <w:p>
      <w:pPr>
        <w:ind w:left="1143" w:right="80" w:hanging="620"/>
        <w:spacing w:after="0" w:line="276" w:lineRule="auto"/>
        <w:tabs>
          <w:tab w:leader="none" w:pos="1143"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representation or warranty of any kind, express, implied or statutory, including any representation or warranty of merchantability, fitness for a particular purpose, non-infringement of third party rights or freedom from viruses or other code defects, is made by any Agency Party in connection with any Communications or the Platform.</w:t>
      </w:r>
    </w:p>
    <w:p>
      <w:pPr>
        <w:spacing w:after="0" w:line="97" w:lineRule="exact"/>
        <w:rPr>
          <w:sz w:val="20"/>
          <w:szCs w:val="20"/>
          <w:color w:val="auto"/>
        </w:rPr>
      </w:pPr>
    </w:p>
    <w:tbl>
      <w:tblPr>
        <w:tblLayout w:type="fixed"/>
        <w:tblInd w:w="4463"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426" w:name="page427"/>
    <w:bookmarkEnd w:id="426"/>
    <w:p>
      <w:pPr>
        <w:ind w:left="1268" w:right="20" w:hanging="523"/>
        <w:spacing w:after="0" w:line="276" w:lineRule="auto"/>
        <w:tabs>
          <w:tab w:leader="none" w:pos="1268"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hereby acknowledges that certain of the Lenders may be “public-side” Lenders (i.e., Lenders that do not wish to receive material non-public information with respect to Melco, any of its Subsidiaries or their respective securities) (each, a “</w:t>
      </w:r>
      <w:r>
        <w:rPr>
          <w:rFonts w:ascii="Times New Roman" w:cs="Times New Roman" w:eastAsia="Times New Roman" w:hAnsi="Times New Roman"/>
          <w:sz w:val="17"/>
          <w:szCs w:val="17"/>
          <w:b w:val="1"/>
          <w:bCs w:val="1"/>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The Company hereby agrees that:</w:t>
      </w:r>
    </w:p>
    <w:p>
      <w:pPr>
        <w:spacing w:after="0" w:line="70" w:lineRule="exact"/>
        <w:rPr>
          <w:rFonts w:ascii="Times New Roman" w:cs="Times New Roman" w:eastAsia="Times New Roman" w:hAnsi="Times New Roman"/>
          <w:sz w:val="17"/>
          <w:szCs w:val="17"/>
          <w:color w:val="auto"/>
        </w:rPr>
      </w:pPr>
    </w:p>
    <w:p>
      <w:pPr>
        <w:ind w:left="1888" w:right="140" w:hanging="620"/>
        <w:spacing w:after="0" w:line="295" w:lineRule="auto"/>
        <w:tabs>
          <w:tab w:leader="none" w:pos="1888"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Communications that are to be made available on the Platform to Public Lenders shall be clearly and conspicuously marked “PUBLIC” which, at a minimum, shall mean that the word “PUBLIC” shall appear prominently on the first page thereof;</w:t>
      </w:r>
    </w:p>
    <w:p>
      <w:pPr>
        <w:spacing w:after="0" w:line="55" w:lineRule="exact"/>
        <w:rPr>
          <w:rFonts w:ascii="Times New Roman" w:cs="Times New Roman" w:eastAsia="Times New Roman" w:hAnsi="Times New Roman"/>
          <w:sz w:val="17"/>
          <w:szCs w:val="17"/>
          <w:color w:val="auto"/>
        </w:rPr>
      </w:pPr>
    </w:p>
    <w:p>
      <w:pPr>
        <w:ind w:left="1888" w:right="100" w:hanging="620"/>
        <w:spacing w:after="0" w:line="269" w:lineRule="auto"/>
        <w:tabs>
          <w:tab w:leader="none" w:pos="1888"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marking Communications “PUBLIC”, the Company shall be deemed to have authorized the Agent and the Lenders to treat such Communications as either publicly available information or not material information (although it may be sensitive and proprietary) with respect to Melco, any of its Subsidiaries or their respective securities for purposes of US federal and state securities laws;</w:t>
      </w:r>
    </w:p>
    <w:p>
      <w:pPr>
        <w:spacing w:after="0" w:line="77" w:lineRule="exact"/>
        <w:rPr>
          <w:rFonts w:ascii="Times New Roman" w:cs="Times New Roman" w:eastAsia="Times New Roman" w:hAnsi="Times New Roman"/>
          <w:sz w:val="17"/>
          <w:szCs w:val="17"/>
          <w:color w:val="auto"/>
        </w:rPr>
      </w:pPr>
    </w:p>
    <w:p>
      <w:pPr>
        <w:ind w:left="1888" w:right="400" w:hanging="620"/>
        <w:spacing w:after="0" w:line="295" w:lineRule="auto"/>
        <w:tabs>
          <w:tab w:leader="none" w:pos="1888"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Communications marked “PUBLIC” are permitted to be made available through a portion of the Platform designated “Public Lender”; and</w:t>
      </w:r>
    </w:p>
    <w:p>
      <w:pPr>
        <w:spacing w:after="0" w:line="55" w:lineRule="exact"/>
        <w:rPr>
          <w:rFonts w:ascii="Times New Roman" w:cs="Times New Roman" w:eastAsia="Times New Roman" w:hAnsi="Times New Roman"/>
          <w:sz w:val="17"/>
          <w:szCs w:val="17"/>
          <w:color w:val="auto"/>
        </w:rPr>
      </w:pPr>
    </w:p>
    <w:p>
      <w:pPr>
        <w:ind w:left="1888" w:right="100" w:hanging="620"/>
        <w:spacing w:after="0" w:line="295" w:lineRule="auto"/>
        <w:tabs>
          <w:tab w:leader="none" w:pos="1888"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be entitled to treat any Communications that are not marked “PUBLIC” as being suitable only for posting on a portion of the Platform not designated “Public Lender”.</w:t>
      </w:r>
    </w:p>
    <w:p>
      <w:pPr>
        <w:spacing w:after="0" w:line="55" w:lineRule="exact"/>
        <w:rPr>
          <w:rFonts w:ascii="Times New Roman" w:cs="Times New Roman" w:eastAsia="Times New Roman" w:hAnsi="Times New Roman"/>
          <w:sz w:val="17"/>
          <w:szCs w:val="17"/>
          <w:color w:val="auto"/>
        </w:rPr>
      </w:pPr>
    </w:p>
    <w:p>
      <w:pPr>
        <w:ind w:left="1268" w:right="280" w:hanging="523"/>
        <w:spacing w:after="0" w:line="295" w:lineRule="auto"/>
        <w:tabs>
          <w:tab w:leader="none" w:pos="1268"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a Finance Document to a communication being sent or received shall be construed to include that communication being made available in accordance with this Clause 34.6.</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34.7</w:t>
      </w:r>
      <w:r>
        <w:rPr>
          <w:sz w:val="20"/>
          <w:szCs w:val="20"/>
          <w:color w:val="auto"/>
        </w:rPr>
        <w:tab/>
      </w:r>
      <w:r>
        <w:rPr>
          <w:rFonts w:ascii="Times New Roman" w:cs="Times New Roman" w:eastAsia="Times New Roman" w:hAnsi="Times New Roman"/>
          <w:sz w:val="17"/>
          <w:szCs w:val="17"/>
          <w:b w:val="1"/>
          <w:bCs w:val="1"/>
          <w:color w:val="auto"/>
        </w:rPr>
        <w:t>English language</w:t>
      </w:r>
    </w:p>
    <w:p>
      <w:pPr>
        <w:spacing w:after="0" w:line="133" w:lineRule="exact"/>
        <w:rPr>
          <w:sz w:val="20"/>
          <w:szCs w:val="20"/>
          <w:color w:val="auto"/>
        </w:rPr>
      </w:pPr>
    </w:p>
    <w:p>
      <w:pPr>
        <w:ind w:left="1268" w:hanging="523"/>
        <w:spacing w:after="0"/>
        <w:tabs>
          <w:tab w:leader="none" w:pos="1268" w:val="left"/>
        </w:tabs>
        <w:numPr>
          <w:ilvl w:val="1"/>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given under or in connection with any Finance Document must be in English.</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documents provided under or in connection with any Finance Document must be:</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English; or</w:t>
      </w:r>
    </w:p>
    <w:p>
      <w:pPr>
        <w:spacing w:after="0" w:line="131" w:lineRule="exact"/>
        <w:rPr>
          <w:rFonts w:ascii="Times New Roman" w:cs="Times New Roman" w:eastAsia="Times New Roman" w:hAnsi="Times New Roman"/>
          <w:sz w:val="17"/>
          <w:szCs w:val="17"/>
          <w:color w:val="auto"/>
        </w:rPr>
      </w:pPr>
    </w:p>
    <w:p>
      <w:pPr>
        <w:ind w:left="1888" w:right="40" w:hanging="620"/>
        <w:spacing w:after="0" w:line="295" w:lineRule="auto"/>
        <w:tabs>
          <w:tab w:leader="none" w:pos="1888" w:val="left"/>
        </w:tabs>
        <w:numPr>
          <w:ilvl w:val="2"/>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5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Calculations and certificates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35.1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120" w:lineRule="exact"/>
        <w:rPr>
          <w:sz w:val="20"/>
          <w:szCs w:val="20"/>
          <w:color w:val="auto"/>
        </w:rPr>
      </w:pPr>
    </w:p>
    <w:p>
      <w:pPr>
        <w:ind w:left="748" w:right="660"/>
        <w:spacing w:after="0" w:line="295" w:lineRule="auto"/>
        <w:rPr>
          <w:sz w:val="20"/>
          <w:szCs w:val="20"/>
          <w:color w:val="auto"/>
        </w:rPr>
      </w:pPr>
      <w:r>
        <w:rPr>
          <w:rFonts w:ascii="Times New Roman" w:cs="Times New Roman" w:eastAsia="Times New Roman" w:hAnsi="Times New Roman"/>
          <w:sz w:val="17"/>
          <w:szCs w:val="17"/>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35.2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120" w:lineRule="exact"/>
        <w:rPr>
          <w:sz w:val="20"/>
          <w:szCs w:val="20"/>
          <w:color w:val="auto"/>
        </w:rPr>
      </w:pPr>
    </w:p>
    <w:p>
      <w:pPr>
        <w:ind w:left="748" w:right="240"/>
        <w:spacing w:after="0" w:line="295" w:lineRule="auto"/>
        <w:rPr>
          <w:sz w:val="20"/>
          <w:szCs w:val="20"/>
          <w:color w:val="auto"/>
        </w:rPr>
      </w:pPr>
      <w:r>
        <w:rPr>
          <w:rFonts w:ascii="Times New Roman" w:cs="Times New Roman" w:eastAsia="Times New Roman" w:hAnsi="Times New Roman"/>
          <w:sz w:val="17"/>
          <w:szCs w:val="17"/>
          <w:color w:val="auto"/>
        </w:rPr>
        <w:t>Any certification or determination by a Finance Party of a rate or amount under any Finance Document is, in the absence of manifest error, conclusive evidence of the matters to which it relates.</w:t>
      </w:r>
    </w:p>
    <w:p>
      <w:pPr>
        <w:spacing w:after="0" w:line="288"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35.3</w:t>
      </w:r>
      <w:r>
        <w:rPr>
          <w:sz w:val="20"/>
          <w:szCs w:val="20"/>
          <w:color w:val="auto"/>
        </w:rPr>
        <w:tab/>
      </w:r>
      <w:r>
        <w:rPr>
          <w:rFonts w:ascii="Times New Roman" w:cs="Times New Roman" w:eastAsia="Times New Roman" w:hAnsi="Times New Roman"/>
          <w:sz w:val="17"/>
          <w:szCs w:val="17"/>
          <w:b w:val="1"/>
          <w:bCs w:val="1"/>
          <w:color w:val="auto"/>
        </w:rPr>
        <w:t>Day count convention and interest calculation</w:t>
      </w:r>
    </w:p>
    <w:p>
      <w:pPr>
        <w:spacing w:after="0" w:line="133" w:lineRule="exact"/>
        <w:rPr>
          <w:sz w:val="20"/>
          <w:szCs w:val="20"/>
          <w:color w:val="auto"/>
        </w:rPr>
      </w:pPr>
    </w:p>
    <w:p>
      <w:pPr>
        <w:ind w:left="1268" w:right="80" w:hanging="523"/>
        <w:spacing w:after="0" w:line="295" w:lineRule="auto"/>
        <w:tabs>
          <w:tab w:leader="none" w:pos="1268"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commission or fee accruing under a Finance Document will accrue from day to day and the amount of any such interest, commission or fee is calculated:</w:t>
      </w:r>
    </w:p>
    <w:p>
      <w:pPr>
        <w:spacing w:after="0" w:line="55" w:lineRule="exact"/>
        <w:rPr>
          <w:rFonts w:ascii="Times New Roman" w:cs="Times New Roman" w:eastAsia="Times New Roman" w:hAnsi="Times New Roman"/>
          <w:sz w:val="17"/>
          <w:szCs w:val="17"/>
          <w:color w:val="auto"/>
        </w:rPr>
      </w:pPr>
    </w:p>
    <w:p>
      <w:pPr>
        <w:ind w:left="1888" w:right="440" w:hanging="620"/>
        <w:spacing w:after="0" w:line="295" w:lineRule="auto"/>
        <w:tabs>
          <w:tab w:leader="none" w:pos="1888" w:val="left"/>
        </w:tabs>
        <w:numPr>
          <w:ilvl w:val="1"/>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basis of the actual number of days elapsed and a year of 360 days (where due in an Optional Currency other than GBP) and 365 days (where due in the Base Currency or GBP); and</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27" w:name="page428"/>
    <w:bookmarkEnd w:id="427"/>
    <w:p>
      <w:pPr>
        <w:ind w:left="1888" w:hanging="620"/>
        <w:spacing w:after="0"/>
        <w:tabs>
          <w:tab w:leader="none" w:pos="1888" w:val="left"/>
        </w:tabs>
        <w:numPr>
          <w:ilvl w:val="2"/>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subject to paragraph (b) below, without rounding.</w:t>
      </w:r>
    </w:p>
    <w:p>
      <w:pPr>
        <w:spacing w:after="0" w:line="131" w:lineRule="exact"/>
        <w:rPr>
          <w:rFonts w:ascii="Times New Roman" w:cs="Times New Roman" w:eastAsia="Times New Roman" w:hAnsi="Times New Roman"/>
          <w:sz w:val="17"/>
          <w:szCs w:val="17"/>
          <w:color w:val="auto"/>
        </w:rPr>
      </w:pPr>
    </w:p>
    <w:p>
      <w:pPr>
        <w:ind w:left="1268" w:right="360" w:hanging="523"/>
        <w:spacing w:after="0" w:line="295" w:lineRule="auto"/>
        <w:tabs>
          <w:tab w:leader="none" w:pos="1268" w:val="left"/>
        </w:tabs>
        <w:numPr>
          <w:ilvl w:val="1"/>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any accrued interest, commission or fee which is, or becomes, payable by the Company under a Finance Document shall be rounded to two decimal places.</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5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Partial invalidity</w:t>
      </w:r>
    </w:p>
    <w:p>
      <w:pPr>
        <w:spacing w:after="0" w:line="120" w:lineRule="exact"/>
        <w:rPr>
          <w:rFonts w:ascii="Times New Roman" w:cs="Times New Roman" w:eastAsia="Times New Roman" w:hAnsi="Times New Roman"/>
          <w:sz w:val="17"/>
          <w:szCs w:val="17"/>
          <w:b w:val="1"/>
          <w:bCs w:val="1"/>
          <w:color w:val="auto"/>
        </w:rPr>
      </w:pPr>
    </w:p>
    <w:p>
      <w:pPr>
        <w:ind w:left="748" w:right="44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03"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5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Remedies and waivers</w:t>
      </w:r>
    </w:p>
    <w:p>
      <w:pPr>
        <w:spacing w:after="0" w:line="120" w:lineRule="exact"/>
        <w:rPr>
          <w:rFonts w:ascii="Times New Roman" w:cs="Times New Roman" w:eastAsia="Times New Roman" w:hAnsi="Times New Roman"/>
          <w:sz w:val="17"/>
          <w:szCs w:val="17"/>
          <w:b w:val="1"/>
          <w:bCs w:val="1"/>
          <w:color w:val="auto"/>
        </w:rPr>
      </w:pPr>
    </w:p>
    <w:p>
      <w:pPr>
        <w:ind w:left="748" w:right="1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failure to exercise, nor any delay in exercising, on the part of any Finance Party, any right or remedy under a Finance Document shall operate as a waiver of any such right or remedy or constitute an election to affirm any Finance Document.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13"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5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and waivers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38.1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131" w:lineRule="exact"/>
        <w:rPr>
          <w:sz w:val="20"/>
          <w:szCs w:val="20"/>
          <w:color w:val="auto"/>
        </w:rPr>
      </w:pPr>
    </w:p>
    <w:p>
      <w:pPr>
        <w:ind w:left="1268" w:right="140" w:hanging="523"/>
        <w:spacing w:after="0" w:line="267" w:lineRule="auto"/>
        <w:tabs>
          <w:tab w:leader="none" w:pos="1268"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38.2 (</w:t>
      </w: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Clause 38.3 (</w:t>
      </w:r>
      <w:r>
        <w:rPr>
          <w:rFonts w:ascii="Times New Roman" w:cs="Times New Roman" w:eastAsia="Times New Roman" w:hAnsi="Times New Roman"/>
          <w:sz w:val="17"/>
          <w:szCs w:val="17"/>
          <w:i w:val="1"/>
          <w:iCs w:val="1"/>
          <w:color w:val="auto"/>
        </w:rPr>
        <w:t>Extension of Commitments</w:t>
      </w:r>
      <w:r>
        <w:rPr>
          <w:rFonts w:ascii="Times New Roman" w:cs="Times New Roman" w:eastAsia="Times New Roman" w:hAnsi="Times New Roman"/>
          <w:sz w:val="17"/>
          <w:szCs w:val="17"/>
          <w:color w:val="auto"/>
        </w:rPr>
        <w:t>), Clause 38.6 (</w:t>
      </w:r>
      <w:r>
        <w:rPr>
          <w:rFonts w:ascii="Times New Roman" w:cs="Times New Roman" w:eastAsia="Times New Roman" w:hAnsi="Times New Roman"/>
          <w:sz w:val="17"/>
          <w:szCs w:val="17"/>
          <w:i w:val="1"/>
          <w:iCs w:val="1"/>
          <w:color w:val="auto"/>
        </w:rPr>
        <w:t>Changes to reference rates</w:t>
      </w:r>
      <w:r>
        <w:rPr>
          <w:rFonts w:ascii="Times New Roman" w:cs="Times New Roman" w:eastAsia="Times New Roman" w:hAnsi="Times New Roman"/>
          <w:sz w:val="17"/>
          <w:szCs w:val="17"/>
          <w:color w:val="auto"/>
        </w:rPr>
        <w:t>) and paragraph (b) below, any term of the Finance Documents (other than the Fee Letters, which may be amended or waived only in accordance with their respective terms) may and may only be amended or waived with the consent of the Majority Lenders and the Company and any such amendment or waiver will be binding on all Parties. The Company shall endeavour to notify each Subsidiary Guarantor of each amendment and waiver and the Agent is authorised to do the same.</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effect, on behalf of any Finance Party:</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waiver or enter into any document or do any other act or thing permitted by this Clause 38; and</w:t>
      </w:r>
    </w:p>
    <w:p>
      <w:pPr>
        <w:spacing w:after="0" w:line="129" w:lineRule="exact"/>
        <w:rPr>
          <w:rFonts w:ascii="Times New Roman" w:cs="Times New Roman" w:eastAsia="Times New Roman" w:hAnsi="Times New Roman"/>
          <w:sz w:val="17"/>
          <w:szCs w:val="17"/>
          <w:color w:val="auto"/>
        </w:rPr>
      </w:pPr>
    </w:p>
    <w:p>
      <w:pPr>
        <w:ind w:left="1888" w:right="40" w:hanging="620"/>
        <w:spacing w:after="0" w:line="298" w:lineRule="auto"/>
        <w:tabs>
          <w:tab w:leader="none" w:pos="1888"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paragraph (a) of Clause 29.7 (</w:t>
      </w:r>
      <w:r>
        <w:rPr>
          <w:rFonts w:ascii="Times New Roman" w:cs="Times New Roman" w:eastAsia="Times New Roman" w:hAnsi="Times New Roman"/>
          <w:sz w:val="17"/>
          <w:szCs w:val="17"/>
          <w:i w:val="1"/>
          <w:iCs w:val="1"/>
          <w:color w:val="auto"/>
        </w:rPr>
        <w:t>Majority Lenders’ instructions</w:t>
      </w:r>
      <w:r>
        <w:rPr>
          <w:rFonts w:ascii="Times New Roman" w:cs="Times New Roman" w:eastAsia="Times New Roman" w:hAnsi="Times New Roman"/>
          <w:sz w:val="17"/>
          <w:szCs w:val="17"/>
          <w:color w:val="auto"/>
        </w:rPr>
        <w:t>), any amendment or waiver of, or in respect of, such matters as it determines to be of a minor technical or administrative matters or of a non-credit related nature.</w:t>
      </w:r>
    </w:p>
    <w:p>
      <w:pPr>
        <w:spacing w:after="0" w:line="50" w:lineRule="exact"/>
        <w:rPr>
          <w:rFonts w:ascii="Times New Roman" w:cs="Times New Roman" w:eastAsia="Times New Roman" w:hAnsi="Times New Roman"/>
          <w:sz w:val="17"/>
          <w:szCs w:val="17"/>
          <w:color w:val="auto"/>
        </w:rPr>
      </w:pPr>
    </w:p>
    <w:p>
      <w:pPr>
        <w:ind w:left="1268" w:right="60" w:hanging="523"/>
        <w:spacing w:after="0" w:line="277" w:lineRule="auto"/>
        <w:tabs>
          <w:tab w:leader="none" w:pos="1268"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paragraph (c) of Clause 29.6 (</w:t>
      </w:r>
      <w:r>
        <w:rPr>
          <w:rFonts w:ascii="Times New Roman" w:cs="Times New Roman" w:eastAsia="Times New Roman" w:hAnsi="Times New Roman"/>
          <w:sz w:val="17"/>
          <w:szCs w:val="17"/>
          <w:i w:val="1"/>
          <w:iCs w:val="1"/>
          <w:color w:val="auto"/>
        </w:rPr>
        <w:t>Rights and discretion</w:t>
      </w:r>
      <w:r>
        <w:rPr>
          <w:rFonts w:ascii="Times New Roman" w:cs="Times New Roman" w:eastAsia="Times New Roman" w:hAnsi="Times New Roman"/>
          <w:sz w:val="17"/>
          <w:szCs w:val="17"/>
          <w:color w:val="auto"/>
        </w:rPr>
        <w:t>), the Agent may engage, pay for and rely on the services of lawyers in determining the consent level required for and effecting any request for a consent, waiver, release, amendment or other vote under the Finance Documents.</w:t>
      </w:r>
    </w:p>
    <w:p>
      <w:pPr>
        <w:spacing w:after="0" w:line="96"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28" w:name="page429"/>
    <w:bookmarkEnd w:id="428"/>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38.2</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1" w:lineRule="exact"/>
        <w:rPr>
          <w:sz w:val="20"/>
          <w:szCs w:val="20"/>
          <w:color w:val="auto"/>
        </w:rPr>
      </w:pPr>
    </w:p>
    <w:p>
      <w:pPr>
        <w:ind w:left="1260" w:right="360" w:hanging="523"/>
        <w:spacing w:after="0" w:line="298" w:lineRule="auto"/>
        <w:tabs>
          <w:tab w:leader="none" w:pos="1260" w:val="left"/>
        </w:tabs>
        <w:numPr>
          <w:ilvl w:val="0"/>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38.3 (</w:t>
      </w:r>
      <w:r>
        <w:rPr>
          <w:rFonts w:ascii="Times New Roman" w:cs="Times New Roman" w:eastAsia="Times New Roman" w:hAnsi="Times New Roman"/>
          <w:sz w:val="17"/>
          <w:szCs w:val="17"/>
          <w:i w:val="1"/>
          <w:iCs w:val="1"/>
          <w:color w:val="auto"/>
        </w:rPr>
        <w:t>Extension of Commitments</w:t>
      </w:r>
      <w:r>
        <w:rPr>
          <w:rFonts w:ascii="Times New Roman" w:cs="Times New Roman" w:eastAsia="Times New Roman" w:hAnsi="Times New Roman"/>
          <w:sz w:val="17"/>
          <w:szCs w:val="17"/>
          <w:color w:val="auto"/>
        </w:rPr>
        <w:t>) and Clause 38.6 (</w:t>
      </w:r>
      <w:r>
        <w:rPr>
          <w:rFonts w:ascii="Times New Roman" w:cs="Times New Roman" w:eastAsia="Times New Roman" w:hAnsi="Times New Roman"/>
          <w:sz w:val="17"/>
          <w:szCs w:val="17"/>
          <w:i w:val="1"/>
          <w:iCs w:val="1"/>
          <w:color w:val="auto"/>
        </w:rPr>
        <w:t>Changes to reference rates</w:t>
      </w:r>
      <w:r>
        <w:rPr>
          <w:rFonts w:ascii="Times New Roman" w:cs="Times New Roman" w:eastAsia="Times New Roman" w:hAnsi="Times New Roman"/>
          <w:sz w:val="17"/>
          <w:szCs w:val="17"/>
          <w:color w:val="auto"/>
        </w:rPr>
        <w:t>), an amendment, waiver or other exercise of any right, power or discretion that has the effect of changing or which relates to:</w:t>
      </w:r>
    </w:p>
    <w:p>
      <w:pPr>
        <w:spacing w:after="0" w:line="50"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b w:val="1"/>
          <w:bCs w:val="1"/>
          <w:color w:val="auto"/>
        </w:rPr>
        <w:t>Majority Facility Lenders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Majority Lenders</w:t>
      </w:r>
      <w:r>
        <w:rPr>
          <w:rFonts w:ascii="Times New Roman" w:cs="Times New Roman" w:eastAsia="Times New Roman" w:hAnsi="Times New Roman"/>
          <w:sz w:val="17"/>
          <w:szCs w:val="17"/>
          <w:color w:val="auto"/>
        </w:rPr>
        <w:t>” in Clause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or the definition of</w:t>
      </w:r>
    </w:p>
    <w:p>
      <w:pPr>
        <w:spacing w:after="0" w:line="33" w:lineRule="exact"/>
        <w:rPr>
          <w:rFonts w:ascii="Times New Roman" w:cs="Times New Roman" w:eastAsia="Times New Roman" w:hAnsi="Times New Roman"/>
          <w:sz w:val="17"/>
          <w:szCs w:val="17"/>
          <w:color w:val="auto"/>
        </w:rPr>
      </w:pPr>
    </w:p>
    <w:p>
      <w:pPr>
        <w:ind w:left="1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Concession Expiry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Land Concession Termination</w:t>
      </w:r>
      <w:r>
        <w:rPr>
          <w:rFonts w:ascii="Times New Roman" w:cs="Times New Roman" w:eastAsia="Times New Roman" w:hAnsi="Times New Roman"/>
          <w:sz w:val="17"/>
          <w:szCs w:val="17"/>
          <w:color w:val="auto"/>
        </w:rPr>
        <w:t>” in Clause 10 (</w:t>
      </w:r>
      <w:r>
        <w:rPr>
          <w:rFonts w:ascii="Times New Roman" w:cs="Times New Roman" w:eastAsia="Times New Roman" w:hAnsi="Times New Roman"/>
          <w:sz w:val="17"/>
          <w:szCs w:val="17"/>
          <w:i w:val="1"/>
          <w:iCs w:val="1"/>
          <w:color w:val="auto"/>
        </w:rPr>
        <w:t>Mandatory Prepayment</w:t>
      </w:r>
      <w:r>
        <w:rPr>
          <w:rFonts w:ascii="Times New Roman" w:cs="Times New Roman" w:eastAsia="Times New Roman" w:hAnsi="Times New Roman"/>
          <w:sz w:val="17"/>
          <w:szCs w:val="17"/>
          <w:color w:val="auto"/>
        </w:rPr>
        <w:t>);</w:t>
      </w:r>
    </w:p>
    <w:p>
      <w:pPr>
        <w:spacing w:after="0" w:line="11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extension to the date of payment of any amount under the Finance Documents;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Margin or a reduction in the amount of any payment of principal, interest, fees or commission payable;</w:t>
      </w:r>
    </w:p>
    <w:p>
      <w:pPr>
        <w:spacing w:after="0" w:line="131" w:lineRule="exact"/>
        <w:rPr>
          <w:rFonts w:ascii="Times New Roman" w:cs="Times New Roman" w:eastAsia="Times New Roman" w:hAnsi="Times New Roman"/>
          <w:sz w:val="17"/>
          <w:szCs w:val="17"/>
          <w:color w:val="auto"/>
        </w:rPr>
      </w:pPr>
    </w:p>
    <w:p>
      <w:pPr>
        <w:ind w:left="1880" w:right="340" w:hanging="620"/>
        <w:spacing w:after="0" w:line="295" w:lineRule="auto"/>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currency of payment of any amount under the Finance Documents (or redenomination of a Commitment into another currency);</w:t>
      </w:r>
    </w:p>
    <w:p>
      <w:pPr>
        <w:spacing w:after="0" w:line="5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any Commitment or the Total Commitments (other than pursuant to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1880" w:right="100" w:hanging="620"/>
        <w:spacing w:after="0" w:line="295" w:lineRule="auto"/>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extension of any Availability Period or any requirement that a cancellation of Commitments reduces the Commitments of the Lenders rateably under the relevant Facility;</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to the Company or the borrower of any of the Facilities;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which expressly requires the consent of all the Lenders;</w:t>
      </w:r>
    </w:p>
    <w:p>
      <w:pPr>
        <w:spacing w:after="0" w:line="129" w:lineRule="exact"/>
        <w:rPr>
          <w:rFonts w:ascii="Times New Roman" w:cs="Times New Roman" w:eastAsia="Times New Roman" w:hAnsi="Times New Roman"/>
          <w:sz w:val="17"/>
          <w:szCs w:val="17"/>
          <w:color w:val="auto"/>
        </w:rPr>
      </w:pPr>
    </w:p>
    <w:p>
      <w:pPr>
        <w:ind w:left="1880" w:right="200" w:hanging="620"/>
        <w:spacing w:after="0" w:line="270" w:lineRule="auto"/>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2.3 (</w:t>
      </w:r>
      <w:r>
        <w:rPr>
          <w:rFonts w:ascii="Times New Roman" w:cs="Times New Roman" w:eastAsia="Times New Roman" w:hAnsi="Times New Roman"/>
          <w:sz w:val="17"/>
          <w:szCs w:val="17"/>
          <w:i w:val="1"/>
          <w:iCs w:val="1"/>
          <w:color w:val="auto"/>
        </w:rPr>
        <w:t>Finance Parties’ rights and obligations</w:t>
      </w:r>
      <w:r>
        <w:rPr>
          <w:rFonts w:ascii="Times New Roman" w:cs="Times New Roman" w:eastAsia="Times New Roman" w:hAnsi="Times New Roman"/>
          <w:sz w:val="17"/>
          <w:szCs w:val="17"/>
          <w:color w:val="auto"/>
        </w:rPr>
        <w:t>), Clause 5.1 (</w:t>
      </w:r>
      <w:r>
        <w:rPr>
          <w:rFonts w:ascii="Times New Roman" w:cs="Times New Roman" w:eastAsia="Times New Roman" w:hAnsi="Times New Roman"/>
          <w:sz w:val="17"/>
          <w:szCs w:val="17"/>
          <w:i w:val="1"/>
          <w:iCs w:val="1"/>
          <w:color w:val="auto"/>
        </w:rPr>
        <w:t>Delivery of a Utilisation Request</w:t>
      </w:r>
      <w:r>
        <w:rPr>
          <w:rFonts w:ascii="Times New Roman" w:cs="Times New Roman" w:eastAsia="Times New Roman" w:hAnsi="Times New Roman"/>
          <w:sz w:val="17"/>
          <w:szCs w:val="17"/>
          <w:color w:val="auto"/>
        </w:rPr>
        <w:t>), Clause 9.1 (</w:t>
      </w:r>
      <w:r>
        <w:rPr>
          <w:rFonts w:ascii="Times New Roman" w:cs="Times New Roman" w:eastAsia="Times New Roman" w:hAnsi="Times New Roman"/>
          <w:sz w:val="17"/>
          <w:szCs w:val="17"/>
          <w:i w:val="1"/>
          <w:iCs w:val="1"/>
          <w:color w:val="auto"/>
        </w:rPr>
        <w:t>Illegality</w:t>
      </w:r>
      <w:r>
        <w:rPr>
          <w:rFonts w:ascii="Times New Roman" w:cs="Times New Roman" w:eastAsia="Times New Roman" w:hAnsi="Times New Roman"/>
          <w:sz w:val="17"/>
          <w:szCs w:val="17"/>
          <w:color w:val="auto"/>
        </w:rPr>
        <w:t>), Clause 10 (</w:t>
      </w:r>
      <w:r>
        <w:rPr>
          <w:rFonts w:ascii="Times New Roman" w:cs="Times New Roman" w:eastAsia="Times New Roman" w:hAnsi="Times New Roman"/>
          <w:sz w:val="17"/>
          <w:szCs w:val="17"/>
          <w:i w:val="1"/>
          <w:iCs w:val="1"/>
          <w:color w:val="auto"/>
        </w:rPr>
        <w:t>Mandatory Prepayment</w:t>
      </w:r>
      <w:r>
        <w:rPr>
          <w:rFonts w:ascii="Times New Roman" w:cs="Times New Roman" w:eastAsia="Times New Roman" w:hAnsi="Times New Roman"/>
          <w:sz w:val="17"/>
          <w:szCs w:val="17"/>
          <w:color w:val="auto"/>
        </w:rPr>
        <w:t>), Clause 26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 Clause 28 (</w:t>
      </w:r>
      <w:r>
        <w:rPr>
          <w:rFonts w:ascii="Times New Roman" w:cs="Times New Roman" w:eastAsia="Times New Roman" w:hAnsi="Times New Roman"/>
          <w:sz w:val="17"/>
          <w:szCs w:val="17"/>
          <w:i w:val="1"/>
          <w:iCs w:val="1"/>
          <w:color w:val="auto"/>
        </w:rPr>
        <w:t>Changes to the Company</w:t>
      </w:r>
      <w:r>
        <w:rPr>
          <w:rFonts w:ascii="Times New Roman" w:cs="Times New Roman" w:eastAsia="Times New Roman" w:hAnsi="Times New Roman"/>
          <w:sz w:val="17"/>
          <w:szCs w:val="17"/>
          <w:color w:val="auto"/>
        </w:rPr>
        <w:t>), Clause 31 (</w:t>
      </w:r>
      <w:r>
        <w:rPr>
          <w:rFonts w:ascii="Times New Roman" w:cs="Times New Roman" w:eastAsia="Times New Roman" w:hAnsi="Times New Roman"/>
          <w:sz w:val="17"/>
          <w:szCs w:val="17"/>
          <w:i w:val="1"/>
          <w:iCs w:val="1"/>
          <w:color w:val="auto"/>
        </w:rPr>
        <w:t>Sharing among the Finance Parties</w:t>
      </w:r>
      <w:r>
        <w:rPr>
          <w:rFonts w:ascii="Times New Roman" w:cs="Times New Roman" w:eastAsia="Times New Roman" w:hAnsi="Times New Roman"/>
          <w:sz w:val="17"/>
          <w:szCs w:val="17"/>
          <w:color w:val="auto"/>
        </w:rPr>
        <w:t>), this Clause 38, Clause 46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or Clause 47.1 (</w:t>
      </w:r>
      <w:r>
        <w:rPr>
          <w:rFonts w:ascii="Times New Roman" w:cs="Times New Roman" w:eastAsia="Times New Roman" w:hAnsi="Times New Roman"/>
          <w:sz w:val="17"/>
          <w:szCs w:val="17"/>
          <w:i w:val="1"/>
          <w:iCs w:val="1"/>
          <w:color w:val="auto"/>
        </w:rPr>
        <w:t>Jurisdiction of English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courts</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17"/>
          <w:szCs w:val="17"/>
          <w:color w:val="auto"/>
        </w:rPr>
      </w:pPr>
    </w:p>
    <w:p>
      <w:pPr>
        <w:ind w:left="1880" w:right="520" w:hanging="620"/>
        <w:spacing w:after="0" w:line="295" w:lineRule="auto"/>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or scope of the guarantee and indemnity granted pursuant to any Subsidiary Guarantee or any release of any Subsidiary Guarantee or the guarantee and indemnity granted under any other Finance Document;</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order of priority or subordination under the Subordination Deed; or</w:t>
      </w:r>
    </w:p>
    <w:p>
      <w:pPr>
        <w:spacing w:after="0" w:line="129" w:lineRule="exact"/>
        <w:rPr>
          <w:rFonts w:ascii="Times New Roman" w:cs="Times New Roman" w:eastAsia="Times New Roman" w:hAnsi="Times New Roman"/>
          <w:sz w:val="17"/>
          <w:szCs w:val="17"/>
          <w:color w:val="auto"/>
        </w:rPr>
      </w:pPr>
    </w:p>
    <w:p>
      <w:pPr>
        <w:ind w:left="1880" w:right="60" w:hanging="620"/>
        <w:spacing w:after="0" w:line="270" w:lineRule="auto"/>
        <w:tabs>
          <w:tab w:leader="none" w:pos="1880" w:val="left"/>
        </w:tabs>
        <w:numPr>
          <w:ilvl w:val="1"/>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provisions of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 or any amendment or waiver of a term of any Incremental Facility which would (had such relevant term after giving effect to such amendment or waiver constituted a term of such Incremental Facility at the time it was made available pursuant to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 be a breach of Clause 7 (</w:t>
      </w:r>
      <w:r>
        <w:rPr>
          <w:rFonts w:ascii="Times New Roman" w:cs="Times New Roman" w:eastAsia="Times New Roman" w:hAnsi="Times New Roman"/>
          <w:sz w:val="17"/>
          <w:szCs w:val="17"/>
          <w:i w:val="1"/>
          <w:iCs w:val="1"/>
          <w:color w:val="auto"/>
        </w:rPr>
        <w:t>Incremental Facilities</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shall not be made without the prior consent of all the Lenders.</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38.3</w:t>
      </w:r>
      <w:r>
        <w:rPr>
          <w:sz w:val="20"/>
          <w:szCs w:val="20"/>
          <w:color w:val="auto"/>
        </w:rPr>
        <w:tab/>
      </w:r>
      <w:r>
        <w:rPr>
          <w:rFonts w:ascii="Times New Roman" w:cs="Times New Roman" w:eastAsia="Times New Roman" w:hAnsi="Times New Roman"/>
          <w:sz w:val="17"/>
          <w:szCs w:val="17"/>
          <w:b w:val="1"/>
          <w:bCs w:val="1"/>
          <w:color w:val="auto"/>
        </w:rPr>
        <w:t>Extension of Commitments</w:t>
      </w:r>
    </w:p>
    <w:p>
      <w:pPr>
        <w:spacing w:after="0" w:line="133" w:lineRule="exact"/>
        <w:rPr>
          <w:sz w:val="20"/>
          <w:szCs w:val="20"/>
          <w:color w:val="auto"/>
        </w:rPr>
      </w:pPr>
    </w:p>
    <w:p>
      <w:pPr>
        <w:ind w:left="1260" w:hanging="523"/>
        <w:spacing w:after="0"/>
        <w:tabs>
          <w:tab w:leader="none" w:pos="1260" w:val="left"/>
        </w:tabs>
        <w:numPr>
          <w:ilvl w:val="0"/>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(d) below, the Company and any Lender may agree that:</w:t>
      </w:r>
    </w:p>
    <w:p>
      <w:pPr>
        <w:spacing w:after="0" w:line="131" w:lineRule="exact"/>
        <w:rPr>
          <w:rFonts w:ascii="Times New Roman" w:cs="Times New Roman" w:eastAsia="Times New Roman" w:hAnsi="Times New Roman"/>
          <w:sz w:val="17"/>
          <w:szCs w:val="17"/>
          <w:color w:val="auto"/>
        </w:rPr>
      </w:pPr>
    </w:p>
    <w:p>
      <w:pPr>
        <w:ind w:left="1880" w:right="500" w:hanging="620"/>
        <w:spacing w:after="0" w:line="295" w:lineRule="auto"/>
        <w:tabs>
          <w:tab w:leader="none" w:pos="1880" w:val="left"/>
        </w:tabs>
        <w:numPr>
          <w:ilvl w:val="1"/>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that Lender’s Commitments in a Facility, the Availability Period and Termination Date applicable to such Commitments be extended; and</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29" w:name="page430"/>
    <w:bookmarkEnd w:id="429"/>
    <w:p>
      <w:pPr>
        <w:ind w:left="1880" w:right="700" w:hanging="620"/>
        <w:spacing w:after="0" w:line="295" w:lineRule="auto"/>
        <w:tabs>
          <w:tab w:leader="none" w:pos="1880" w:val="left"/>
        </w:tabs>
        <w:numPr>
          <w:ilvl w:val="1"/>
          <w:numId w:val="5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any extension as referred to in paragraph (i) above applies, the Margin applicable to the relevant participation and Commitment should be adjusted.</w:t>
      </w:r>
    </w:p>
    <w:p>
      <w:pPr>
        <w:spacing w:after="0" w:line="55" w:lineRule="exact"/>
        <w:rPr>
          <w:rFonts w:ascii="Times New Roman" w:cs="Times New Roman" w:eastAsia="Times New Roman" w:hAnsi="Times New Roman"/>
          <w:sz w:val="17"/>
          <w:szCs w:val="17"/>
          <w:color w:val="auto"/>
        </w:rPr>
      </w:pPr>
    </w:p>
    <w:p>
      <w:pPr>
        <w:ind w:left="1260" w:right="80" w:hanging="523"/>
        <w:spacing w:after="0" w:line="266" w:lineRule="auto"/>
        <w:tabs>
          <w:tab w:leader="none" w:pos="126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any agreement as referred to in paragraph (a) above, the Company and the relevant Lender(s) may notify the Agent, giving details of the applicable agreement (the “</w:t>
      </w:r>
      <w:r>
        <w:rPr>
          <w:rFonts w:ascii="Times New Roman" w:cs="Times New Roman" w:eastAsia="Times New Roman" w:hAnsi="Times New Roman"/>
          <w:sz w:val="17"/>
          <w:szCs w:val="17"/>
          <w:b w:val="1"/>
          <w:bCs w:val="1"/>
          <w:color w:val="auto"/>
        </w:rPr>
        <w:t>Extension Agreement</w:t>
      </w:r>
      <w:r>
        <w:rPr>
          <w:rFonts w:ascii="Times New Roman" w:cs="Times New Roman" w:eastAsia="Times New Roman" w:hAnsi="Times New Roman"/>
          <w:sz w:val="17"/>
          <w:szCs w:val="17"/>
          <w:color w:val="auto"/>
        </w:rPr>
        <w:t>”). Promptly following its receipt of such notice, the Agent shall (at the cost of the Company) agree with the Company on behalf of the Finance Parties such amendments to the Finance Documents as may be necessary or appropriate to give effect to the Extension Agreement (which, for the avoidance of doubt, may include re-designating the affected Commitments and participations as commitments and loans made under a separate facility).</w:t>
      </w:r>
    </w:p>
    <w:p>
      <w:pPr>
        <w:spacing w:after="0" w:line="79" w:lineRule="exact"/>
        <w:rPr>
          <w:rFonts w:ascii="Times New Roman" w:cs="Times New Roman" w:eastAsia="Times New Roman" w:hAnsi="Times New Roman"/>
          <w:sz w:val="17"/>
          <w:szCs w:val="17"/>
          <w:color w:val="auto"/>
        </w:rPr>
      </w:pPr>
    </w:p>
    <w:p>
      <w:pPr>
        <w:ind w:left="1260" w:right="640" w:hanging="523"/>
        <w:spacing w:after="0" w:line="295" w:lineRule="auto"/>
        <w:tabs>
          <w:tab w:leader="none" w:pos="126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promptly provide to each of the Finance Parties copies of any amendment agreement entered into pursuant to paragraph (b) above.</w:t>
      </w:r>
    </w:p>
    <w:p>
      <w:pPr>
        <w:spacing w:after="0" w:line="55" w:lineRule="exact"/>
        <w:rPr>
          <w:rFonts w:ascii="Times New Roman" w:cs="Times New Roman" w:eastAsia="Times New Roman" w:hAnsi="Times New Roman"/>
          <w:sz w:val="17"/>
          <w:szCs w:val="17"/>
          <w:color w:val="auto"/>
        </w:rPr>
      </w:pPr>
    </w:p>
    <w:p>
      <w:pPr>
        <w:ind w:left="1260" w:right="260" w:hanging="523"/>
        <w:spacing w:after="0" w:line="295" w:lineRule="auto"/>
        <w:tabs>
          <w:tab w:leader="none" w:pos="126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will only be authorise to enter into an amendment agreement under paragraph (b) above in respect of Commitments and participations relating to a Facility if, prior to entering into such amendment agreement it is satisfied (acting reasonably) that:</w:t>
      </w:r>
    </w:p>
    <w:p>
      <w:pPr>
        <w:spacing w:after="0" w:line="55" w:lineRule="exact"/>
        <w:rPr>
          <w:rFonts w:ascii="Times New Roman" w:cs="Times New Roman" w:eastAsia="Times New Roman" w:hAnsi="Times New Roman"/>
          <w:sz w:val="17"/>
          <w:szCs w:val="17"/>
          <w:color w:val="auto"/>
        </w:rPr>
      </w:pPr>
    </w:p>
    <w:p>
      <w:pPr>
        <w:ind w:left="1880" w:right="140" w:hanging="620"/>
        <w:spacing w:after="0" w:line="295" w:lineRule="auto"/>
        <w:tabs>
          <w:tab w:leader="none" w:pos="1880"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in the relevant Facility has been offered the opportunity to participate in such extension in an amount up to that Lender’s Pro Rata Share; and</w:t>
      </w:r>
    </w:p>
    <w:p>
      <w:pPr>
        <w:spacing w:after="0" w:line="55" w:lineRule="exact"/>
        <w:rPr>
          <w:sz w:val="20"/>
          <w:szCs w:val="20"/>
          <w:color w:val="auto"/>
        </w:rPr>
      </w:pPr>
    </w:p>
    <w:p>
      <w:pPr>
        <w:ind w:left="1880" w:right="80" w:hanging="620"/>
        <w:spacing w:after="0" w:line="273" w:lineRule="auto"/>
        <w:tabs>
          <w:tab w:leader="none" w:pos="1880"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in the relevant Facility has been given a period of at least ten (10) Business Days following receipt of the proposed terms of the extension referred to in paragraph (a) above to determine (A) whether or not to participate and (B) if it wishes to participate, the amount of its relevant Commitment (up to its Pro Rata Share) that it is willing to extend on the proposed terms.</w:t>
      </w:r>
    </w:p>
    <w:p>
      <w:pPr>
        <w:spacing w:after="0" w:line="272" w:lineRule="exact"/>
        <w:rPr>
          <w:sz w:val="20"/>
          <w:szCs w:val="20"/>
          <w:color w:val="auto"/>
        </w:rPr>
      </w:pPr>
    </w:p>
    <w:p>
      <w:pPr>
        <w:ind w:left="1380" w:right="260"/>
        <w:spacing w:after="0" w:line="277" w:lineRule="auto"/>
        <w:rPr>
          <w:sz w:val="20"/>
          <w:szCs w:val="20"/>
          <w:color w:val="auto"/>
        </w:rPr>
      </w:pPr>
      <w:r>
        <w:rPr>
          <w:rFonts w:ascii="Times New Roman" w:cs="Times New Roman" w:eastAsia="Times New Roman" w:hAnsi="Times New Roman"/>
          <w:sz w:val="17"/>
          <w:szCs w:val="17"/>
          <w:color w:val="auto"/>
        </w:rPr>
        <w:t>For the purposes of this paragraph (d), “</w:t>
      </w:r>
      <w:r>
        <w:rPr>
          <w:rFonts w:ascii="Times New Roman" w:cs="Times New Roman" w:eastAsia="Times New Roman" w:hAnsi="Times New Roman"/>
          <w:sz w:val="17"/>
          <w:szCs w:val="17"/>
          <w:b w:val="1"/>
          <w:bCs w:val="1"/>
          <w:color w:val="auto"/>
        </w:rPr>
        <w:t>Pro Rata Share</w:t>
      </w:r>
      <w:r>
        <w:rPr>
          <w:rFonts w:ascii="Times New Roman" w:cs="Times New Roman" w:eastAsia="Times New Roman" w:hAnsi="Times New Roman"/>
          <w:sz w:val="17"/>
          <w:szCs w:val="17"/>
          <w:color w:val="auto"/>
        </w:rPr>
        <w:t>” means, in relation to a Lender with Commitments in a Facility which is proposed to be extended (in whole or in part), the percentage of the aggregate amount of the relevant extended loans that such Lender’s Commitment in that Facility bears to the aggregate Commitments of all Lenders in that Facility.</w:t>
      </w:r>
    </w:p>
    <w:p>
      <w:pPr>
        <w:spacing w:after="0" w:line="3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38.4</w:t>
      </w:r>
      <w:r>
        <w:rPr>
          <w:sz w:val="20"/>
          <w:szCs w:val="20"/>
          <w:color w:val="auto"/>
        </w:rPr>
        <w:tab/>
      </w:r>
      <w:r>
        <w:rPr>
          <w:rFonts w:ascii="Times New Roman" w:cs="Times New Roman" w:eastAsia="Times New Roman" w:hAnsi="Times New Roman"/>
          <w:sz w:val="17"/>
          <w:szCs w:val="17"/>
          <w:b w:val="1"/>
          <w:bCs w:val="1"/>
          <w:color w:val="auto"/>
        </w:rPr>
        <w:t>Other exceptions</w:t>
      </w:r>
    </w:p>
    <w:p>
      <w:pPr>
        <w:spacing w:after="0" w:line="120" w:lineRule="exact"/>
        <w:rPr>
          <w:sz w:val="20"/>
          <w:szCs w:val="20"/>
          <w:color w:val="auto"/>
        </w:rPr>
      </w:pPr>
    </w:p>
    <w:p>
      <w:pPr>
        <w:ind w:left="740" w:right="100"/>
        <w:spacing w:after="0" w:line="295" w:lineRule="auto"/>
        <w:rPr>
          <w:sz w:val="20"/>
          <w:szCs w:val="20"/>
          <w:color w:val="auto"/>
        </w:rPr>
      </w:pPr>
      <w:r>
        <w:rPr>
          <w:rFonts w:ascii="Times New Roman" w:cs="Times New Roman" w:eastAsia="Times New Roman" w:hAnsi="Times New Roman"/>
          <w:sz w:val="17"/>
          <w:szCs w:val="17"/>
          <w:color w:val="auto"/>
        </w:rPr>
        <w:t>An amendment or waiver which relates to the rights or obligations of the Agent, the Arrangers or a Reference Bank (each in their capacity as such) may not be effected without the consent of the Agent, the Arrangers or that Reference Bank, as the case may be.</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38.5</w:t>
      </w:r>
      <w:r>
        <w:rPr>
          <w:sz w:val="20"/>
          <w:szCs w:val="20"/>
          <w:color w:val="auto"/>
        </w:rPr>
        <w:tab/>
      </w:r>
      <w:r>
        <w:rPr>
          <w:rFonts w:ascii="Times New Roman" w:cs="Times New Roman" w:eastAsia="Times New Roman" w:hAnsi="Times New Roman"/>
          <w:sz w:val="17"/>
          <w:szCs w:val="17"/>
          <w:b w:val="1"/>
          <w:bCs w:val="1"/>
          <w:color w:val="auto"/>
        </w:rPr>
        <w:t>Excluded Commitments</w:t>
      </w:r>
    </w:p>
    <w:p>
      <w:pPr>
        <w:spacing w:after="0" w:line="120" w:lineRule="exact"/>
        <w:rPr>
          <w:sz w:val="20"/>
          <w:szCs w:val="20"/>
          <w:color w:val="auto"/>
        </w:rPr>
      </w:pPr>
    </w:p>
    <w:p>
      <w:pPr>
        <w:ind w:left="740" w:right="140"/>
        <w:spacing w:after="0" w:line="264" w:lineRule="auto"/>
        <w:rPr>
          <w:sz w:val="20"/>
          <w:szCs w:val="20"/>
          <w:color w:val="auto"/>
        </w:rPr>
      </w:pPr>
      <w:r>
        <w:rPr>
          <w:rFonts w:ascii="Times New Roman" w:cs="Times New Roman" w:eastAsia="Times New Roman" w:hAnsi="Times New Roman"/>
          <w:sz w:val="17"/>
          <w:szCs w:val="17"/>
          <w:color w:val="auto"/>
        </w:rPr>
        <w:t>If any Lender fails to respond to a request for a consent, waiver or amendment of or in relation to any of the terms of any Finance Document or any other vote of Lenders under the terms of this Agreement within ten (10) Business Days (or, in the case of a consent, waiver or amendment referred to or falling within the scope of Clause 38.2 (</w:t>
      </w: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or otherwise requiring the consent of all Lenders, fifteen</w:t>
      </w:r>
    </w:p>
    <w:p>
      <w:pPr>
        <w:ind w:left="1080" w:hanging="342"/>
        <w:spacing w:after="0"/>
        <w:tabs>
          <w:tab w:leader="none" w:pos="1080" w:val="left"/>
        </w:tabs>
        <w:numPr>
          <w:ilvl w:val="1"/>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(in each case, unless the Company agrees to a longer time period in relation to any request) of that request being made:</w:t>
      </w:r>
    </w:p>
    <w:p>
      <w:pPr>
        <w:spacing w:after="0" w:line="113" w:lineRule="exact"/>
        <w:rPr>
          <w:rFonts w:ascii="Times New Roman" w:cs="Times New Roman" w:eastAsia="Times New Roman" w:hAnsi="Times New Roman"/>
          <w:sz w:val="17"/>
          <w:szCs w:val="17"/>
          <w:color w:val="auto"/>
        </w:rPr>
      </w:pPr>
    </w:p>
    <w:p>
      <w:pPr>
        <w:ind w:left="1260" w:right="40" w:hanging="523"/>
        <w:spacing w:after="0" w:line="264" w:lineRule="auto"/>
        <w:tabs>
          <w:tab w:leader="none" w:pos="1260" w:val="left"/>
        </w:tabs>
        <w:numPr>
          <w:ilvl w:val="0"/>
          <w:numId w:val="5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its Commitment and/or participation shall not be included for the purpose of calculating the aggregate Total Commitments and Incremental Facility Commitments or participations under the relevant Facility/ies when ascertaining whether any relevant percentage (including, for the avoidance of doubt, unanimity) of Total Commitments and Incremental Facility Commitments and/or participations has been obtained to approve that request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the Company has noted in its request for a consent, waiver, amendment or vote that such action is subject to the provisions of this Clause 38.5 and sets out the date that is ten (10) Business Days after the date of such request; and</w:t>
      </w:r>
    </w:p>
    <w:p>
      <w:pPr>
        <w:spacing w:after="0" w:line="108"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30" w:name="page431"/>
    <w:bookmarkEnd w:id="430"/>
    <w:p>
      <w:pPr>
        <w:ind w:left="1260" w:right="40" w:hanging="523"/>
        <w:spacing w:after="0" w:line="295" w:lineRule="auto"/>
        <w:tabs>
          <w:tab w:leader="none" w:pos="1260"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its status as a Lender shall be disregarded for the purpose of ascertaining whether the agreement of any specified group of Lenders has been obtained to approve that request.</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38.6</w:t>
      </w:r>
      <w:r>
        <w:rPr>
          <w:sz w:val="20"/>
          <w:szCs w:val="20"/>
          <w:color w:val="auto"/>
        </w:rPr>
        <w:tab/>
      </w:r>
      <w:r>
        <w:rPr>
          <w:rFonts w:ascii="Times New Roman" w:cs="Times New Roman" w:eastAsia="Times New Roman" w:hAnsi="Times New Roman"/>
          <w:sz w:val="17"/>
          <w:szCs w:val="17"/>
          <w:b w:val="1"/>
          <w:bCs w:val="1"/>
          <w:color w:val="auto"/>
        </w:rPr>
        <w:t>Changes to reference rates</w:t>
      </w:r>
    </w:p>
    <w:p>
      <w:pPr>
        <w:spacing w:after="0" w:line="131" w:lineRule="exact"/>
        <w:rPr>
          <w:sz w:val="20"/>
          <w:szCs w:val="20"/>
          <w:color w:val="auto"/>
        </w:rPr>
      </w:pPr>
    </w:p>
    <w:p>
      <w:pPr>
        <w:ind w:left="1260" w:right="60" w:hanging="523"/>
        <w:spacing w:after="0" w:line="298" w:lineRule="auto"/>
        <w:tabs>
          <w:tab w:leader="none" w:pos="1260" w:val="left"/>
        </w:tabs>
        <w:numPr>
          <w:ilvl w:val="0"/>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38.4 (</w:t>
      </w:r>
      <w:r>
        <w:rPr>
          <w:rFonts w:ascii="Times New Roman" w:cs="Times New Roman" w:eastAsia="Times New Roman" w:hAnsi="Times New Roman"/>
          <w:sz w:val="17"/>
          <w:szCs w:val="17"/>
          <w:i w:val="1"/>
          <w:iCs w:val="1"/>
          <w:color w:val="auto"/>
        </w:rPr>
        <w:t>Other exceptions</w:t>
      </w:r>
      <w:r>
        <w:rPr>
          <w:rFonts w:ascii="Times New Roman" w:cs="Times New Roman" w:eastAsia="Times New Roman" w:hAnsi="Times New Roman"/>
          <w:sz w:val="17"/>
          <w:szCs w:val="17"/>
          <w:color w:val="auto"/>
        </w:rPr>
        <w:t>), if a Published Rate Replacement Event has occurred in relation to any Published Rate for a currency which can be selected for a Loan, any amendment or waiver which relates to:</w:t>
      </w:r>
    </w:p>
    <w:p>
      <w:pPr>
        <w:spacing w:after="0" w:line="52" w:lineRule="exact"/>
        <w:rPr>
          <w:sz w:val="20"/>
          <w:szCs w:val="20"/>
          <w:color w:val="auto"/>
        </w:rPr>
      </w:pPr>
    </w:p>
    <w:p>
      <w:pPr>
        <w:ind w:left="1880" w:hanging="620"/>
        <w:spacing w:after="0"/>
        <w:tabs>
          <w:tab w:leader="none" w:pos="1880"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the use of a Replacement Reference Rate in relation to that currency in place of that Published Rate; and</w:t>
      </w:r>
    </w:p>
    <w:p>
      <w:pPr>
        <w:spacing w:after="0" w:line="131" w:lineRule="exact"/>
        <w:rPr>
          <w:rFonts w:ascii="Times New Roman" w:cs="Times New Roman" w:eastAsia="Times New Roman" w:hAnsi="Times New Roman"/>
          <w:sz w:val="17"/>
          <w:szCs w:val="17"/>
          <w:color w:val="auto"/>
        </w:rPr>
      </w:pPr>
    </w:p>
    <w:p>
      <w:pPr>
        <w:spacing w:after="0"/>
        <w:tabs>
          <w:tab w:leader="none" w:pos="0" w:val="left"/>
        </w:tabs>
        <w:numPr>
          <w:ilvl w:val="0"/>
          <w:numId w:val="599"/>
        </w:numPr>
        <w:rPr>
          <w:rFonts w:ascii="Times New Roman" w:cs="Times New Roman" w:eastAsia="Times New Roman" w:hAnsi="Times New Roman"/>
          <w:sz w:val="17"/>
          <w:szCs w:val="17"/>
          <w:color w:val="auto"/>
        </w:rPr>
      </w:pPr>
    </w:p>
    <w:p>
      <w:pPr>
        <w:spacing w:after="0" w:line="131" w:lineRule="exact"/>
        <w:rPr>
          <w:rFonts w:ascii="Times New Roman" w:cs="Times New Roman" w:eastAsia="Times New Roman" w:hAnsi="Times New Roman"/>
          <w:sz w:val="17"/>
          <w:szCs w:val="17"/>
          <w:color w:val="auto"/>
        </w:rPr>
      </w:pPr>
    </w:p>
    <w:p>
      <w:pPr>
        <w:ind w:left="2420" w:hanging="520"/>
        <w:spacing w:after="0"/>
        <w:tabs>
          <w:tab w:leader="none" w:pos="2420" w:val="left"/>
        </w:tabs>
        <w:numPr>
          <w:ilvl w:val="1"/>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aligning any provision of any Finance Document to the use of that Replacement Reference Rate;</w:t>
      </w:r>
    </w:p>
    <w:p>
      <w:pPr>
        <w:spacing w:after="0" w:line="131" w:lineRule="exact"/>
        <w:rPr>
          <w:rFonts w:ascii="Times New Roman" w:cs="Times New Roman" w:eastAsia="Times New Roman" w:hAnsi="Times New Roman"/>
          <w:sz w:val="17"/>
          <w:szCs w:val="17"/>
          <w:color w:val="auto"/>
        </w:rPr>
      </w:pPr>
    </w:p>
    <w:p>
      <w:pPr>
        <w:jc w:val="both"/>
        <w:ind w:left="2420" w:right="100" w:hanging="520"/>
        <w:spacing w:after="0" w:line="276" w:lineRule="auto"/>
        <w:tabs>
          <w:tab w:leader="none" w:pos="2420" w:val="left"/>
        </w:tabs>
        <w:numPr>
          <w:ilvl w:val="1"/>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70" w:lineRule="exact"/>
        <w:rPr>
          <w:rFonts w:ascii="Times New Roman" w:cs="Times New Roman" w:eastAsia="Times New Roman" w:hAnsi="Times New Roman"/>
          <w:sz w:val="17"/>
          <w:szCs w:val="17"/>
          <w:color w:val="auto"/>
        </w:rPr>
      </w:pPr>
    </w:p>
    <w:p>
      <w:pPr>
        <w:ind w:left="2420" w:hanging="520"/>
        <w:spacing w:after="0"/>
        <w:tabs>
          <w:tab w:leader="none" w:pos="2420" w:val="left"/>
        </w:tabs>
        <w:numPr>
          <w:ilvl w:val="1"/>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market conventions applicable to that Replacement Reference Rate;</w:t>
      </w:r>
    </w:p>
    <w:p>
      <w:pPr>
        <w:spacing w:after="0" w:line="131" w:lineRule="exact"/>
        <w:rPr>
          <w:rFonts w:ascii="Times New Roman" w:cs="Times New Roman" w:eastAsia="Times New Roman" w:hAnsi="Times New Roman"/>
          <w:sz w:val="17"/>
          <w:szCs w:val="17"/>
          <w:color w:val="auto"/>
        </w:rPr>
      </w:pPr>
    </w:p>
    <w:p>
      <w:pPr>
        <w:ind w:left="2420" w:hanging="520"/>
        <w:spacing w:after="0"/>
        <w:tabs>
          <w:tab w:leader="none" w:pos="2420" w:val="left"/>
        </w:tabs>
        <w:numPr>
          <w:ilvl w:val="1"/>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appropriate fallback (and market disruption) provisions for that Replacement Reference Rate; or</w:t>
      </w:r>
    </w:p>
    <w:p>
      <w:pPr>
        <w:spacing w:after="0" w:line="131" w:lineRule="exact"/>
        <w:rPr>
          <w:rFonts w:ascii="Times New Roman" w:cs="Times New Roman" w:eastAsia="Times New Roman" w:hAnsi="Times New Roman"/>
          <w:sz w:val="17"/>
          <w:szCs w:val="17"/>
          <w:color w:val="auto"/>
        </w:rPr>
      </w:pPr>
    </w:p>
    <w:p>
      <w:pPr>
        <w:ind w:left="2420" w:right="60" w:hanging="520"/>
        <w:spacing w:after="0" w:line="268" w:lineRule="auto"/>
        <w:tabs>
          <w:tab w:leader="none" w:pos="2420" w:val="left"/>
        </w:tabs>
        <w:numPr>
          <w:ilvl w:val="1"/>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2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may be made with the consent of the Agent (acting on the instructions of the Majority Lenders) and the Company.</w:t>
      </w:r>
    </w:p>
    <w:p>
      <w:pPr>
        <w:spacing w:after="0" w:line="131" w:lineRule="exact"/>
        <w:rPr>
          <w:sz w:val="20"/>
          <w:szCs w:val="20"/>
          <w:color w:val="auto"/>
        </w:rPr>
      </w:pPr>
    </w:p>
    <w:p>
      <w:pPr>
        <w:ind w:left="1260" w:hanging="523"/>
        <w:spacing w:after="0"/>
        <w:tabs>
          <w:tab w:leader="none" w:pos="1260" w:val="left"/>
        </w:tabs>
        <w:numPr>
          <w:ilvl w:val="0"/>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Clause 38.6:</w:t>
      </w:r>
    </w:p>
    <w:p>
      <w:pPr>
        <w:spacing w:after="0" w:line="116"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Published Rate</w:t>
      </w:r>
      <w:r>
        <w:rPr>
          <w:rFonts w:ascii="Times New Roman" w:cs="Times New Roman" w:eastAsia="Times New Roman" w:hAnsi="Times New Roman"/>
          <w:sz w:val="17"/>
          <w:szCs w:val="17"/>
          <w:color w:val="auto"/>
        </w:rPr>
        <w:t>” means:</w:t>
      </w:r>
    </w:p>
    <w:p>
      <w:pPr>
        <w:spacing w:after="0" w:line="133"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Screen Rate for any Quoted Tenor;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SOFR for any Quoted Tenor.</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Published Rate Replacement Event</w:t>
      </w:r>
      <w:r>
        <w:rPr>
          <w:rFonts w:ascii="Times New Roman" w:cs="Times New Roman" w:eastAsia="Times New Roman" w:hAnsi="Times New Roman"/>
          <w:sz w:val="17"/>
          <w:szCs w:val="17"/>
          <w:color w:val="auto"/>
        </w:rPr>
        <w:t>” means, in relation to a Published Rate:</w:t>
      </w:r>
    </w:p>
    <w:p>
      <w:pPr>
        <w:spacing w:after="0" w:line="133" w:lineRule="exact"/>
        <w:rPr>
          <w:sz w:val="20"/>
          <w:szCs w:val="20"/>
          <w:color w:val="auto"/>
        </w:rPr>
      </w:pPr>
    </w:p>
    <w:p>
      <w:pPr>
        <w:ind w:left="1880" w:right="100" w:hanging="620"/>
        <w:spacing w:after="0" w:line="295" w:lineRule="auto"/>
        <w:tabs>
          <w:tab w:leader="none" w:pos="1880" w:val="left"/>
        </w:tabs>
        <w:numPr>
          <w:ilvl w:val="0"/>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methodology, formula or other means of determining that Published Rate has, in the opinion of the Majority Lenders and the Company, materially changed;</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(ii)</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31" w:name="page432"/>
    <w:bookmarkEnd w:id="431"/>
    <w:p>
      <w:pPr>
        <w:ind w:left="1600" w:right="120" w:hanging="520"/>
        <w:spacing w:after="0" w:line="267" w:lineRule="auto"/>
        <w:tabs>
          <w:tab w:leader="none" w:pos="1600" w:val="left"/>
        </w:tabs>
        <w:numPr>
          <w:ilvl w:val="0"/>
          <w:numId w:val="6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(1) the administrator of that Published Rate or its supervisor publicly announces that such administrator is insolvent; or</w:t>
      </w:r>
    </w:p>
    <w:p>
      <w:pPr>
        <w:spacing w:after="0" w:line="305" w:lineRule="exact"/>
        <w:rPr>
          <w:sz w:val="20"/>
          <w:szCs w:val="20"/>
          <w:color w:val="auto"/>
        </w:rPr>
      </w:pPr>
    </w:p>
    <w:p>
      <w:pPr>
        <w:ind w:left="1620" w:firstLine="5"/>
        <w:spacing w:after="0" w:line="276" w:lineRule="auto"/>
        <w:tabs>
          <w:tab w:leader="none" w:pos="1867"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57" w:lineRule="exact"/>
        <w:rPr>
          <w:sz w:val="20"/>
          <w:szCs w:val="20"/>
          <w:color w:val="auto"/>
        </w:rPr>
      </w:pPr>
    </w:p>
    <w:p>
      <w:pPr>
        <w:ind w:left="1620" w:right="380"/>
        <w:spacing w:after="0" w:line="295" w:lineRule="auto"/>
        <w:rPr>
          <w:sz w:val="20"/>
          <w:szCs w:val="20"/>
          <w:color w:val="auto"/>
        </w:rPr>
      </w:pPr>
      <w:r>
        <w:rPr>
          <w:rFonts w:ascii="Times New Roman" w:cs="Times New Roman" w:eastAsia="Times New Roman" w:hAnsi="Times New Roman"/>
          <w:sz w:val="17"/>
          <w:szCs w:val="17"/>
          <w:color w:val="auto"/>
        </w:rPr>
        <w:t>provided that, in each case, at that time, there is no successor administrator to continue to provide that Published Rate;</w:t>
      </w:r>
    </w:p>
    <w:p>
      <w:pPr>
        <w:spacing w:after="0" w:line="55" w:lineRule="exact"/>
        <w:rPr>
          <w:sz w:val="20"/>
          <w:szCs w:val="20"/>
          <w:color w:val="auto"/>
        </w:rPr>
      </w:pPr>
    </w:p>
    <w:p>
      <w:pPr>
        <w:ind w:left="1600" w:right="140" w:hanging="520"/>
        <w:spacing w:after="0" w:line="276" w:lineRule="auto"/>
        <w:tabs>
          <w:tab w:leader="none" w:pos="1600"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of that Published Rate publicly announces that it has ceased or will cease to provide that Published Rate permanently or indefinitely and, at that time, there is no successor administrator to continue to provide that Published Rate;</w:t>
      </w:r>
    </w:p>
    <w:p>
      <w:pPr>
        <w:spacing w:after="0" w:line="70" w:lineRule="exact"/>
        <w:rPr>
          <w:rFonts w:ascii="Times New Roman" w:cs="Times New Roman" w:eastAsia="Times New Roman" w:hAnsi="Times New Roman"/>
          <w:sz w:val="17"/>
          <w:szCs w:val="17"/>
          <w:color w:val="auto"/>
        </w:rPr>
      </w:pPr>
    </w:p>
    <w:p>
      <w:pPr>
        <w:ind w:left="1600" w:right="260" w:hanging="520"/>
        <w:spacing w:after="0" w:line="295" w:lineRule="auto"/>
        <w:tabs>
          <w:tab w:leader="none" w:pos="1600"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supervisor of the administrator of that Published Rate publicly announces that such Published Rate has been or will be permanently or indefinitely discontinued; or</w:t>
      </w:r>
    </w:p>
    <w:p>
      <w:pPr>
        <w:spacing w:after="0" w:line="55" w:lineRule="exact"/>
        <w:rPr>
          <w:rFonts w:ascii="Times New Roman" w:cs="Times New Roman" w:eastAsia="Times New Roman" w:hAnsi="Times New Roman"/>
          <w:sz w:val="17"/>
          <w:szCs w:val="17"/>
          <w:color w:val="auto"/>
        </w:rPr>
      </w:pPr>
    </w:p>
    <w:p>
      <w:pPr>
        <w:ind w:left="1600" w:right="140" w:hanging="520"/>
        <w:spacing w:after="0" w:line="267" w:lineRule="auto"/>
        <w:tabs>
          <w:tab w:leader="none" w:pos="1600"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of that Published Rate or its supervisor announces that that Published Rate may no longer be used; or</w:t>
      </w:r>
    </w:p>
    <w:p>
      <w:pPr>
        <w:spacing w:after="0" w:line="318" w:lineRule="exact"/>
        <w:rPr>
          <w:rFonts w:ascii="Times New Roman" w:cs="Times New Roman" w:eastAsia="Times New Roman" w:hAnsi="Times New Roman"/>
          <w:sz w:val="17"/>
          <w:szCs w:val="17"/>
          <w:color w:val="auto"/>
        </w:rPr>
      </w:pPr>
    </w:p>
    <w:p>
      <w:pPr>
        <w:ind w:left="1060" w:right="40" w:hanging="620"/>
        <w:spacing w:after="0" w:line="276" w:lineRule="auto"/>
        <w:tabs>
          <w:tab w:leader="none" w:pos="1060"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spacing w:after="0" w:line="70" w:lineRule="exact"/>
        <w:rPr>
          <w:rFonts w:ascii="Times New Roman" w:cs="Times New Roman" w:eastAsia="Times New Roman" w:hAnsi="Times New Roman"/>
          <w:sz w:val="17"/>
          <w:szCs w:val="17"/>
          <w:color w:val="auto"/>
        </w:rPr>
      </w:pPr>
    </w:p>
    <w:p>
      <w:pPr>
        <w:ind w:left="1600" w:right="140" w:hanging="520"/>
        <w:spacing w:after="0" w:line="295" w:lineRule="auto"/>
        <w:tabs>
          <w:tab w:leader="none" w:pos="1600" w:val="left"/>
        </w:tabs>
        <w:numPr>
          <w:ilvl w:val="1"/>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or event(s) leading to such determination are not (in the opinion of the Majority Lenders and the Company) temporary; or</w:t>
      </w:r>
    </w:p>
    <w:p>
      <w:pPr>
        <w:spacing w:after="0" w:line="55" w:lineRule="exact"/>
        <w:rPr>
          <w:rFonts w:ascii="Times New Roman" w:cs="Times New Roman" w:eastAsia="Times New Roman" w:hAnsi="Times New Roman"/>
          <w:sz w:val="17"/>
          <w:szCs w:val="17"/>
          <w:color w:val="auto"/>
        </w:rPr>
      </w:pPr>
    </w:p>
    <w:p>
      <w:pPr>
        <w:ind w:left="1600" w:right="360" w:hanging="520"/>
        <w:spacing w:after="0" w:line="295" w:lineRule="auto"/>
        <w:tabs>
          <w:tab w:leader="none" w:pos="1600" w:val="left"/>
        </w:tabs>
        <w:numPr>
          <w:ilvl w:val="1"/>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Published Rate is calculated in accordance with any such policy or arrangement for a period no less than one month; or</w:t>
      </w:r>
    </w:p>
    <w:p>
      <w:pPr>
        <w:spacing w:after="0" w:line="55" w:lineRule="exact"/>
        <w:rPr>
          <w:rFonts w:ascii="Times New Roman" w:cs="Times New Roman" w:eastAsia="Times New Roman" w:hAnsi="Times New Roman"/>
          <w:sz w:val="17"/>
          <w:szCs w:val="17"/>
          <w:color w:val="auto"/>
        </w:rPr>
      </w:pPr>
    </w:p>
    <w:p>
      <w:pPr>
        <w:ind w:left="1060" w:right="480" w:hanging="620"/>
        <w:spacing w:after="0" w:line="295" w:lineRule="auto"/>
        <w:tabs>
          <w:tab w:leader="none" w:pos="1060"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the Majority Lenders and the Company, that Published Rate is otherwise no longer appropriate for the purposes of calculating interest under this Agreement.</w:t>
      </w:r>
    </w:p>
    <w:p>
      <w:pPr>
        <w:spacing w:after="0" w:line="40" w:lineRule="exact"/>
        <w:rPr>
          <w:sz w:val="20"/>
          <w:szCs w:val="20"/>
          <w:color w:val="auto"/>
        </w:rPr>
      </w:pPr>
    </w:p>
    <w:p>
      <w:pPr>
        <w:ind w:left="460"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Nominating Body</w:t>
      </w:r>
      <w:r>
        <w:rPr>
          <w:rFonts w:ascii="Times New Roman" w:cs="Times New Roman" w:eastAsia="Times New Roman" w:hAnsi="Times New Roman"/>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Replacement Reference Rate</w:t>
      </w:r>
      <w:r>
        <w:rPr>
          <w:rFonts w:ascii="Times New Roman" w:cs="Times New Roman" w:eastAsia="Times New Roman" w:hAnsi="Times New Roman"/>
          <w:sz w:val="17"/>
          <w:szCs w:val="17"/>
          <w:color w:val="auto"/>
        </w:rPr>
        <w:t>” means a reference rate which is:</w:t>
      </w:r>
    </w:p>
    <w:p>
      <w:pPr>
        <w:spacing w:after="0" w:line="133" w:lineRule="exact"/>
        <w:rPr>
          <w:sz w:val="20"/>
          <w:szCs w:val="20"/>
          <w:color w:val="auto"/>
        </w:rPr>
      </w:pPr>
    </w:p>
    <w:p>
      <w:pPr>
        <w:ind w:left="1060" w:hanging="620"/>
        <w:spacing w:after="0"/>
        <w:tabs>
          <w:tab w:leader="none" w:pos="1060" w:val="left"/>
        </w:tabs>
        <w:numPr>
          <w:ilvl w:val="0"/>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formally designated, nominated or recommended as the replacement for a Published Rate by:</w:t>
      </w:r>
    </w:p>
    <w:p>
      <w:pPr>
        <w:spacing w:after="0" w:line="131" w:lineRule="exact"/>
        <w:rPr>
          <w:rFonts w:ascii="Times New Roman" w:cs="Times New Roman" w:eastAsia="Times New Roman" w:hAnsi="Times New Roman"/>
          <w:sz w:val="17"/>
          <w:szCs w:val="17"/>
          <w:color w:val="auto"/>
        </w:rPr>
      </w:pPr>
    </w:p>
    <w:p>
      <w:pPr>
        <w:ind w:left="1600" w:right="600" w:hanging="520"/>
        <w:spacing w:after="0" w:line="295" w:lineRule="auto"/>
        <w:tabs>
          <w:tab w:leader="none" w:pos="1600"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of that Published Rate (provided that the market or economic reality that such reference rate measures is the same as that measured by that Published Rate); or</w:t>
      </w:r>
    </w:p>
    <w:p>
      <w:pPr>
        <w:spacing w:after="0" w:line="55" w:lineRule="exact"/>
        <w:rPr>
          <w:rFonts w:ascii="Times New Roman" w:cs="Times New Roman" w:eastAsia="Times New Roman" w:hAnsi="Times New Roman"/>
          <w:sz w:val="17"/>
          <w:szCs w:val="17"/>
          <w:color w:val="auto"/>
        </w:rPr>
      </w:pPr>
    </w:p>
    <w:p>
      <w:pPr>
        <w:ind w:left="1600" w:hanging="520"/>
        <w:spacing w:after="0"/>
        <w:tabs>
          <w:tab w:leader="none" w:pos="1600"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Relevant Nominating Body,</w:t>
      </w:r>
    </w:p>
    <w:p>
      <w:pPr>
        <w:spacing w:after="0" w:line="157" w:lineRule="exact"/>
        <w:rPr>
          <w:sz w:val="20"/>
          <w:szCs w:val="20"/>
          <w:color w:val="auto"/>
        </w:rPr>
      </w:pPr>
    </w:p>
    <w:tbl>
      <w:tblPr>
        <w:tblLayout w:type="fixed"/>
        <w:tblInd w:w="438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129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840"/>
          </w:cols>
          <w:pgMar w:left="1440" w:top="473" w:right="619" w:bottom="1440" w:gutter="0" w:footer="0" w:header="0"/>
        </w:sectPr>
      </w:pPr>
    </w:p>
    <w:bookmarkStart w:id="432" w:name="page433"/>
    <w:bookmarkEnd w:id="432"/>
    <w:p>
      <w:pPr>
        <w:ind w:left="1280" w:right="44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and if replacements have, at the relevant time, been formally designated, nominated or recommended under both paragraphs, the “Replacement Reference Rate” will be the replacement under paragraph (B) above;</w:t>
      </w:r>
    </w:p>
    <w:p>
      <w:pPr>
        <w:spacing w:after="0" w:line="55" w:lineRule="exact"/>
        <w:rPr>
          <w:sz w:val="20"/>
          <w:szCs w:val="20"/>
          <w:color w:val="auto"/>
        </w:rPr>
      </w:pPr>
    </w:p>
    <w:p>
      <w:pPr>
        <w:ind w:left="1260" w:right="180" w:hanging="523"/>
        <w:spacing w:after="0" w:line="295" w:lineRule="auto"/>
        <w:tabs>
          <w:tab w:leader="none" w:pos="1260"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the Majority Lenders and the Company, generally accepted in the international or any relevant domestic syndicated loan markets as the appropriate successor to a Published Rate; or</w:t>
      </w:r>
    </w:p>
    <w:p>
      <w:pPr>
        <w:spacing w:after="0" w:line="55"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the Majority Lenders and the Company, an appropriate successor to a Published Rate.</w:t>
      </w:r>
    </w:p>
    <w:p>
      <w:pPr>
        <w:spacing w:after="0" w:line="3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38.7</w:t>
      </w:r>
      <w:r>
        <w:rPr>
          <w:sz w:val="20"/>
          <w:szCs w:val="20"/>
          <w:color w:val="auto"/>
        </w:rPr>
        <w:tab/>
      </w:r>
      <w:r>
        <w:rPr>
          <w:rFonts w:ascii="Times New Roman" w:cs="Times New Roman" w:eastAsia="Times New Roman" w:hAnsi="Times New Roman"/>
          <w:sz w:val="17"/>
          <w:szCs w:val="17"/>
          <w:b w:val="1"/>
          <w:bCs w:val="1"/>
          <w:color w:val="auto"/>
        </w:rPr>
        <w:t>Replacement of Lender</w:t>
      </w:r>
    </w:p>
    <w:p>
      <w:pPr>
        <w:spacing w:after="0" w:line="133" w:lineRule="exact"/>
        <w:rPr>
          <w:sz w:val="20"/>
          <w:szCs w:val="20"/>
          <w:color w:val="auto"/>
        </w:rPr>
      </w:pPr>
    </w:p>
    <w:p>
      <w:pPr>
        <w:ind w:left="1260" w:hanging="523"/>
        <w:spacing w:after="0"/>
        <w:tabs>
          <w:tab w:leader="none" w:pos="1260" w:val="left"/>
        </w:tabs>
        <w:numPr>
          <w:ilvl w:val="0"/>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becomes a Non-Consenting Lender (as defined in paragraph (c) below); or</w:t>
      </w:r>
    </w:p>
    <w:p>
      <w:pPr>
        <w:spacing w:after="0" w:line="131" w:lineRule="exact"/>
        <w:rPr>
          <w:rFonts w:ascii="Times New Roman" w:cs="Times New Roman" w:eastAsia="Times New Roman" w:hAnsi="Times New Roman"/>
          <w:sz w:val="17"/>
          <w:szCs w:val="17"/>
          <w:color w:val="auto"/>
        </w:rPr>
      </w:pPr>
    </w:p>
    <w:p>
      <w:pPr>
        <w:ind w:left="1880" w:right="180" w:hanging="620"/>
        <w:spacing w:after="0" w:line="295" w:lineRule="auto"/>
        <w:tabs>
          <w:tab w:leader="none" w:pos="1880" w:val="left"/>
        </w:tabs>
        <w:numPr>
          <w:ilvl w:val="1"/>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becomes obliged to repay any amount in accordance with Clause 9.1 (Illegality) or to pay additional amounts pursuant to Clause 17.1 (Increased costs), Clause 16.2 (Tax gross-up) or Clause 16.3 (Tax indemnity) to any Lender,</w:t>
      </w:r>
    </w:p>
    <w:p>
      <w:pPr>
        <w:spacing w:after="0" w:line="42" w:lineRule="exact"/>
        <w:rPr>
          <w:sz w:val="20"/>
          <w:szCs w:val="20"/>
          <w:color w:val="auto"/>
        </w:rPr>
      </w:pPr>
    </w:p>
    <w:p>
      <w:pPr>
        <w:ind w:left="1280" w:right="60"/>
        <w:spacing w:after="0" w:line="261" w:lineRule="auto"/>
        <w:rPr>
          <w:sz w:val="20"/>
          <w:szCs w:val="20"/>
          <w:color w:val="auto"/>
        </w:rPr>
      </w:pPr>
      <w:r>
        <w:rPr>
          <w:rFonts w:ascii="Times New Roman" w:cs="Times New Roman" w:eastAsia="Times New Roman" w:hAnsi="Times New Roman"/>
          <w:sz w:val="17"/>
          <w:szCs w:val="17"/>
          <w:color w:val="auto"/>
        </w:rPr>
        <w:t>then the Company may (provided that no Default is continuing), on five (5) Business Day’s prior written notice to the Agent and such Lender, replace such Lender by requiring such Lender to (and, to the extent permitted by law, such Lender shall) transfer pursuant to Clause 26 (Changes to the Lenders) all (and not part only) of its rights and obligations under this Agreement to a Lender or other bank, financial institution, trust, fund or other entity which is regularly engaged in or established for the purpose of making, purchasing or investing in loans, securities or other financial assets (a “Replacement Lender”) selected by the Company, which is acceptable to the Agent (acting reasonably), and which confirms its willingness to assume and does assume all the obligations of the transferring Lender in accordance with Clause 26 (Changes to the Lenders) (including the assumption of the transferring Lender’s participations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w:t>
      </w:r>
    </w:p>
    <w:p>
      <w:pPr>
        <w:spacing w:after="0" w:line="83" w:lineRule="exact"/>
        <w:rPr>
          <w:sz w:val="20"/>
          <w:szCs w:val="20"/>
          <w:color w:val="auto"/>
        </w:rPr>
      </w:pPr>
    </w:p>
    <w:p>
      <w:pPr>
        <w:ind w:left="1260" w:hanging="523"/>
        <w:spacing w:after="0"/>
        <w:tabs>
          <w:tab w:leader="none" w:pos="1260"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replacement of a Lender pursuant to this Clause 38.7 shall be subject to the following conditions: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no right to replace the Agent;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Agent nor the Lender shall have any obligation to the Company to find a Replacement Lender;</w:t>
      </w:r>
    </w:p>
    <w:p>
      <w:pPr>
        <w:spacing w:after="0" w:line="131" w:lineRule="exact"/>
        <w:rPr>
          <w:rFonts w:ascii="Times New Roman" w:cs="Times New Roman" w:eastAsia="Times New Roman" w:hAnsi="Times New Roman"/>
          <w:sz w:val="17"/>
          <w:szCs w:val="17"/>
          <w:color w:val="auto"/>
        </w:rPr>
      </w:pPr>
    </w:p>
    <w:p>
      <w:pPr>
        <w:ind w:left="1880" w:right="120" w:hanging="620"/>
        <w:spacing w:after="0" w:line="295" w:lineRule="auto"/>
        <w:tabs>
          <w:tab w:leader="none" w:pos="1880" w:val="left"/>
        </w:tabs>
        <w:numPr>
          <w:ilvl w:val="1"/>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replacement of a Non-Consenting Lender, such replacement must take place no later than ten (10) Business Days after the effective date of the Company’s notice referred to in paragraph (a) above;</w:t>
      </w:r>
    </w:p>
    <w:p>
      <w:pPr>
        <w:spacing w:after="0" w:line="55" w:lineRule="exact"/>
        <w:rPr>
          <w:rFonts w:ascii="Times New Roman" w:cs="Times New Roman" w:eastAsia="Times New Roman" w:hAnsi="Times New Roman"/>
          <w:sz w:val="17"/>
          <w:szCs w:val="17"/>
          <w:color w:val="auto"/>
        </w:rPr>
      </w:pPr>
    </w:p>
    <w:p>
      <w:pPr>
        <w:ind w:left="1880" w:right="260" w:hanging="620"/>
        <w:spacing w:after="0" w:line="295" w:lineRule="auto"/>
        <w:tabs>
          <w:tab w:leader="none" w:pos="1880" w:val="left"/>
        </w:tabs>
        <w:numPr>
          <w:ilvl w:val="1"/>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Lender replaced under this paragraph (b) be required to pay or surrender to such Replacement Lender any of the fees received by such Lender pursuant to the Finance Documents; and</w:t>
      </w:r>
    </w:p>
    <w:p>
      <w:pPr>
        <w:spacing w:after="0" w:line="55" w:lineRule="exact"/>
        <w:rPr>
          <w:rFonts w:ascii="Times New Roman" w:cs="Times New Roman" w:eastAsia="Times New Roman" w:hAnsi="Times New Roman"/>
          <w:sz w:val="17"/>
          <w:szCs w:val="17"/>
          <w:color w:val="auto"/>
        </w:rPr>
      </w:pPr>
    </w:p>
    <w:p>
      <w:pPr>
        <w:ind w:left="1880" w:hanging="620"/>
        <w:spacing w:after="0" w:line="269" w:lineRule="auto"/>
        <w:tabs>
          <w:tab w:leader="none" w:pos="1880" w:val="left"/>
        </w:tabs>
        <w:numPr>
          <w:ilvl w:val="1"/>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shall only be obliged to transfer its rights and obligations pursuant to paragraph (a) above once it is satisfied that it has complied with all necessary “know your customer” or other similar checks under all applicable laws, regulations and internal policies in relation to that transfer and provided that such transfer would not give rise to a breach of any applicable law or regulation.</w:t>
      </w:r>
    </w:p>
    <w:p>
      <w:pPr>
        <w:spacing w:after="0" w:line="104"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33" w:name="page434"/>
    <w:bookmarkEnd w:id="433"/>
    <w:p>
      <w:pPr>
        <w:ind w:left="1260" w:right="360" w:hanging="523"/>
        <w:spacing w:after="0" w:line="276" w:lineRule="auto"/>
        <w:tabs>
          <w:tab w:leader="none" w:pos="1260"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spacing w:after="0" w:line="70"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w:t>
      </w:r>
    </w:p>
    <w:p>
      <w:pPr>
        <w:spacing w:after="0" w:line="131" w:lineRule="exact"/>
        <w:rPr>
          <w:rFonts w:ascii="Times New Roman" w:cs="Times New Roman" w:eastAsia="Times New Roman" w:hAnsi="Times New Roman"/>
          <w:sz w:val="17"/>
          <w:szCs w:val="17"/>
          <w:color w:val="auto"/>
        </w:rPr>
      </w:pPr>
    </w:p>
    <w:p>
      <w:pPr>
        <w:ind w:left="1880" w:right="20" w:hanging="620"/>
        <w:spacing w:after="0" w:line="295" w:lineRule="auto"/>
        <w:tabs>
          <w:tab w:leader="none" w:pos="1880" w:val="left"/>
        </w:tabs>
        <w:numPr>
          <w:ilvl w:val="1"/>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the Agent (at the request of the Company) has requested the Lenders to give a consent in relation to, or agree to a waiver or amendment of, any provisions of the Finance Documents;</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waiver or amendment in question requires the approval of all the Lenders; and</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Lenders have consented or agreed to such consent, waiver or amendment,</w:t>
      </w:r>
    </w:p>
    <w:p>
      <w:pPr>
        <w:spacing w:after="0" w:line="118" w:lineRule="exact"/>
        <w:rPr>
          <w:sz w:val="20"/>
          <w:szCs w:val="20"/>
          <w:color w:val="auto"/>
        </w:rPr>
      </w:pPr>
    </w:p>
    <w:p>
      <w:pPr>
        <w:ind w:left="1280" w:right="140"/>
        <w:spacing w:after="0" w:line="295" w:lineRule="auto"/>
        <w:rPr>
          <w:sz w:val="20"/>
          <w:szCs w:val="20"/>
          <w:color w:val="auto"/>
        </w:rPr>
      </w:pPr>
      <w:r>
        <w:rPr>
          <w:rFonts w:ascii="Times New Roman" w:cs="Times New Roman" w:eastAsia="Times New Roman" w:hAnsi="Times New Roman"/>
          <w:sz w:val="17"/>
          <w:szCs w:val="17"/>
          <w:color w:val="auto"/>
        </w:rPr>
        <w:t>then any Lender who does not and continues not to agree to such consent, waiver or amendment shall be deemed a “Non-Consenting Lender”.</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38.8</w:t>
      </w:r>
      <w:r>
        <w:rPr>
          <w:sz w:val="20"/>
          <w:szCs w:val="20"/>
          <w:color w:val="auto"/>
        </w:rPr>
        <w:tab/>
      </w:r>
      <w:r>
        <w:rPr>
          <w:rFonts w:ascii="Times New Roman" w:cs="Times New Roman" w:eastAsia="Times New Roman" w:hAnsi="Times New Roman"/>
          <w:sz w:val="17"/>
          <w:szCs w:val="17"/>
          <w:b w:val="1"/>
          <w:bCs w:val="1"/>
          <w:color w:val="auto"/>
        </w:rPr>
        <w:t>Disenfranchisement of Defaulting Lenders</w:t>
      </w:r>
    </w:p>
    <w:p>
      <w:pPr>
        <w:spacing w:after="0" w:line="133" w:lineRule="exact"/>
        <w:rPr>
          <w:sz w:val="20"/>
          <w:szCs w:val="20"/>
          <w:color w:val="auto"/>
        </w:rPr>
      </w:pPr>
    </w:p>
    <w:p>
      <w:pPr>
        <w:ind w:left="1260" w:right="20" w:hanging="523"/>
        <w:spacing w:after="0" w:line="262" w:lineRule="auto"/>
        <w:tabs>
          <w:tab w:leader="none" w:pos="1260"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a Defaulting Lender has any Available Commitment, in ascertaining the Majority Lenders, the Majority Facility Lenders or whether any given percentage (including, for the avoidance of doubt, unanimity) of any Total Incremental Facility Commitments (in respect of an Incremental Facility), Total Commitments or Total Initial Facility Commitments or the agreement of any specified group of Lenders has been obtained to approve any request for a consent, waiver, amendment or other vote under the Finance Documents, that Defaulting Lender’s Commitments will be reduced by the amount of its Available Commitments and, to the extent that that reduction results in that Defaulting Lender’s Incremental Facility Commitments (in respect of an Incremental Facility), Total Commitments or Total Initial Facility Commitments being zero, that Defaulting Lender shall be deemed not to be a Lender for such purposes.</w:t>
      </w:r>
    </w:p>
    <w:p>
      <w:pPr>
        <w:spacing w:after="0" w:line="296"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Clause 38.8, the Agent may assume that the following Lenders are Defaulting Lenders: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which has notified the Agent that it has become a Defaulting Lender;</w:t>
      </w:r>
    </w:p>
    <w:p>
      <w:pPr>
        <w:spacing w:after="0" w:line="131" w:lineRule="exact"/>
        <w:rPr>
          <w:rFonts w:ascii="Times New Roman" w:cs="Times New Roman" w:eastAsia="Times New Roman" w:hAnsi="Times New Roman"/>
          <w:sz w:val="17"/>
          <w:szCs w:val="17"/>
          <w:color w:val="auto"/>
        </w:rPr>
      </w:pPr>
    </w:p>
    <w:p>
      <w:pPr>
        <w:ind w:left="1880" w:right="160" w:hanging="620"/>
        <w:spacing w:after="0" w:line="295" w:lineRule="auto"/>
        <w:tabs>
          <w:tab w:leader="none" w:pos="1880" w:val="left"/>
        </w:tabs>
        <w:numPr>
          <w:ilvl w:val="1"/>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in relation to which it is aware that any of the events or circumstances referred to in paragraphs (a), (b) or (c) of the definition of “Defaulting Lender” has occurred,</w:t>
      </w:r>
    </w:p>
    <w:p>
      <w:pPr>
        <w:spacing w:after="0" w:line="42" w:lineRule="exact"/>
        <w:rPr>
          <w:sz w:val="20"/>
          <w:szCs w:val="20"/>
          <w:color w:val="auto"/>
        </w:rPr>
      </w:pPr>
    </w:p>
    <w:p>
      <w:pPr>
        <w:ind w:left="1280" w:right="160"/>
        <w:spacing w:after="0" w:line="295" w:lineRule="auto"/>
        <w:rPr>
          <w:sz w:val="20"/>
          <w:szCs w:val="20"/>
          <w:color w:val="auto"/>
        </w:rPr>
      </w:pPr>
      <w:r>
        <w:rPr>
          <w:rFonts w:ascii="Times New Roman" w:cs="Times New Roman" w:eastAsia="Times New Roman" w:hAnsi="Times New Roman"/>
          <w:sz w:val="17"/>
          <w:szCs w:val="17"/>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28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38.9</w:t>
      </w:r>
      <w:r>
        <w:rPr>
          <w:sz w:val="20"/>
          <w:szCs w:val="20"/>
          <w:color w:val="auto"/>
        </w:rPr>
        <w:tab/>
      </w:r>
      <w:r>
        <w:rPr>
          <w:rFonts w:ascii="Times New Roman" w:cs="Times New Roman" w:eastAsia="Times New Roman" w:hAnsi="Times New Roman"/>
          <w:sz w:val="17"/>
          <w:szCs w:val="17"/>
          <w:b w:val="1"/>
          <w:bCs w:val="1"/>
          <w:color w:val="auto"/>
        </w:rPr>
        <w:t>Replacement of a Defaulting Lender</w:t>
      </w:r>
    </w:p>
    <w:p>
      <w:pPr>
        <w:spacing w:after="0" w:line="133" w:lineRule="exact"/>
        <w:rPr>
          <w:sz w:val="20"/>
          <w:szCs w:val="20"/>
          <w:color w:val="auto"/>
        </w:rPr>
      </w:pPr>
    </w:p>
    <w:p>
      <w:pPr>
        <w:ind w:left="1260" w:right="40" w:hanging="523"/>
        <w:spacing w:after="0" w:line="295" w:lineRule="auto"/>
        <w:tabs>
          <w:tab w:leader="none" w:pos="1260" w:val="left"/>
        </w:tabs>
        <w:numPr>
          <w:ilvl w:val="0"/>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any time a Lender has become and continues to be a Defaulting Lender, by giving five (5) Business Days’ prior written notice to the Agent and such Lender:</w:t>
      </w:r>
    </w:p>
    <w:p>
      <w:pPr>
        <w:spacing w:after="0" w:line="55" w:lineRule="exact"/>
        <w:rPr>
          <w:rFonts w:ascii="Times New Roman" w:cs="Times New Roman" w:eastAsia="Times New Roman" w:hAnsi="Times New Roman"/>
          <w:sz w:val="17"/>
          <w:szCs w:val="17"/>
          <w:color w:val="auto"/>
        </w:rPr>
      </w:pPr>
    </w:p>
    <w:p>
      <w:pPr>
        <w:ind w:left="1880" w:right="100" w:hanging="620"/>
        <w:spacing w:after="0" w:line="295" w:lineRule="auto"/>
        <w:tabs>
          <w:tab w:leader="none" w:pos="1880" w:val="left"/>
        </w:tabs>
        <w:numPr>
          <w:ilvl w:val="1"/>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 such Lender by requiring such Lender to (and, to the extent permitted by law, such Lender shall) transfer pursuant to Clause 26 (Changes to the Lenders) all (and not part only) of its rights and obligations under this Agreement;</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34" w:name="page435"/>
    <w:bookmarkEnd w:id="434"/>
    <w:p>
      <w:pPr>
        <w:jc w:val="both"/>
        <w:ind w:left="1888" w:right="40" w:hanging="620"/>
        <w:spacing w:after="0" w:line="276" w:lineRule="auto"/>
        <w:tabs>
          <w:tab w:leader="none" w:pos="1888" w:val="left"/>
        </w:tabs>
        <w:numPr>
          <w:ilvl w:val="0"/>
          <w:numId w:val="6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require such Lender to (and, to the extent permitted by law, such Lender shall) transfer pursuant to Clause 26 (Changes to the Lenders) all (and not part only) of the undrawn Initial Facility Commitment and any Incremental Facility Commitment of the Lender; or</w:t>
      </w:r>
    </w:p>
    <w:p>
      <w:pPr>
        <w:spacing w:after="0" w:line="70" w:lineRule="exact"/>
        <w:rPr>
          <w:rFonts w:ascii="Times New Roman" w:cs="Times New Roman" w:eastAsia="Times New Roman" w:hAnsi="Times New Roman"/>
          <w:sz w:val="17"/>
          <w:szCs w:val="17"/>
          <w:color w:val="auto"/>
        </w:rPr>
      </w:pPr>
    </w:p>
    <w:p>
      <w:pPr>
        <w:ind w:left="1888" w:right="40" w:hanging="620"/>
        <w:spacing w:after="0" w:line="295" w:lineRule="auto"/>
        <w:tabs>
          <w:tab w:leader="none" w:pos="1888" w:val="left"/>
        </w:tabs>
        <w:numPr>
          <w:ilvl w:val="0"/>
          <w:numId w:val="6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such Lender to (and, to the extent permitted by law, such Lender shall) transfer pursuant to Clause 26 (Changes to the Lenders) all (and not part only) of its rights and obligations in respect of the Initial Facility and any Incremental Facility,</w:t>
      </w:r>
    </w:p>
    <w:p>
      <w:pPr>
        <w:spacing w:after="0" w:line="42" w:lineRule="exact"/>
        <w:rPr>
          <w:sz w:val="20"/>
          <w:szCs w:val="20"/>
          <w:color w:val="auto"/>
        </w:rPr>
      </w:pPr>
    </w:p>
    <w:p>
      <w:pPr>
        <w:ind w:left="1288" w:right="100"/>
        <w:spacing w:after="0" w:line="263" w:lineRule="auto"/>
        <w:rPr>
          <w:sz w:val="20"/>
          <w:szCs w:val="20"/>
          <w:color w:val="auto"/>
        </w:rPr>
      </w:pPr>
      <w:r>
        <w:rPr>
          <w:rFonts w:ascii="Times New Roman" w:cs="Times New Roman" w:eastAsia="Times New Roman" w:hAnsi="Times New Roman"/>
          <w:sz w:val="17"/>
          <w:szCs w:val="17"/>
          <w:color w:val="auto"/>
        </w:rPr>
        <w:t>to a Lender or other bank, financial institution, trust, fund or other entity (a “Replacement Lender”) selected by the Company, and which (unless the Agent is an Impaired Agent) is acceptable to the Agent (acting reasonably), which confirms its willingness to assume and does assume all the obligations or all the relevant obligations of the transferring Lender in accordance with Clause 26 (Changes to the Lenders)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and Break Costs and other amounts payable in relation thereto under the Finance Documents.</w:t>
      </w:r>
    </w:p>
    <w:p>
      <w:pPr>
        <w:spacing w:after="0" w:line="82" w:lineRule="exact"/>
        <w:rPr>
          <w:sz w:val="20"/>
          <w:szCs w:val="20"/>
          <w:color w:val="auto"/>
        </w:rPr>
      </w:pPr>
    </w:p>
    <w:p>
      <w:pPr>
        <w:ind w:left="1268" w:hanging="523"/>
        <w:spacing w:after="0"/>
        <w:tabs>
          <w:tab w:leader="none" w:pos="1268" w:val="left"/>
        </w:tabs>
        <w:numPr>
          <w:ilvl w:val="1"/>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rights and obligations of a Defaulting Lender pursuant to this Clause shall be subject to the following conditions:</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no right to replace the Agent;</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Agent nor the Defaulting Lender shall have any obligation to the Company to find a Replacement Lender;</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must take place no later than ten (10) days after the notice referred to in paragraph (a) above;</w:t>
      </w:r>
    </w:p>
    <w:p>
      <w:pPr>
        <w:spacing w:after="0" w:line="131" w:lineRule="exact"/>
        <w:rPr>
          <w:rFonts w:ascii="Times New Roman" w:cs="Times New Roman" w:eastAsia="Times New Roman" w:hAnsi="Times New Roman"/>
          <w:sz w:val="17"/>
          <w:szCs w:val="17"/>
          <w:color w:val="auto"/>
        </w:rPr>
      </w:pPr>
    </w:p>
    <w:p>
      <w:pPr>
        <w:ind w:left="1888" w:hanging="620"/>
        <w:spacing w:after="0" w:line="295" w:lineRule="auto"/>
        <w:tabs>
          <w:tab w:leader="none" w:pos="1888" w:val="left"/>
        </w:tabs>
        <w:numPr>
          <w:ilvl w:val="2"/>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Defaulting Lender be required to pay or surrender to the Replacement Lender any of the fees received by the Defaulting Lender pursuant to the Finance Documents; and</w:t>
      </w:r>
    </w:p>
    <w:p>
      <w:pPr>
        <w:spacing w:after="0" w:line="55" w:lineRule="exact"/>
        <w:rPr>
          <w:rFonts w:ascii="Times New Roman" w:cs="Times New Roman" w:eastAsia="Times New Roman" w:hAnsi="Times New Roman"/>
          <w:sz w:val="17"/>
          <w:szCs w:val="17"/>
          <w:color w:val="auto"/>
        </w:rPr>
      </w:pPr>
    </w:p>
    <w:p>
      <w:pPr>
        <w:ind w:left="1888" w:right="140" w:hanging="620"/>
        <w:spacing w:after="0" w:line="276" w:lineRule="auto"/>
        <w:tabs>
          <w:tab w:leader="none" w:pos="1888" w:val="left"/>
        </w:tabs>
        <w:numPr>
          <w:ilvl w:val="2"/>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70" w:lineRule="exact"/>
        <w:rPr>
          <w:rFonts w:ascii="Times New Roman" w:cs="Times New Roman" w:eastAsia="Times New Roman" w:hAnsi="Times New Roman"/>
          <w:sz w:val="17"/>
          <w:szCs w:val="17"/>
          <w:color w:val="auto"/>
        </w:rPr>
      </w:pPr>
    </w:p>
    <w:p>
      <w:pPr>
        <w:jc w:val="both"/>
        <w:ind w:left="1268" w:right="440" w:hanging="523"/>
        <w:spacing w:after="0" w:line="276" w:lineRule="auto"/>
        <w:tabs>
          <w:tab w:leader="none" w:pos="1268" w:val="left"/>
        </w:tabs>
        <w:numPr>
          <w:ilvl w:val="1"/>
          <w:numId w:val="6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Defaulting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of information</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39.1</w:t>
      </w:r>
      <w:r>
        <w:rPr>
          <w:sz w:val="20"/>
          <w:szCs w:val="20"/>
          <w:color w:val="auto"/>
        </w:rPr>
        <w:tab/>
      </w:r>
      <w:r>
        <w:rPr>
          <w:rFonts w:ascii="Times New Roman" w:cs="Times New Roman" w:eastAsia="Times New Roman" w:hAnsi="Times New Roman"/>
          <w:sz w:val="17"/>
          <w:szCs w:val="17"/>
          <w:b w:val="1"/>
          <w:bCs w:val="1"/>
          <w:color w:val="auto"/>
        </w:rPr>
        <w:t>Confidential Information</w:t>
      </w:r>
    </w:p>
    <w:p>
      <w:pPr>
        <w:spacing w:after="0" w:line="120" w:lineRule="exact"/>
        <w:rPr>
          <w:sz w:val="20"/>
          <w:szCs w:val="20"/>
          <w:color w:val="auto"/>
        </w:rPr>
      </w:pPr>
    </w:p>
    <w:p>
      <w:pPr>
        <w:jc w:val="both"/>
        <w:ind w:left="748" w:right="200"/>
        <w:spacing w:after="0" w:line="276" w:lineRule="auto"/>
        <w:rPr>
          <w:sz w:val="20"/>
          <w:szCs w:val="20"/>
          <w:color w:val="auto"/>
        </w:rPr>
      </w:pPr>
      <w:r>
        <w:rPr>
          <w:rFonts w:ascii="Times New Roman" w:cs="Times New Roman" w:eastAsia="Times New Roman" w:hAnsi="Times New Roman"/>
          <w:sz w:val="17"/>
          <w:szCs w:val="17"/>
          <w:color w:val="auto"/>
        </w:rPr>
        <w:t>Each Finance Party agrees to keep all Confidential Information confidential and not to disclose it to anyone, save to the extent permitted by Clause 39.2 (Disclosure of information), and to ensure that all Confidential Information is protected with security measures and a degree of care that would apply to its own confidential information.</w:t>
      </w:r>
    </w:p>
    <w:p>
      <w:pPr>
        <w:spacing w:after="0" w:line="9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435" w:name="page436"/>
    <w:bookmarkEnd w:id="435"/>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39.2</w:t>
      </w:r>
      <w:r>
        <w:rPr>
          <w:sz w:val="20"/>
          <w:szCs w:val="20"/>
          <w:color w:val="auto"/>
        </w:rPr>
        <w:tab/>
      </w:r>
      <w:r>
        <w:rPr>
          <w:rFonts w:ascii="Times New Roman" w:cs="Times New Roman" w:eastAsia="Times New Roman" w:hAnsi="Times New Roman"/>
          <w:sz w:val="17"/>
          <w:szCs w:val="17"/>
          <w:b w:val="1"/>
          <w:bCs w:val="1"/>
          <w:color w:val="auto"/>
        </w:rPr>
        <w:t>Disclosure of information</w:t>
      </w:r>
    </w:p>
    <w:p>
      <w:pPr>
        <w:spacing w:after="0" w:line="133" w:lineRule="exact"/>
        <w:rPr>
          <w:sz w:val="20"/>
          <w:szCs w:val="20"/>
          <w:color w:val="auto"/>
        </w:rPr>
      </w:pPr>
    </w:p>
    <w:p>
      <w:pPr>
        <w:ind w:left="1260" w:right="20" w:hanging="523"/>
        <w:spacing w:after="0" w:line="263" w:lineRule="auto"/>
        <w:tabs>
          <w:tab w:leader="none" w:pos="1260" w:val="left"/>
        </w:tabs>
        <w:numPr>
          <w:ilvl w:val="0"/>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of its Affiliates, related corporations, head office, branch and representative offices (each a “Finance Party Related Party”), the Company, any Subsidiary Guarantor, any other member of the Group (or any other person permitted by the Company), any other Finance Party, any of its, any other Finance Party’s or any of its Finance Party Related Party’s officers, directors, employees, any of its or its Finance Party Related Party’s professional advisers, auditors, partners and other persons providing services to it or any of its Finance Party Related Parties (provided such person is under a duty of confidentiality (contractual or otherwise) to the Finance Party disclosing the information or its Finance Party Related Party) such Confidential Information as that Finance Party shall consider appropriate.</w:t>
      </w:r>
    </w:p>
    <w:p>
      <w:pPr>
        <w:spacing w:after="0" w:line="81" w:lineRule="exact"/>
        <w:rPr>
          <w:rFonts w:ascii="Times New Roman" w:cs="Times New Roman" w:eastAsia="Times New Roman" w:hAnsi="Times New Roman"/>
          <w:sz w:val="17"/>
          <w:szCs w:val="17"/>
          <w:color w:val="auto"/>
        </w:rPr>
      </w:pPr>
    </w:p>
    <w:p>
      <w:pPr>
        <w:ind w:left="1260" w:hanging="523"/>
        <w:spacing w:after="0"/>
        <w:tabs>
          <w:tab w:leader="none" w:pos="1260" w:val="left"/>
        </w:tabs>
        <w:numPr>
          <w:ilvl w:val="0"/>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person:</w:t>
      </w:r>
    </w:p>
    <w:p>
      <w:pPr>
        <w:spacing w:after="0" w:line="131" w:lineRule="exact"/>
        <w:rPr>
          <w:rFonts w:ascii="Times New Roman" w:cs="Times New Roman" w:eastAsia="Times New Roman" w:hAnsi="Times New Roman"/>
          <w:sz w:val="17"/>
          <w:szCs w:val="17"/>
          <w:color w:val="auto"/>
        </w:rPr>
      </w:pPr>
    </w:p>
    <w:p>
      <w:pPr>
        <w:ind w:left="1880" w:right="180" w:hanging="620"/>
        <w:spacing w:after="0" w:line="269"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whom it assigns or transfers (or may potentially assign or transfer) all or any of its rights and obligations under one or more Finance Documents or which succeeds (or which may potentially succeed) it as Agent and, in each case, to any of that person’s Affiliates, related corporations, head office, branch and representative office, officers, directors, employees and professional advisers;</w:t>
      </w:r>
    </w:p>
    <w:p>
      <w:pPr>
        <w:spacing w:after="0" w:line="77" w:lineRule="exact"/>
        <w:rPr>
          <w:rFonts w:ascii="Times New Roman" w:cs="Times New Roman" w:eastAsia="Times New Roman" w:hAnsi="Times New Roman"/>
          <w:sz w:val="17"/>
          <w:szCs w:val="17"/>
          <w:color w:val="auto"/>
        </w:rPr>
      </w:pPr>
    </w:p>
    <w:p>
      <w:pPr>
        <w:ind w:left="1880" w:right="160" w:hanging="620"/>
        <w:spacing w:after="0" w:line="269"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Company and to any of that person’s Affiliates, related corporations, head office, branch and representative office, officers, directors, employees and professional advisers;</w:t>
      </w:r>
    </w:p>
    <w:p>
      <w:pPr>
        <w:spacing w:after="0" w:line="77" w:lineRule="exact"/>
        <w:rPr>
          <w:rFonts w:ascii="Times New Roman" w:cs="Times New Roman" w:eastAsia="Times New Roman" w:hAnsi="Times New Roman"/>
          <w:sz w:val="17"/>
          <w:szCs w:val="17"/>
          <w:color w:val="auto"/>
        </w:rPr>
      </w:pPr>
    </w:p>
    <w:p>
      <w:pPr>
        <w:ind w:left="1880" w:right="120" w:hanging="620"/>
        <w:spacing w:after="0" w:line="295"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by any Finance Party or by a person to whom paragraph (b)(i) or (b)(ii) above applies to receive communications, notices, information or documents delivered pursuant to the Finance Documents on its behalf;</w:t>
      </w:r>
    </w:p>
    <w:p>
      <w:pPr>
        <w:spacing w:after="0" w:line="55" w:lineRule="exact"/>
        <w:rPr>
          <w:rFonts w:ascii="Times New Roman" w:cs="Times New Roman" w:eastAsia="Times New Roman" w:hAnsi="Times New Roman"/>
          <w:sz w:val="17"/>
          <w:szCs w:val="17"/>
          <w:color w:val="auto"/>
        </w:rPr>
      </w:pPr>
    </w:p>
    <w:p>
      <w:pPr>
        <w:ind w:left="1880" w:right="40" w:hanging="620"/>
        <w:spacing w:after="0" w:line="295"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invests in or otherwise finances (or may potentially invest in or otherwise finance), directly or indirectly, any transaction referred to in paragraph (b)(i) or (b)(ii) above;</w:t>
      </w:r>
    </w:p>
    <w:p>
      <w:pPr>
        <w:spacing w:after="0" w:line="55" w:lineRule="exact"/>
        <w:rPr>
          <w:rFonts w:ascii="Times New Roman" w:cs="Times New Roman" w:eastAsia="Times New Roman" w:hAnsi="Times New Roman"/>
          <w:sz w:val="17"/>
          <w:szCs w:val="17"/>
          <w:color w:val="auto"/>
        </w:rPr>
      </w:pPr>
    </w:p>
    <w:p>
      <w:pPr>
        <w:jc w:val="both"/>
        <w:ind w:left="1880" w:right="260" w:hanging="620"/>
        <w:spacing w:after="0" w:line="276"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70" w:lineRule="exact"/>
        <w:rPr>
          <w:rFonts w:ascii="Times New Roman" w:cs="Times New Roman" w:eastAsia="Times New Roman" w:hAnsi="Times New Roman"/>
          <w:sz w:val="17"/>
          <w:szCs w:val="17"/>
          <w:color w:val="auto"/>
        </w:rPr>
      </w:pPr>
    </w:p>
    <w:p>
      <w:pPr>
        <w:ind w:left="1880" w:right="540" w:hanging="620"/>
        <w:spacing w:after="0" w:line="295"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whom information is required to be disclosed in connection with, and for the purposes of, any litigation, arbitration, administrative or other investigations, proceedings or disputes;</w:t>
      </w:r>
    </w:p>
    <w:p>
      <w:pPr>
        <w:spacing w:after="0" w:line="55" w:lineRule="exact"/>
        <w:rPr>
          <w:rFonts w:ascii="Times New Roman" w:cs="Times New Roman" w:eastAsia="Times New Roman" w:hAnsi="Times New Roman"/>
          <w:sz w:val="17"/>
          <w:szCs w:val="17"/>
          <w:color w:val="auto"/>
        </w:rPr>
      </w:pPr>
    </w:p>
    <w:p>
      <w:pPr>
        <w:ind w:left="1880" w:right="280" w:hanging="620"/>
        <w:spacing w:after="0" w:line="295" w:lineRule="auto"/>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whom or for whose benefit that Finance Party charges, assigns or otherwise creates Security (or may do so) pursuant to Clause 26.8 (Security interests over Lenders’ rights);</w:t>
      </w:r>
    </w:p>
    <w:p>
      <w:pPr>
        <w:spacing w:after="0" w:line="55"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is a Party; or</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of the Company,</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sectPr>
      </w:pPr>
    </w:p>
    <w:bookmarkStart w:id="436" w:name="page437"/>
    <w:bookmarkEnd w:id="436"/>
    <w:p>
      <w:pPr>
        <w:ind w:left="54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each case, such Confidential Information as that Finance Party shall consider appropriate.</w:t>
      </w:r>
    </w:p>
    <w:p>
      <w:pPr>
        <w:spacing w:after="0" w:line="131" w:lineRule="exact"/>
        <w:rPr>
          <w:sz w:val="20"/>
          <w:szCs w:val="20"/>
          <w:color w:val="auto"/>
        </w:rPr>
      </w:pPr>
    </w:p>
    <w:p>
      <w:pPr>
        <w:ind w:left="523" w:right="140" w:hanging="523"/>
        <w:spacing w:after="0" w:line="263"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provided that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w:t>
      </w:r>
    </w:p>
    <w:p>
      <w:pPr>
        <w:spacing w:after="0" w:line="81" w:lineRule="exact"/>
        <w:rPr>
          <w:rFonts w:ascii="Times New Roman" w:cs="Times New Roman" w:eastAsia="Times New Roman" w:hAnsi="Times New Roman"/>
          <w:sz w:val="17"/>
          <w:szCs w:val="17"/>
          <w:color w:val="auto"/>
        </w:rPr>
      </w:pPr>
    </w:p>
    <w:p>
      <w:pPr>
        <w:ind w:left="523" w:right="180" w:hanging="523"/>
        <w:spacing w:after="0" w:line="264"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the International Swaps and Derivatives Association, Inc. (“ISDA”) or any Credit Derivatives Determination Committee or sub-committee of ISDA such Confidential Information as that Finance Party shall consider appropriate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w:t>
      </w:r>
    </w:p>
    <w:p>
      <w:pPr>
        <w:spacing w:after="0" w:line="82" w:lineRule="exact"/>
        <w:rPr>
          <w:rFonts w:ascii="Times New Roman" w:cs="Times New Roman" w:eastAsia="Times New Roman" w:hAnsi="Times New Roman"/>
          <w:sz w:val="17"/>
          <w:szCs w:val="17"/>
          <w:color w:val="auto"/>
        </w:rPr>
      </w:pPr>
    </w:p>
    <w:p>
      <w:pPr>
        <w:ind w:left="523" w:right="260" w:hanging="523"/>
        <w:spacing w:after="0" w:line="266"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rating agency (including its professional advisers) such Confidential Information as may be required to be disclosed to enable such rating agency to carry out its normal rating activities in relation to the Finance Documents and/or the Company, the Subsidiary Guarantor and/or any other member of the Group, provided that the rating agency to whom the Confidential Information is to be given is informed of its confidential nature and that some or all of such Confidential Information may be price-sensitive information.</w:t>
      </w:r>
    </w:p>
    <w:p>
      <w:pPr>
        <w:spacing w:after="0" w:line="79" w:lineRule="exact"/>
        <w:rPr>
          <w:rFonts w:ascii="Times New Roman" w:cs="Times New Roman" w:eastAsia="Times New Roman" w:hAnsi="Times New Roman"/>
          <w:sz w:val="17"/>
          <w:szCs w:val="17"/>
          <w:color w:val="auto"/>
        </w:rPr>
      </w:pPr>
    </w:p>
    <w:p>
      <w:pPr>
        <w:ind w:left="523" w:right="420" w:hanging="523"/>
        <w:spacing w:after="0" w:line="295"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Confidentiality Undertaking signed by a Finance Party pursuant to this Clause 39.1 shall supersede any prior confidentiality undertaking signed by such Finance Party for the benefit of any member of the Group.</w:t>
      </w:r>
    </w:p>
    <w:p>
      <w:pPr>
        <w:spacing w:after="0" w:line="55" w:lineRule="exact"/>
        <w:rPr>
          <w:rFonts w:ascii="Times New Roman" w:cs="Times New Roman" w:eastAsia="Times New Roman" w:hAnsi="Times New Roman"/>
          <w:sz w:val="17"/>
          <w:szCs w:val="17"/>
          <w:color w:val="auto"/>
        </w:rPr>
      </w:pPr>
    </w:p>
    <w:p>
      <w:pPr>
        <w:ind w:left="523" w:right="460" w:hanging="523"/>
        <w:spacing w:after="0" w:line="295"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Clause 39.1 shall prohibit the disclosure of any information which is publicly available other than as a result of a breach by a Finance Party of this Clause 39.1.</w:t>
      </w:r>
    </w:p>
    <w:p>
      <w:pPr>
        <w:spacing w:after="0" w:line="55" w:lineRule="exact"/>
        <w:rPr>
          <w:rFonts w:ascii="Times New Roman" w:cs="Times New Roman" w:eastAsia="Times New Roman" w:hAnsi="Times New Roman"/>
          <w:sz w:val="17"/>
          <w:szCs w:val="17"/>
          <w:color w:val="auto"/>
        </w:rPr>
      </w:pPr>
    </w:p>
    <w:p>
      <w:pPr>
        <w:ind w:left="523" w:right="160" w:hanging="523"/>
        <w:spacing w:after="0" w:line="295" w:lineRule="auto"/>
        <w:tabs>
          <w:tab w:leader="none" w:pos="523" w:val="left"/>
        </w:tabs>
        <w:numPr>
          <w:ilvl w:val="0"/>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of the provisions of the Finance Documents, the Company and the Finance Parties hereby agree that each Party and each employee, representative or other agent of each Party may disclose to any and all persons, without limitation of any kind:</w:t>
      </w:r>
    </w:p>
    <w:p>
      <w:pPr>
        <w:spacing w:after="0" w:line="55" w:lineRule="exact"/>
        <w:rPr>
          <w:rFonts w:ascii="Times New Roman" w:cs="Times New Roman" w:eastAsia="Times New Roman" w:hAnsi="Times New Roman"/>
          <w:sz w:val="17"/>
          <w:szCs w:val="17"/>
          <w:color w:val="auto"/>
        </w:rPr>
      </w:pPr>
    </w:p>
    <w:p>
      <w:pPr>
        <w:ind w:left="1143" w:right="80" w:hanging="620"/>
        <w:spacing w:after="0" w:line="269" w:lineRule="auto"/>
        <w:tabs>
          <w:tab w:leader="none" w:pos="1143" w:val="left"/>
        </w:tabs>
        <w:numPr>
          <w:ilvl w:val="1"/>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information with respect to the US federal and state income tax treatment of the Facilities and any facts that may be relevant to understanding such tax treatment, which facts shall not include for this purpose the names of any Party or any other person named herein, or information that would permit identification of any Party or such other persons, or any pricing terms or other non-public business or financial information that is unrelated to such tax treatment or facts; and</w:t>
      </w:r>
    </w:p>
    <w:p>
      <w:pPr>
        <w:spacing w:after="0" w:line="77" w:lineRule="exact"/>
        <w:rPr>
          <w:rFonts w:ascii="Times New Roman" w:cs="Times New Roman" w:eastAsia="Times New Roman" w:hAnsi="Times New Roman"/>
          <w:sz w:val="17"/>
          <w:szCs w:val="17"/>
          <w:color w:val="auto"/>
        </w:rPr>
      </w:pPr>
    </w:p>
    <w:p>
      <w:pPr>
        <w:ind w:left="1143" w:right="180" w:hanging="620"/>
        <w:spacing w:after="0" w:line="295" w:lineRule="auto"/>
        <w:tabs>
          <w:tab w:leader="none" w:pos="1143" w:val="left"/>
        </w:tabs>
        <w:numPr>
          <w:ilvl w:val="1"/>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materials of any kind (including opinions or other tax analysis) that are provided to any of the foregoing relating to such tax treatment, in so far as such disclosure relates to US federal income tax.</w:t>
      </w:r>
    </w:p>
    <w:p>
      <w:pPr>
        <w:spacing w:after="0" w:line="81" w:lineRule="exact"/>
        <w:rPr>
          <w:sz w:val="20"/>
          <w:szCs w:val="20"/>
          <w:color w:val="auto"/>
        </w:rPr>
      </w:pPr>
    </w:p>
    <w:tbl>
      <w:tblPr>
        <w:tblLayout w:type="fixed"/>
        <w:tblInd w:w="4463"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437" w:name="page438"/>
    <w:bookmarkEnd w:id="437"/>
    <w:p>
      <w:pPr>
        <w:jc w:val="both"/>
        <w:ind w:left="1880" w:right="100" w:hanging="620"/>
        <w:spacing w:after="0" w:line="288" w:lineRule="auto"/>
        <w:tabs>
          <w:tab w:leader="none" w:pos="1880"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Finance Party Related Party shall be permitted to disclose information in accordance with this Clause 39.1 as if it were a Finance Party and may rely on this Clause subject to Clause 1.3 (Third party rights) and the provisions of the Third Parties Act.</w:t>
      </w:r>
    </w:p>
    <w:p>
      <w:pPr>
        <w:spacing w:after="0" w:line="200" w:lineRule="exact"/>
        <w:rPr>
          <w:sz w:val="20"/>
          <w:szCs w:val="20"/>
          <w:color w:val="auto"/>
        </w:rPr>
      </w:pPr>
    </w:p>
    <w:p>
      <w:pPr>
        <w:spacing w:after="0" w:line="30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39.3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133" w:lineRule="exact"/>
        <w:rPr>
          <w:sz w:val="20"/>
          <w:szCs w:val="20"/>
          <w:color w:val="auto"/>
        </w:rPr>
      </w:pPr>
    </w:p>
    <w:p>
      <w:pPr>
        <w:ind w:left="1260" w:right="120" w:hanging="523"/>
        <w:spacing w:after="0" w:line="276" w:lineRule="auto"/>
        <w:tabs>
          <w:tab w:leader="none" w:pos="1260"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national or international numbering service provider appointed by that Finance Party to provide identification numbering services in respect of this Agreement, the Facilities, the Company and/or the Subsidiary Guarantors the following information:</w:t>
      </w:r>
    </w:p>
    <w:p>
      <w:pPr>
        <w:spacing w:after="0" w:line="70"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the Company and the Subsidiary Guarantors;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country of domicile of the Company and the Subsidiary Guarantors;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of incorporation of the Company and the Subsidiary Guarantors;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of this Agreement;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46 (Governing law);</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Agent and the Arrangers;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of each amendment and restatement of this Agreement;</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of, and names of, the Facilities (and any tranches);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Total Commitments, Total Incremental Facility Commitments, or Total Initial Facility Commitments;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currencies of the Facilities;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Facilities;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ranking of Facilities;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Date(s) for the Facilities;</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any of the information previously supplied pursuant to paragraphs (i) to (xiii) above; and</w:t>
      </w:r>
    </w:p>
    <w:p>
      <w:pPr>
        <w:spacing w:after="0" w:line="131" w:lineRule="exact"/>
        <w:rPr>
          <w:rFonts w:ascii="Times New Roman" w:cs="Times New Roman" w:eastAsia="Times New Roman" w:hAnsi="Times New Roman"/>
          <w:sz w:val="17"/>
          <w:szCs w:val="17"/>
          <w:color w:val="auto"/>
        </w:rPr>
      </w:pPr>
    </w:p>
    <w:p>
      <w:pPr>
        <w:ind w:left="1880" w:hanging="620"/>
        <w:spacing w:after="0"/>
        <w:tabs>
          <w:tab w:leader="none" w:pos="1880"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information agreed between such Finance Party and the Company,</w:t>
      </w:r>
    </w:p>
    <w:p>
      <w:pPr>
        <w:spacing w:after="0" w:line="1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to enable such numbering service provider to provide its usual syndicated loan numbering identification services.</w:t>
      </w:r>
    </w:p>
    <w:p>
      <w:pPr>
        <w:spacing w:after="0" w:line="131" w:lineRule="exact"/>
        <w:rPr>
          <w:sz w:val="20"/>
          <w:szCs w:val="20"/>
          <w:color w:val="auto"/>
        </w:rPr>
      </w:pPr>
    </w:p>
    <w:p>
      <w:pPr>
        <w:ind w:left="1260" w:right="180" w:hanging="523"/>
        <w:spacing w:after="0" w:line="276" w:lineRule="auto"/>
        <w:tabs>
          <w:tab w:leader="none" w:pos="1260" w:val="left"/>
        </w:tabs>
        <w:numPr>
          <w:ilvl w:val="0"/>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that each identification number assigned to this Agreement, the Facilities, the Company and/or a Subsidiary Guarantor by a numbering service provider and the information associated with each such number may be disclosed to users of its services in accordance with the standard terms and conditions of that numbering service provider.</w:t>
      </w:r>
    </w:p>
    <w:p>
      <w:pPr>
        <w:spacing w:after="0" w:line="70" w:lineRule="exact"/>
        <w:rPr>
          <w:rFonts w:ascii="Times New Roman" w:cs="Times New Roman" w:eastAsia="Times New Roman" w:hAnsi="Times New Roman"/>
          <w:sz w:val="17"/>
          <w:szCs w:val="17"/>
          <w:color w:val="auto"/>
        </w:rPr>
      </w:pPr>
    </w:p>
    <w:p>
      <w:pPr>
        <w:ind w:left="1260" w:right="220" w:hanging="523"/>
        <w:spacing w:after="0" w:line="295" w:lineRule="auto"/>
        <w:tabs>
          <w:tab w:leader="none" w:pos="1260" w:val="left"/>
        </w:tabs>
        <w:numPr>
          <w:ilvl w:val="0"/>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represents that none of the information set out in paragraphs (i) to (xv) of paragraph (a) above is, nor will at any time be, unpublished price-sensitive information.</w:t>
      </w:r>
    </w:p>
    <w:p>
      <w:pPr>
        <w:spacing w:after="0" w:line="81"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5" w:right="619" w:bottom="1440" w:gutter="0" w:footer="0" w:header="0"/>
        </w:sectPr>
      </w:pPr>
    </w:p>
    <w:bookmarkStart w:id="438" w:name="page439"/>
    <w:bookmarkEnd w:id="438"/>
    <w:p>
      <w:pPr>
        <w:ind w:left="1268" w:hanging="523"/>
        <w:spacing w:after="0"/>
        <w:tabs>
          <w:tab w:leader="none" w:pos="1268" w:val="left"/>
        </w:tabs>
        <w:numPr>
          <w:ilvl w:val="1"/>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Agent shall notify the Company and the other Finance Parties of:</w:t>
      </w:r>
    </w:p>
    <w:p>
      <w:pPr>
        <w:spacing w:after="0" w:line="131" w:lineRule="exact"/>
        <w:rPr>
          <w:rFonts w:ascii="Times New Roman" w:cs="Times New Roman" w:eastAsia="Times New Roman" w:hAnsi="Times New Roman"/>
          <w:sz w:val="17"/>
          <w:szCs w:val="17"/>
          <w:color w:val="auto"/>
        </w:rPr>
      </w:pPr>
    </w:p>
    <w:p>
      <w:pPr>
        <w:ind w:left="1888" w:right="720" w:hanging="620"/>
        <w:spacing w:after="0" w:line="295" w:lineRule="auto"/>
        <w:tabs>
          <w:tab w:leader="none" w:pos="1888" w:val="left"/>
        </w:tabs>
        <w:numPr>
          <w:ilvl w:val="2"/>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any numbering service provider appointed by the Agent in respect of this Agreement, the Facilities, the Company and/or a Subsidiary Guarantor; and</w:t>
      </w:r>
    </w:p>
    <w:p>
      <w:pPr>
        <w:spacing w:after="0" w:line="55" w:lineRule="exact"/>
        <w:rPr>
          <w:rFonts w:ascii="Times New Roman" w:cs="Times New Roman" w:eastAsia="Times New Roman" w:hAnsi="Times New Roman"/>
          <w:sz w:val="17"/>
          <w:szCs w:val="17"/>
          <w:color w:val="auto"/>
        </w:rPr>
      </w:pPr>
    </w:p>
    <w:p>
      <w:pPr>
        <w:ind w:left="1888" w:right="400" w:hanging="620"/>
        <w:spacing w:after="0" w:line="295" w:lineRule="auto"/>
        <w:tabs>
          <w:tab w:leader="none" w:pos="1888" w:val="left"/>
        </w:tabs>
        <w:numPr>
          <w:ilvl w:val="2"/>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or, as the case may be, numbers assigned to this Agreement, the Facilities, the Company and/or a Subsidiary Guarantor by such numbering service provider.</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 of Funding Rates and Reference Bank Quotations</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40.1</w:t>
      </w:r>
      <w:r>
        <w:rPr>
          <w:sz w:val="20"/>
          <w:szCs w:val="20"/>
          <w:color w:val="auto"/>
        </w:rPr>
        <w:tab/>
      </w:r>
      <w:r>
        <w:rPr>
          <w:rFonts w:ascii="Times New Roman" w:cs="Times New Roman" w:eastAsia="Times New Roman" w:hAnsi="Times New Roman"/>
          <w:sz w:val="17"/>
          <w:szCs w:val="17"/>
          <w:b w:val="1"/>
          <w:bCs w:val="1"/>
          <w:color w:val="auto"/>
        </w:rPr>
        <w:t>Confidentiality and disclosure</w:t>
      </w:r>
    </w:p>
    <w:p>
      <w:pPr>
        <w:spacing w:after="0" w:line="133" w:lineRule="exact"/>
        <w:rPr>
          <w:sz w:val="20"/>
          <w:szCs w:val="20"/>
          <w:color w:val="auto"/>
        </w:rPr>
      </w:pPr>
    </w:p>
    <w:p>
      <w:pPr>
        <w:ind w:left="1268" w:right="620" w:hanging="523"/>
        <w:spacing w:after="0" w:line="295" w:lineRule="auto"/>
        <w:tabs>
          <w:tab w:leader="none" w:pos="1268"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and the Company agree to keep each Funding Rate (and, in the case of the Agent, each Reference Bank Quotation) confidential and not to disclose it to anyone, save to the extent permitted by paragraphs (b), (c) and (d) below.</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disclose:</w:t>
      </w:r>
    </w:p>
    <w:p>
      <w:pPr>
        <w:spacing w:after="0" w:line="131" w:lineRule="exact"/>
        <w:rPr>
          <w:rFonts w:ascii="Times New Roman" w:cs="Times New Roman" w:eastAsia="Times New Roman" w:hAnsi="Times New Roman"/>
          <w:sz w:val="17"/>
          <w:szCs w:val="17"/>
          <w:color w:val="auto"/>
        </w:rPr>
      </w:pPr>
    </w:p>
    <w:p>
      <w:pPr>
        <w:ind w:left="1888" w:right="740" w:hanging="620"/>
        <w:spacing w:after="0" w:line="295" w:lineRule="auto"/>
        <w:tabs>
          <w:tab w:leader="none" w:pos="1888" w:val="left"/>
        </w:tabs>
        <w:numPr>
          <w:ilvl w:val="1"/>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Funding Rate (but not, for the avoidance of doubt, any Reference Bank Quotation) to the Company pursuant to Clause 12.4 (Notification of rates of interest); and</w:t>
      </w:r>
    </w:p>
    <w:p>
      <w:pPr>
        <w:spacing w:after="0" w:line="55" w:lineRule="exact"/>
        <w:rPr>
          <w:rFonts w:ascii="Times New Roman" w:cs="Times New Roman" w:eastAsia="Times New Roman" w:hAnsi="Times New Roman"/>
          <w:sz w:val="17"/>
          <w:szCs w:val="17"/>
          <w:color w:val="auto"/>
        </w:rPr>
      </w:pPr>
    </w:p>
    <w:p>
      <w:pPr>
        <w:ind w:left="1888" w:right="160" w:hanging="620"/>
        <w:spacing w:after="0" w:line="265" w:lineRule="auto"/>
        <w:tabs>
          <w:tab w:leader="none" w:pos="1888" w:val="left"/>
        </w:tabs>
        <w:numPr>
          <w:ilvl w:val="1"/>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or Reference Bank, as the case may be.</w:t>
      </w:r>
    </w:p>
    <w:p>
      <w:pPr>
        <w:spacing w:after="0" w:line="292"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disclose any Funding Rate or any Reference Bank Quotation, and the Company may disclose any Funding Rate, to:</w:t>
      </w:r>
    </w:p>
    <w:p>
      <w:pPr>
        <w:spacing w:after="0" w:line="131" w:lineRule="exact"/>
        <w:rPr>
          <w:rFonts w:ascii="Times New Roman" w:cs="Times New Roman" w:eastAsia="Times New Roman" w:hAnsi="Times New Roman"/>
          <w:sz w:val="17"/>
          <w:szCs w:val="17"/>
          <w:color w:val="auto"/>
        </w:rPr>
      </w:pPr>
    </w:p>
    <w:p>
      <w:pPr>
        <w:ind w:left="1888" w:right="80" w:hanging="620"/>
        <w:spacing w:after="0" w:line="266" w:lineRule="auto"/>
        <w:tabs>
          <w:tab w:leader="none" w:pos="1888" w:val="left"/>
        </w:tabs>
        <w:numPr>
          <w:ilvl w:val="1"/>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its Affiliates and any of its or their officers, directors, employees, professional advisers, auditors,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79" w:lineRule="exact"/>
        <w:rPr>
          <w:rFonts w:ascii="Times New Roman" w:cs="Times New Roman" w:eastAsia="Times New Roman" w:hAnsi="Times New Roman"/>
          <w:sz w:val="17"/>
          <w:szCs w:val="17"/>
          <w:color w:val="auto"/>
        </w:rPr>
      </w:pPr>
    </w:p>
    <w:p>
      <w:pPr>
        <w:ind w:left="1888" w:right="80" w:hanging="620"/>
        <w:spacing w:after="0" w:line="264" w:lineRule="auto"/>
        <w:tabs>
          <w:tab w:leader="none" w:pos="1888" w:val="left"/>
        </w:tabs>
        <w:numPr>
          <w:ilvl w:val="1"/>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Agent or the Company, as the case may be, it is not practicable to do so in the circumstances;</w:t>
      </w:r>
    </w:p>
    <w:p>
      <w:pPr>
        <w:spacing w:after="0" w:line="108"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39" w:name="page440"/>
    <w:bookmarkEnd w:id="439"/>
    <w:p>
      <w:pPr>
        <w:ind w:left="1888" w:right="80" w:hanging="620"/>
        <w:spacing w:after="0" w:line="266" w:lineRule="auto"/>
        <w:tabs>
          <w:tab w:leader="none" w:pos="1888" w:val="left"/>
        </w:tabs>
        <w:numPr>
          <w:ilvl w:val="1"/>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Agent or the Company, as the case may be, it is not practicable to do so in the circumstances; and</w:t>
      </w:r>
    </w:p>
    <w:p>
      <w:pPr>
        <w:spacing w:after="0" w:line="79"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with the consent of the relevant Lender or Reference Bank, as the case may be.</w:t>
      </w:r>
    </w:p>
    <w:p>
      <w:pPr>
        <w:spacing w:after="0" w:line="131" w:lineRule="exact"/>
        <w:rPr>
          <w:rFonts w:ascii="Times New Roman" w:cs="Times New Roman" w:eastAsia="Times New Roman" w:hAnsi="Times New Roman"/>
          <w:sz w:val="17"/>
          <w:szCs w:val="17"/>
          <w:color w:val="auto"/>
        </w:rPr>
      </w:pPr>
    </w:p>
    <w:p>
      <w:pPr>
        <w:ind w:left="1268" w:right="400" w:hanging="523"/>
        <w:spacing w:after="0" w:line="276" w:lineRule="auto"/>
        <w:tabs>
          <w:tab w:leader="none" w:pos="1268" w:val="left"/>
        </w:tabs>
        <w:numPr>
          <w:ilvl w:val="0"/>
          <w:numId w:val="6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Agent’s obligations in this Clause 40 relating to Reference Bank Quotations are without prejudice to its obligations to make notifications under Clause 12.4 (Notification of rates of interest) provided that (other than pursuant to paragraph (b)(i) above) the Agent shall not include the details of any individual Reference Bank Quotation as part of any such notification.</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40.2</w:t>
      </w:r>
      <w:r>
        <w:rPr>
          <w:sz w:val="20"/>
          <w:szCs w:val="20"/>
          <w:color w:val="auto"/>
        </w:rPr>
        <w:tab/>
      </w:r>
      <w:r>
        <w:rPr>
          <w:rFonts w:ascii="Times New Roman" w:cs="Times New Roman" w:eastAsia="Times New Roman" w:hAnsi="Times New Roman"/>
          <w:sz w:val="17"/>
          <w:szCs w:val="17"/>
          <w:b w:val="1"/>
          <w:bCs w:val="1"/>
          <w:color w:val="auto"/>
        </w:rPr>
        <w:t>Related obligations</w:t>
      </w:r>
    </w:p>
    <w:p>
      <w:pPr>
        <w:spacing w:after="0" w:line="133" w:lineRule="exact"/>
        <w:rPr>
          <w:sz w:val="20"/>
          <w:szCs w:val="20"/>
          <w:color w:val="auto"/>
        </w:rPr>
      </w:pPr>
    </w:p>
    <w:p>
      <w:pPr>
        <w:ind w:left="1268" w:right="100" w:hanging="523"/>
        <w:spacing w:after="0" w:line="269" w:lineRule="auto"/>
        <w:tabs>
          <w:tab w:leader="none" w:pos="1268" w:val="left"/>
        </w:tabs>
        <w:numPr>
          <w:ilvl w:val="0"/>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and the Company each acknowledge that each Funding Rate (and, in the case of the Agent, each Reference Bank Quotation) is or may be price-sensitive information and that its use may be regulated or prohibited by applicable legislation including securities law relating to insider dealing and market abuse and the Agent and the Company each undertake not to use any Funding Rate or, in the case of the Agent, any Reference Bank Quotation for any unlawful purpose.</w:t>
      </w:r>
    </w:p>
    <w:p>
      <w:pPr>
        <w:spacing w:after="0" w:line="77" w:lineRule="exact"/>
        <w:rPr>
          <w:rFonts w:ascii="Times New Roman" w:cs="Times New Roman" w:eastAsia="Times New Roman" w:hAnsi="Times New Roman"/>
          <w:sz w:val="17"/>
          <w:szCs w:val="17"/>
          <w:color w:val="auto"/>
        </w:rPr>
      </w:pPr>
    </w:p>
    <w:p>
      <w:pPr>
        <w:ind w:left="1268" w:right="280" w:hanging="523"/>
        <w:spacing w:after="0" w:line="295" w:lineRule="auto"/>
        <w:tabs>
          <w:tab w:leader="none" w:pos="1268" w:val="left"/>
        </w:tabs>
        <w:numPr>
          <w:ilvl w:val="0"/>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and the Company each agree (to the extent permitted by law and regulation) to inform the relevant Lender or Reference Bank, as the case may be:</w:t>
      </w:r>
    </w:p>
    <w:p>
      <w:pPr>
        <w:spacing w:after="0" w:line="55" w:lineRule="exact"/>
        <w:rPr>
          <w:rFonts w:ascii="Times New Roman" w:cs="Times New Roman" w:eastAsia="Times New Roman" w:hAnsi="Times New Roman"/>
          <w:sz w:val="17"/>
          <w:szCs w:val="17"/>
          <w:color w:val="auto"/>
        </w:rPr>
      </w:pPr>
    </w:p>
    <w:p>
      <w:pPr>
        <w:jc w:val="both"/>
        <w:ind w:left="1888" w:right="360" w:hanging="620"/>
        <w:spacing w:after="0" w:line="276" w:lineRule="auto"/>
        <w:tabs>
          <w:tab w:leader="none" w:pos="1888" w:val="left"/>
        </w:tabs>
        <w:numPr>
          <w:ilvl w:val="1"/>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circumstances of any disclosure made pursuant to paragraph (c)(ii) of Clause 40.1 (Confidentiality and disclosure) except where such disclosure is made to any of the persons referred to in that paragraph during the ordinary course of its supervisory or regulatory function; and</w:t>
      </w:r>
    </w:p>
    <w:p>
      <w:pPr>
        <w:spacing w:after="0" w:line="70"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1"/>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becoming aware that any information has been disclosed in breach of this Clause 40.</w:t>
      </w:r>
    </w:p>
    <w:p>
      <w:pPr>
        <w:spacing w:after="0" w:line="36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40.3</w:t>
      </w:r>
      <w:r>
        <w:rPr>
          <w:sz w:val="20"/>
          <w:szCs w:val="20"/>
          <w:color w:val="auto"/>
        </w:rPr>
        <w:tab/>
      </w:r>
      <w:r>
        <w:rPr>
          <w:rFonts w:ascii="Times New Roman" w:cs="Times New Roman" w:eastAsia="Times New Roman" w:hAnsi="Times New Roman"/>
          <w:sz w:val="17"/>
          <w:szCs w:val="17"/>
          <w:b w:val="1"/>
          <w:bCs w:val="1"/>
          <w:color w:val="auto"/>
        </w:rPr>
        <w:t>No Event of Default</w:t>
      </w:r>
    </w:p>
    <w:p>
      <w:pPr>
        <w:spacing w:after="0" w:line="1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No Event of Default will occur under Clause 25.3 (Other obligations) by reason only of the Company’s failure to comply with this Clause 40.</w:t>
      </w:r>
    </w:p>
    <w:p>
      <w:pPr>
        <w:spacing w:after="0" w:line="364" w:lineRule="exact"/>
        <w:rPr>
          <w:sz w:val="20"/>
          <w:szCs w:val="20"/>
          <w:color w:val="auto"/>
        </w:rPr>
      </w:pPr>
    </w:p>
    <w:p>
      <w:pPr>
        <w:ind w:left="748" w:hanging="748"/>
        <w:spacing w:after="0"/>
        <w:tabs>
          <w:tab w:leader="none" w:pos="748" w:val="left"/>
        </w:tabs>
        <w:numPr>
          <w:ilvl w:val="0"/>
          <w:numId w:val="6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Bail in</w:t>
      </w:r>
    </w:p>
    <w:p>
      <w:pPr>
        <w:spacing w:after="0" w:line="133" w:lineRule="exact"/>
        <w:rPr>
          <w:rFonts w:ascii="Times New Roman" w:cs="Times New Roman" w:eastAsia="Times New Roman" w:hAnsi="Times New Roman"/>
          <w:sz w:val="17"/>
          <w:szCs w:val="17"/>
          <w:b w:val="1"/>
          <w:bCs w:val="1"/>
          <w:color w:val="auto"/>
        </w:rPr>
      </w:pPr>
    </w:p>
    <w:p>
      <w:pPr>
        <w:ind w:left="1268" w:right="60" w:hanging="523"/>
        <w:spacing w:after="0" w:line="269" w:lineRule="auto"/>
        <w:tabs>
          <w:tab w:leader="none" w:pos="1268" w:val="left"/>
        </w:tabs>
        <w:numPr>
          <w:ilvl w:val="1"/>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77"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Bail-In Action in relation to any such liability, including (without limitation):</w:t>
      </w:r>
    </w:p>
    <w:p>
      <w:pPr>
        <w:spacing w:after="0" w:line="131" w:lineRule="exact"/>
        <w:rPr>
          <w:rFonts w:ascii="Times New Roman" w:cs="Times New Roman" w:eastAsia="Times New Roman" w:hAnsi="Times New Roman"/>
          <w:sz w:val="17"/>
          <w:szCs w:val="17"/>
          <w:color w:val="auto"/>
        </w:rPr>
      </w:pPr>
    </w:p>
    <w:p>
      <w:pPr>
        <w:ind w:left="2428" w:right="180" w:hanging="520"/>
        <w:spacing w:after="0" w:line="295" w:lineRule="auto"/>
        <w:tabs>
          <w:tab w:leader="none" w:pos="2428" w:val="left"/>
        </w:tabs>
        <w:numPr>
          <w:ilvl w:val="3"/>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in the principal amount, or outstanding amount due (including any accrued but unpaid interest) in respect of any such liability;</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40" w:name="page441"/>
    <w:bookmarkEnd w:id="440"/>
    <w:p>
      <w:pPr>
        <w:ind w:left="1683" w:right="160" w:hanging="520"/>
        <w:spacing w:after="0" w:line="295" w:lineRule="auto"/>
        <w:tabs>
          <w:tab w:leader="none" w:pos="1683" w:val="left"/>
        </w:tabs>
        <w:numPr>
          <w:ilvl w:val="2"/>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conversion of all, or part of, any such liability into shares or other instruments of ownership that may be issued to, or conferred on, it; and</w:t>
      </w:r>
    </w:p>
    <w:p>
      <w:pPr>
        <w:spacing w:after="0" w:line="55" w:lineRule="exact"/>
        <w:rPr>
          <w:rFonts w:ascii="Times New Roman" w:cs="Times New Roman" w:eastAsia="Times New Roman" w:hAnsi="Times New Roman"/>
          <w:sz w:val="17"/>
          <w:szCs w:val="17"/>
          <w:color w:val="auto"/>
        </w:rPr>
      </w:pPr>
    </w:p>
    <w:p>
      <w:pPr>
        <w:ind w:left="1683" w:hanging="520"/>
        <w:spacing w:after="0"/>
        <w:tabs>
          <w:tab w:leader="none" w:pos="1683" w:val="left"/>
        </w:tabs>
        <w:numPr>
          <w:ilvl w:val="2"/>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cancellation of any such liability; and</w:t>
      </w:r>
    </w:p>
    <w:p>
      <w:pPr>
        <w:spacing w:after="0" w:line="131" w:lineRule="exact"/>
        <w:rPr>
          <w:rFonts w:ascii="Times New Roman" w:cs="Times New Roman" w:eastAsia="Times New Roman" w:hAnsi="Times New Roman"/>
          <w:sz w:val="17"/>
          <w:szCs w:val="17"/>
          <w:color w:val="auto"/>
        </w:rPr>
      </w:pPr>
    </w:p>
    <w:p>
      <w:pPr>
        <w:ind w:left="1143" w:right="300" w:hanging="620"/>
        <w:spacing w:after="0" w:line="295" w:lineRule="auto"/>
        <w:tabs>
          <w:tab w:leader="none" w:pos="1143" w:val="left"/>
        </w:tabs>
        <w:numPr>
          <w:ilvl w:val="1"/>
          <w:numId w:val="6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variation of any term of any Finance Document to the extent necessary to give effect to any Bail-In Action in relation to any such liability.</w:t>
      </w:r>
    </w:p>
    <w:p>
      <w:pPr>
        <w:spacing w:after="0" w:line="55"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6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Clause 41:</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Bail-In Action</w:t>
      </w:r>
      <w:r>
        <w:rPr>
          <w:rFonts w:ascii="Times New Roman" w:cs="Times New Roman" w:eastAsia="Times New Roman" w:hAnsi="Times New Roman"/>
          <w:sz w:val="17"/>
          <w:szCs w:val="17"/>
          <w:color w:val="auto"/>
        </w:rPr>
        <w:t>” means the exercise of any Write-down and Conversion Powers.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Bail-In Legislation</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jc w:val="both"/>
        <w:ind w:left="523" w:right="40" w:hanging="523"/>
        <w:spacing w:after="0" w:line="276" w:lineRule="auto"/>
        <w:tabs>
          <w:tab w:leader="none" w:pos="523" w:val="left"/>
        </w:tabs>
        <w:numPr>
          <w:ilvl w:val="0"/>
          <w:numId w:val="6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w:t>
      </w:r>
    </w:p>
    <w:p>
      <w:pPr>
        <w:spacing w:after="0" w:line="70" w:lineRule="exact"/>
        <w:rPr>
          <w:rFonts w:ascii="Times New Roman" w:cs="Times New Roman" w:eastAsia="Times New Roman" w:hAnsi="Times New Roman"/>
          <w:sz w:val="17"/>
          <w:szCs w:val="17"/>
          <w:color w:val="auto"/>
        </w:rPr>
      </w:pPr>
    </w:p>
    <w:p>
      <w:pPr>
        <w:ind w:left="523" w:hanging="523"/>
        <w:spacing w:after="0"/>
        <w:tabs>
          <w:tab w:leader="none" w:pos="523" w:val="left"/>
        </w:tabs>
        <w:numPr>
          <w:ilvl w:val="0"/>
          <w:numId w:val="6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United Kingdom, the UK Bail-in Legislation; and</w:t>
      </w:r>
    </w:p>
    <w:p>
      <w:pPr>
        <w:spacing w:after="0" w:line="131" w:lineRule="exact"/>
        <w:rPr>
          <w:rFonts w:ascii="Times New Roman" w:cs="Times New Roman" w:eastAsia="Times New Roman" w:hAnsi="Times New Roman"/>
          <w:sz w:val="17"/>
          <w:szCs w:val="17"/>
          <w:color w:val="auto"/>
        </w:rPr>
      </w:pPr>
    </w:p>
    <w:p>
      <w:pPr>
        <w:ind w:left="523" w:right="80" w:hanging="523"/>
        <w:spacing w:after="0" w:line="295" w:lineRule="auto"/>
        <w:tabs>
          <w:tab w:leader="none" w:pos="523" w:val="left"/>
        </w:tabs>
        <w:numPr>
          <w:ilvl w:val="0"/>
          <w:numId w:val="6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EEA Member Country</w:t>
      </w:r>
      <w:r>
        <w:rPr>
          <w:rFonts w:ascii="Times New Roman" w:cs="Times New Roman" w:eastAsia="Times New Roman" w:hAnsi="Times New Roman"/>
          <w:sz w:val="17"/>
          <w:szCs w:val="17"/>
          <w:color w:val="auto"/>
        </w:rPr>
        <w:t>” means any member state of the European Union, Iceland, Liechtenstein and Norway.</w:t>
      </w:r>
    </w:p>
    <w:p>
      <w:pPr>
        <w:spacing w:after="0" w:line="118" w:lineRule="exact"/>
        <w:rPr>
          <w:sz w:val="20"/>
          <w:szCs w:val="20"/>
          <w:color w:val="auto"/>
        </w:rPr>
      </w:pPr>
    </w:p>
    <w:p>
      <w:pPr>
        <w:ind w:left="3" w:right="8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 Bail-In Legislation Schedule</w:t>
      </w:r>
      <w:r>
        <w:rPr>
          <w:rFonts w:ascii="Times New Roman" w:cs="Times New Roman" w:eastAsia="Times New Roman" w:hAnsi="Times New Roman"/>
          <w:sz w:val="17"/>
          <w:szCs w:val="17"/>
          <w:color w:val="auto"/>
        </w:rPr>
        <w:t>” means the document described as such and published by the Loan Market Association (or any successor person) from time to time.</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Resolution Authority</w:t>
      </w:r>
      <w:r>
        <w:rPr>
          <w:rFonts w:ascii="Times New Roman" w:cs="Times New Roman" w:eastAsia="Times New Roman" w:hAnsi="Times New Roman"/>
          <w:sz w:val="17"/>
          <w:szCs w:val="17"/>
          <w:color w:val="auto"/>
        </w:rPr>
        <w:t>” means any body which has authority to exercise any Write-down and Conversion Powers.</w:t>
      </w:r>
    </w:p>
    <w:p>
      <w:pPr>
        <w:spacing w:after="0" w:line="118" w:lineRule="exact"/>
        <w:rPr>
          <w:sz w:val="20"/>
          <w:szCs w:val="20"/>
          <w:color w:val="auto"/>
        </w:rPr>
      </w:pPr>
    </w:p>
    <w:p>
      <w:pPr>
        <w:jc w:val="both"/>
        <w:ind w:left="3" w:right="2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UK Bail-In Legislation</w:t>
      </w:r>
      <w:r>
        <w:rPr>
          <w:rFonts w:ascii="Times New Roman" w:cs="Times New Roman" w:eastAsia="Times New Roman" w:hAnsi="Times New Roman"/>
          <w:sz w:val="17"/>
          <w:szCs w:val="17"/>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Write-down and Conversion Powers</w:t>
      </w:r>
      <w:r>
        <w:rPr>
          <w:rFonts w:ascii="Times New Roman" w:cs="Times New Roman" w:eastAsia="Times New Roman" w:hAnsi="Times New Roman"/>
          <w:sz w:val="17"/>
          <w:szCs w:val="17"/>
          <w:color w:val="auto"/>
        </w:rPr>
        <w:t>” means:</w:t>
      </w:r>
    </w:p>
    <w:p>
      <w:pPr>
        <w:spacing w:after="0" w:line="133" w:lineRule="exact"/>
        <w:rPr>
          <w:sz w:val="20"/>
          <w:szCs w:val="20"/>
          <w:color w:val="auto"/>
        </w:rPr>
      </w:pPr>
    </w:p>
    <w:p>
      <w:pPr>
        <w:ind w:left="523" w:hanging="523"/>
        <w:spacing w:after="0" w:line="295" w:lineRule="auto"/>
        <w:tabs>
          <w:tab w:leader="none" w:pos="523"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Bail-In Legislation described in the EU Bail-In Legislation Schedule from time to time, the powers described as such in relation to that Bail-In Legislation in the EU Bail-In Legislation Schedule;</w:t>
      </w:r>
    </w:p>
    <w:p>
      <w:pPr>
        <w:spacing w:after="0" w:line="55" w:lineRule="exact"/>
        <w:rPr>
          <w:rFonts w:ascii="Times New Roman" w:cs="Times New Roman" w:eastAsia="Times New Roman" w:hAnsi="Times New Roman"/>
          <w:sz w:val="17"/>
          <w:szCs w:val="17"/>
          <w:color w:val="auto"/>
        </w:rPr>
      </w:pPr>
    </w:p>
    <w:p>
      <w:pPr>
        <w:ind w:left="523" w:right="40" w:hanging="523"/>
        <w:spacing w:after="0" w:line="264" w:lineRule="auto"/>
        <w:tabs>
          <w:tab w:leader="none" w:pos="523"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08" w:lineRule="exact"/>
        <w:rPr>
          <w:sz w:val="20"/>
          <w:szCs w:val="20"/>
          <w:color w:val="auto"/>
        </w:rPr>
      </w:pPr>
    </w:p>
    <w:tbl>
      <w:tblPr>
        <w:tblLayout w:type="fixed"/>
        <w:tblInd w:w="4463"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4" w:right="619" w:bottom="1440" w:gutter="0" w:footer="0" w:header="0"/>
        </w:sectPr>
      </w:pPr>
    </w:p>
    <w:bookmarkStart w:id="441" w:name="page442"/>
    <w:bookmarkEnd w:id="441"/>
    <w:p>
      <w:pPr>
        <w:ind w:left="1268" w:hanging="523"/>
        <w:spacing w:after="0"/>
        <w:tabs>
          <w:tab w:leader="none" w:pos="1268" w:val="left"/>
        </w:tabs>
        <w:numPr>
          <w:ilvl w:val="1"/>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any other applicable Bail-In Legislation:</w:t>
      </w:r>
    </w:p>
    <w:p>
      <w:pPr>
        <w:spacing w:after="0" w:line="131" w:lineRule="exact"/>
        <w:rPr>
          <w:rFonts w:ascii="Times New Roman" w:cs="Times New Roman" w:eastAsia="Times New Roman" w:hAnsi="Times New Roman"/>
          <w:sz w:val="17"/>
          <w:szCs w:val="17"/>
          <w:color w:val="auto"/>
        </w:rPr>
      </w:pPr>
    </w:p>
    <w:p>
      <w:pPr>
        <w:ind w:left="1888" w:right="20" w:hanging="620"/>
        <w:spacing w:after="0" w:line="264" w:lineRule="auto"/>
        <w:tabs>
          <w:tab w:leader="none" w:pos="1888" w:val="left"/>
        </w:tabs>
        <w:numPr>
          <w:ilvl w:val="2"/>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82"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similar or analogous powers under that Bail-In Legislation.</w:t>
      </w:r>
    </w:p>
    <w:p>
      <w:pPr>
        <w:spacing w:after="0" w:line="364"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p>
    <w:p>
      <w:pPr>
        <w:spacing w:after="0" w:line="120" w:lineRule="exact"/>
        <w:rPr>
          <w:rFonts w:ascii="Times New Roman" w:cs="Times New Roman" w:eastAsia="Times New Roman" w:hAnsi="Times New Roman"/>
          <w:sz w:val="17"/>
          <w:szCs w:val="17"/>
          <w:b w:val="1"/>
          <w:bCs w:val="1"/>
          <w:color w:val="auto"/>
        </w:rPr>
      </w:pPr>
    </w:p>
    <w:p>
      <w:pPr>
        <w:ind w:left="748" w:right="1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Finance Document may be executed in any number of counterparts, and this has the same effect as if the signatures on the counterparts were on a single copy of the Finance Document.</w:t>
      </w:r>
    </w:p>
    <w:p>
      <w:pPr>
        <w:spacing w:after="0" w:line="288"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6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USA Patriot Act</w:t>
      </w:r>
    </w:p>
    <w:p>
      <w:pPr>
        <w:spacing w:after="0" w:line="120" w:lineRule="exact"/>
        <w:rPr>
          <w:rFonts w:ascii="Times New Roman" w:cs="Times New Roman" w:eastAsia="Times New Roman" w:hAnsi="Times New Roman"/>
          <w:sz w:val="17"/>
          <w:szCs w:val="17"/>
          <w:b w:val="1"/>
          <w:bCs w:val="1"/>
          <w:color w:val="auto"/>
        </w:rPr>
      </w:pPr>
    </w:p>
    <w:p>
      <w:pPr>
        <w:ind w:left="748" w:right="3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Lender hereby notifies the Company and each Subsidiary Guarantor that pursuant to the requirements of the USA Patriot Act, such Lender is required to obtain, verify and record information that identifies the Company and each Subsidiary Guarantor, which information includes the name and address of Company and each Subsidiary Guarantor and other information that will allow such Lender to identify Company and each Subsidiary Guarantor in accordance with the USA Patriot Act.</w:t>
      </w:r>
    </w:p>
    <w:p>
      <w:pPr>
        <w:spacing w:after="0" w:line="310"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6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Waiver of jury trial</w:t>
      </w:r>
    </w:p>
    <w:p>
      <w:pPr>
        <w:spacing w:after="0" w:line="118" w:lineRule="exact"/>
        <w:rPr>
          <w:rFonts w:ascii="Times New Roman" w:cs="Times New Roman" w:eastAsia="Times New Roman" w:hAnsi="Times New Roman"/>
          <w:sz w:val="17"/>
          <w:szCs w:val="17"/>
          <w:b w:val="1"/>
          <w:bCs w:val="1"/>
          <w:color w:val="auto"/>
        </w:rPr>
      </w:pPr>
    </w:p>
    <w:p>
      <w:pPr>
        <w:ind w:left="748" w:right="10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EACH OF THE PARTIES TO THIS AGREEMENT AGREES TO WAIVE IRREVOCABLY ITS RIGHTS TO A JURY TRIAL OF ANY CLAIM BASED UPON OR ARISING OUT OF THIS AGREEMENT OR ANY OF THE DOCUMENTS REFERRED TO IN THIS AGREEMENT OR ANY TRANSACTION CONTEMPLATED IN THIS AGREEMENT. </w:t>
      </w:r>
      <w:r>
        <w:rPr>
          <w:rFonts w:ascii="Times New Roman" w:cs="Times New Roman" w:eastAsia="Times New Roman" w:hAnsi="Times New Roman"/>
          <w:sz w:val="17"/>
          <w:szCs w:val="17"/>
          <w:color w:val="auto"/>
        </w:rPr>
        <w:t>This waiver is intended to apply to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rights after consultation with its legal advisers. In the event of litigation, this Agreement may be filed as a written consent to a trial by the court.</w:t>
      </w:r>
    </w:p>
    <w:p>
      <w:pPr>
        <w:spacing w:after="0" w:line="110"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139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42" w:name="page443"/>
    <w:bookmarkEnd w:id="442"/>
    <w:p>
      <w:pPr>
        <w:ind w:left="748" w:hanging="748"/>
        <w:spacing w:after="0"/>
        <w:tabs>
          <w:tab w:leader="none" w:pos="748" w:val="left"/>
        </w:tabs>
        <w:numPr>
          <w:ilvl w:val="0"/>
          <w:numId w:val="6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Acknowledgement regarding any supported QFCS</w:t>
      </w:r>
    </w:p>
    <w:p>
      <w:pPr>
        <w:spacing w:after="0" w:line="120" w:lineRule="exact"/>
        <w:rPr>
          <w:rFonts w:ascii="Times New Roman" w:cs="Times New Roman" w:eastAsia="Times New Roman" w:hAnsi="Times New Roman"/>
          <w:sz w:val="17"/>
          <w:szCs w:val="17"/>
          <w:b w:val="1"/>
          <w:bCs w:val="1"/>
          <w:color w:val="auto"/>
        </w:rPr>
      </w:pPr>
    </w:p>
    <w:p>
      <w:pPr>
        <w:ind w:left="748" w:right="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that the Finance Documents provide support, through a guarantee or otherwise, for any hedging agreement or any other agreement or instrument that is a QFC (such support, “</w:t>
      </w:r>
      <w:r>
        <w:rPr>
          <w:rFonts w:ascii="Times New Roman" w:cs="Times New Roman" w:eastAsia="Times New Roman" w:hAnsi="Times New Roman"/>
          <w:sz w:val="17"/>
          <w:szCs w:val="17"/>
          <w:b w:val="1"/>
          <w:bCs w:val="1"/>
          <w:color w:val="auto"/>
        </w:rPr>
        <w:t>QFC Credit Support</w:t>
      </w:r>
      <w:r>
        <w:rPr>
          <w:rFonts w:ascii="Times New Roman" w:cs="Times New Roman" w:eastAsia="Times New Roman" w:hAnsi="Times New Roman"/>
          <w:sz w:val="17"/>
          <w:szCs w:val="17"/>
          <w:color w:val="auto"/>
        </w:rPr>
        <w:t>”, and each such QFC, a “</w:t>
      </w:r>
      <w:r>
        <w:rPr>
          <w:rFonts w:ascii="Times New Roman" w:cs="Times New Roman" w:eastAsia="Times New Roman" w:hAnsi="Times New Roman"/>
          <w:sz w:val="17"/>
          <w:szCs w:val="17"/>
          <w:b w:val="1"/>
          <w:bCs w:val="1"/>
          <w:color w:val="auto"/>
        </w:rPr>
        <w:t>Supported QFC</w:t>
      </w:r>
      <w:r>
        <w:rPr>
          <w:rFonts w:ascii="Times New Roman" w:cs="Times New Roman" w:eastAsia="Times New Roman" w:hAnsi="Times New Roman"/>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7"/>
          <w:szCs w:val="17"/>
          <w:b w:val="1"/>
          <w:bCs w:val="1"/>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Finance Documents and any Supported QFC may in fact be stated to be governed by the laws of the State of New York and/or of the United States or any other state of the United States):</w:t>
      </w:r>
    </w:p>
    <w:p>
      <w:pPr>
        <w:spacing w:after="0" w:line="79" w:lineRule="exact"/>
        <w:rPr>
          <w:rFonts w:ascii="Times New Roman" w:cs="Times New Roman" w:eastAsia="Times New Roman" w:hAnsi="Times New Roman"/>
          <w:sz w:val="17"/>
          <w:szCs w:val="17"/>
          <w:b w:val="1"/>
          <w:bCs w:val="1"/>
          <w:color w:val="auto"/>
        </w:rPr>
      </w:pPr>
    </w:p>
    <w:p>
      <w:pPr>
        <w:ind w:left="1268" w:right="60" w:hanging="523"/>
        <w:spacing w:after="0" w:line="260" w:lineRule="auto"/>
        <w:tabs>
          <w:tab w:leader="none" w:pos="1268" w:val="left"/>
        </w:tabs>
        <w:numPr>
          <w:ilvl w:val="1"/>
          <w:numId w:val="6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Covered Entity that is party to a Supported QFC (each, a “</w:t>
      </w:r>
      <w:r>
        <w:rPr>
          <w:rFonts w:ascii="Times New Roman" w:cs="Times New Roman" w:eastAsia="Times New Roman" w:hAnsi="Times New Roman"/>
          <w:sz w:val="17"/>
          <w:szCs w:val="17"/>
          <w:b w:val="1"/>
          <w:bCs w:val="1"/>
          <w:color w:val="auto"/>
        </w:rPr>
        <w:t>Covered Party</w:t>
      </w:r>
      <w:r>
        <w:rPr>
          <w:rFonts w:ascii="Times New Roman" w:cs="Times New Roman" w:eastAsia="Times New Roman" w:hAnsi="Times New Roman"/>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96"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Clause 45, the following terms have the following meanings:</w:t>
      </w:r>
    </w:p>
    <w:p>
      <w:pPr>
        <w:spacing w:after="0" w:line="116" w:lineRule="exact"/>
        <w:rPr>
          <w:rFonts w:ascii="Times New Roman" w:cs="Times New Roman" w:eastAsia="Times New Roman" w:hAnsi="Times New Roman"/>
          <w:sz w:val="17"/>
          <w:szCs w:val="17"/>
          <w:color w:val="auto"/>
        </w:rPr>
      </w:pPr>
    </w:p>
    <w:p>
      <w:pPr>
        <w:ind w:left="1288" w:right="24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person means an “affiliate” (as such term is defined under, and interpreted in accordance with, 12 U.S.C. 1841(k)) of such person.</w:t>
      </w:r>
    </w:p>
    <w:p>
      <w:pPr>
        <w:spacing w:after="0" w:line="37" w:lineRule="exact"/>
        <w:rPr>
          <w:rFonts w:ascii="Times New Roman" w:cs="Times New Roman" w:eastAsia="Times New Roman" w:hAnsi="Times New Roman"/>
          <w:sz w:val="17"/>
          <w:szCs w:val="17"/>
          <w:color w:val="auto"/>
        </w:rPr>
      </w:pPr>
    </w:p>
    <w:p>
      <w:pPr>
        <w:ind w:left="1288" w:right="6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54" w:lineRule="exact"/>
        <w:rPr>
          <w:rFonts w:ascii="Times New Roman" w:cs="Times New Roman" w:eastAsia="Times New Roman" w:hAnsi="Times New Roman"/>
          <w:sz w:val="17"/>
          <w:szCs w:val="17"/>
          <w:color w:val="auto"/>
        </w:rPr>
      </w:pPr>
    </w:p>
    <w:p>
      <w:pPr>
        <w:ind w:left="1288" w:right="24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w:t>
      </w:r>
    </w:p>
    <w:p>
      <w:pPr>
        <w:spacing w:after="0" w:line="37" w:lineRule="exact"/>
        <w:rPr>
          <w:rFonts w:ascii="Times New Roman" w:cs="Times New Roman" w:eastAsia="Times New Roman" w:hAnsi="Times New Roman"/>
          <w:sz w:val="17"/>
          <w:szCs w:val="17"/>
          <w:color w:val="auto"/>
        </w:rPr>
      </w:pPr>
    </w:p>
    <w:p>
      <w:pPr>
        <w:ind w:left="1288" w:right="14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5390(c)(8)(D).</w:t>
      </w:r>
    </w:p>
    <w:p>
      <w:pPr>
        <w:spacing w:after="0" w:line="78"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43" w:name="page444"/>
    <w:bookmarkEnd w:id="443"/>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12</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Governing law and enforcement</w:t>
      </w:r>
    </w:p>
    <w:p>
      <w:pPr>
        <w:spacing w:after="0" w:line="346" w:lineRule="exact"/>
        <w:rPr>
          <w:sz w:val="20"/>
          <w:szCs w:val="20"/>
          <w:color w:val="auto"/>
        </w:rPr>
      </w:pPr>
    </w:p>
    <w:p>
      <w:pPr>
        <w:ind w:left="748" w:hanging="748"/>
        <w:spacing w:after="0"/>
        <w:tabs>
          <w:tab w:leader="none" w:pos="748" w:val="left"/>
        </w:tabs>
        <w:numPr>
          <w:ilvl w:val="0"/>
          <w:numId w:val="6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p>
    <w:p>
      <w:pPr>
        <w:spacing w:after="0" w:line="120" w:lineRule="exact"/>
        <w:rPr>
          <w:rFonts w:ascii="Times New Roman" w:cs="Times New Roman" w:eastAsia="Times New Roman" w:hAnsi="Times New Roman"/>
          <w:sz w:val="17"/>
          <w:szCs w:val="17"/>
          <w:b w:val="1"/>
          <w:bCs w:val="1"/>
          <w:color w:val="auto"/>
        </w:rPr>
      </w:pPr>
    </w:p>
    <w:p>
      <w:pPr>
        <w:ind w:left="748" w:right="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and any non-contractual obligations arising out of or in connection with it are governed by and construed in accordance with English law.</w:t>
      </w:r>
    </w:p>
    <w:p>
      <w:pPr>
        <w:spacing w:after="0" w:line="288"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6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Enforcement</w:t>
      </w:r>
    </w:p>
    <w:p>
      <w:pPr>
        <w:spacing w:after="0" w:line="131"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47.1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3" w:lineRule="exact"/>
        <w:rPr>
          <w:sz w:val="20"/>
          <w:szCs w:val="20"/>
          <w:color w:val="auto"/>
        </w:rPr>
      </w:pPr>
    </w:p>
    <w:p>
      <w:pPr>
        <w:ind w:left="1268" w:right="60" w:hanging="523"/>
        <w:spacing w:after="0" w:line="276" w:lineRule="auto"/>
        <w:tabs>
          <w:tab w:leader="none" w:pos="1268"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“Dispute”).</w:t>
      </w:r>
    </w:p>
    <w:p>
      <w:pPr>
        <w:spacing w:after="0" w:line="70" w:lineRule="exact"/>
        <w:rPr>
          <w:rFonts w:ascii="Times New Roman" w:cs="Times New Roman" w:eastAsia="Times New Roman" w:hAnsi="Times New Roman"/>
          <w:sz w:val="17"/>
          <w:szCs w:val="17"/>
          <w:color w:val="auto"/>
        </w:rPr>
      </w:pPr>
    </w:p>
    <w:p>
      <w:pPr>
        <w:ind w:left="1268" w:right="20" w:hanging="523"/>
        <w:spacing w:after="0" w:line="295" w:lineRule="auto"/>
        <w:tabs>
          <w:tab w:leader="none" w:pos="1268"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the courts of England are the most appropriate and convenient courts to settle Disputes and accordingly no Party will argue to the contrary.</w:t>
      </w:r>
    </w:p>
    <w:p>
      <w:pPr>
        <w:spacing w:after="0" w:line="55" w:lineRule="exact"/>
        <w:rPr>
          <w:rFonts w:ascii="Times New Roman" w:cs="Times New Roman" w:eastAsia="Times New Roman" w:hAnsi="Times New Roman"/>
          <w:sz w:val="17"/>
          <w:szCs w:val="17"/>
          <w:color w:val="auto"/>
        </w:rPr>
      </w:pPr>
    </w:p>
    <w:p>
      <w:pPr>
        <w:jc w:val="both"/>
        <w:ind w:left="1268" w:right="180" w:hanging="523"/>
        <w:spacing w:after="0" w:line="276" w:lineRule="auto"/>
        <w:tabs>
          <w:tab w:leader="none" w:pos="1268"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47.2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3" w:lineRule="exact"/>
        <w:rPr>
          <w:sz w:val="20"/>
          <w:szCs w:val="20"/>
          <w:color w:val="auto"/>
        </w:rPr>
      </w:pPr>
    </w:p>
    <w:p>
      <w:pPr>
        <w:ind w:left="1268" w:hanging="523"/>
        <w:spacing w:after="0"/>
        <w:tabs>
          <w:tab w:leader="none" w:pos="1268" w:val="left"/>
        </w:tabs>
        <w:numPr>
          <w:ilvl w:val="0"/>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any other mode of service allowed under any relevant law, the Company:</w:t>
      </w:r>
    </w:p>
    <w:p>
      <w:pPr>
        <w:spacing w:after="0" w:line="131" w:lineRule="exact"/>
        <w:rPr>
          <w:rFonts w:ascii="Times New Roman" w:cs="Times New Roman" w:eastAsia="Times New Roman" w:hAnsi="Times New Roman"/>
          <w:sz w:val="17"/>
          <w:szCs w:val="17"/>
          <w:color w:val="auto"/>
        </w:rPr>
      </w:pPr>
    </w:p>
    <w:p>
      <w:pPr>
        <w:ind w:left="1888" w:right="740" w:hanging="620"/>
        <w:spacing w:after="0" w:line="295" w:lineRule="auto"/>
        <w:tabs>
          <w:tab w:leader="none" w:pos="1888"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appoints Law Debenture Corporate Service Limited as its agent for service of process in relation to any proceedings before the English courts in connection with any Finance Document; and</w:t>
      </w:r>
    </w:p>
    <w:p>
      <w:pPr>
        <w:spacing w:after="0" w:line="55" w:lineRule="exact"/>
        <w:rPr>
          <w:rFonts w:ascii="Times New Roman" w:cs="Times New Roman" w:eastAsia="Times New Roman" w:hAnsi="Times New Roman"/>
          <w:sz w:val="17"/>
          <w:szCs w:val="17"/>
          <w:color w:val="auto"/>
        </w:rPr>
      </w:pPr>
    </w:p>
    <w:p>
      <w:pPr>
        <w:ind w:left="1888" w:right="60" w:hanging="620"/>
        <w:spacing w:after="0" w:line="295" w:lineRule="auto"/>
        <w:tabs>
          <w:tab w:leader="none" w:pos="1888"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failure by an agent for service of process to notify the Company of the process will not invalidate the proceedings concerned.</w:t>
      </w:r>
    </w:p>
    <w:p>
      <w:pPr>
        <w:spacing w:after="0" w:line="55" w:lineRule="exact"/>
        <w:rPr>
          <w:rFonts w:ascii="Times New Roman" w:cs="Times New Roman" w:eastAsia="Times New Roman" w:hAnsi="Times New Roman"/>
          <w:sz w:val="17"/>
          <w:szCs w:val="17"/>
          <w:color w:val="auto"/>
        </w:rPr>
      </w:pPr>
    </w:p>
    <w:p>
      <w:pPr>
        <w:ind w:left="1268" w:right="100" w:hanging="523"/>
        <w:spacing w:after="0" w:line="276" w:lineRule="auto"/>
        <w:tabs>
          <w:tab w:leader="none" w:pos="1268" w:val="left"/>
        </w:tabs>
        <w:numPr>
          <w:ilvl w:val="0"/>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person appointed as an agent for service of process is unable for any reason to act as agent for service of process, the Company must immediately (and in any event within three (3) Business Days of such event taking place) appoint another agent on terms acceptable to the Agent. Failing this, the Agent may appoint another agent for this purpose.</w:t>
      </w:r>
    </w:p>
    <w:p>
      <w:pPr>
        <w:spacing w:after="0" w:line="304" w:lineRule="exact"/>
        <w:rPr>
          <w:sz w:val="20"/>
          <w:szCs w:val="20"/>
          <w:color w:val="auto"/>
        </w:rPr>
      </w:pPr>
    </w:p>
    <w:p>
      <w:pPr>
        <w:ind w:left="8"/>
        <w:spacing w:after="0"/>
        <w:tabs>
          <w:tab w:leader="none" w:pos="728" w:val="left"/>
        </w:tabs>
        <w:rPr>
          <w:sz w:val="20"/>
          <w:szCs w:val="20"/>
          <w:color w:val="auto"/>
        </w:rPr>
      </w:pPr>
      <w:r>
        <w:rPr>
          <w:rFonts w:ascii="Times New Roman" w:cs="Times New Roman" w:eastAsia="Times New Roman" w:hAnsi="Times New Roman"/>
          <w:sz w:val="17"/>
          <w:szCs w:val="17"/>
          <w:b w:val="1"/>
          <w:bCs w:val="1"/>
          <w:color w:val="auto"/>
        </w:rPr>
        <w:t>47.3</w:t>
      </w:r>
      <w:r>
        <w:rPr>
          <w:sz w:val="20"/>
          <w:szCs w:val="20"/>
          <w:color w:val="auto"/>
        </w:rPr>
        <w:tab/>
      </w:r>
      <w:r>
        <w:rPr>
          <w:rFonts w:ascii="Times New Roman" w:cs="Times New Roman" w:eastAsia="Times New Roman" w:hAnsi="Times New Roman"/>
          <w:sz w:val="17"/>
          <w:szCs w:val="17"/>
          <w:b w:val="1"/>
          <w:bCs w:val="1"/>
          <w:color w:val="auto"/>
        </w:rPr>
        <w:t>Waiver of immunities</w:t>
      </w:r>
    </w:p>
    <w:p>
      <w:pPr>
        <w:spacing w:after="0" w:line="120" w:lineRule="exact"/>
        <w:rPr>
          <w:sz w:val="20"/>
          <w:szCs w:val="20"/>
          <w:color w:val="auto"/>
        </w:rPr>
      </w:pPr>
    </w:p>
    <w:p>
      <w:pPr>
        <w:ind w:left="748" w:right="120"/>
        <w:spacing w:after="0" w:line="295" w:lineRule="auto"/>
        <w:rPr>
          <w:sz w:val="20"/>
          <w:szCs w:val="20"/>
          <w:color w:val="auto"/>
        </w:rPr>
      </w:pPr>
      <w:r>
        <w:rPr>
          <w:rFonts w:ascii="Times New Roman" w:cs="Times New Roman" w:eastAsia="Times New Roman" w:hAnsi="Times New Roman"/>
          <w:sz w:val="17"/>
          <w:szCs w:val="17"/>
          <w:color w:val="auto"/>
        </w:rPr>
        <w:t>The Company irrevocably waives, to the extent permitted by applicable law, with respect to itself and its revenues and assets (irrespective of their use or intended use), all immunity on the grounds of sovereignty or other similar grounds from:</w:t>
      </w:r>
    </w:p>
    <w:p>
      <w:pPr>
        <w:spacing w:after="0" w:line="55" w:lineRule="exact"/>
        <w:rPr>
          <w:sz w:val="20"/>
          <w:szCs w:val="20"/>
          <w:color w:val="auto"/>
        </w:rPr>
      </w:pPr>
    </w:p>
    <w:p>
      <w:pPr>
        <w:ind w:left="1268" w:hanging="523"/>
        <w:spacing w:after="0"/>
        <w:tabs>
          <w:tab w:leader="none" w:pos="1268"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suit;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jurisdiction of any court;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by way of injunction or order for specific performance or recovery of property;</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attachment of its assets (whether before or after judgment); and</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44" w:name="page445"/>
    <w:bookmarkEnd w:id="444"/>
    <w:p>
      <w:pPr>
        <w:ind w:left="1260" w:right="60" w:hanging="523"/>
        <w:spacing w:after="0" w:line="276" w:lineRule="auto"/>
        <w:tabs>
          <w:tab w:leader="none" w:pos="1260" w:val="left"/>
        </w:tabs>
        <w:numPr>
          <w:ilvl w:val="0"/>
          <w:numId w:val="6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Agreement has been entered into on the date stated at the beginning of this Agreement.</w:t>
      </w:r>
    </w:p>
    <w:p>
      <w:pPr>
        <w:sectPr>
          <w:pgSz w:w="11900" w:h="16838" w:orient="portrait"/>
          <w:cols w:equalWidth="0" w:num="1">
            <w:col w:w="10660"/>
          </w:cols>
          <w:pgMar w:left="620" w:top="265" w:right="619" w:bottom="1440" w:gutter="0" w:footer="0" w:header="0"/>
        </w:sectPr>
      </w:pPr>
    </w:p>
    <w:p>
      <w:pPr>
        <w:spacing w:after="0" w:line="1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95" w:lineRule="auto"/>
        <w:rPr>
          <w:sz w:val="20"/>
          <w:szCs w:val="20"/>
          <w:color w:val="auto"/>
        </w:rPr>
      </w:pPr>
      <w:r>
        <w:rPr>
          <w:rFonts w:ascii="Times New Roman" w:cs="Times New Roman" w:eastAsia="Times New Roman" w:hAnsi="Times New Roman"/>
          <w:sz w:val="17"/>
          <w:szCs w:val="17"/>
          <w:color w:val="auto"/>
        </w:rPr>
        <w:t>Project Osprey (2023) – Amended and Restated Facility Agreement</w:t>
      </w:r>
    </w:p>
    <w:p>
      <w:pPr>
        <w:sectPr>
          <w:pgSz w:w="11900" w:h="16838" w:orient="portrait"/>
          <w:cols w:equalWidth="0" w:num="2">
            <w:col w:w="6940" w:space="720"/>
            <w:col w:w="3000"/>
          </w:cols>
          <w:pgMar w:left="620" w:top="265" w:right="619" w:bottom="1440" w:gutter="0" w:footer="0" w:header="0"/>
          <w:type w:val="continuous"/>
        </w:sectPr>
      </w:pPr>
    </w:p>
    <w:bookmarkStart w:id="445" w:name="page446"/>
    <w:bookmarkEnd w:id="44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Schedule 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Original Parties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Borrower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Borrower</w:t>
            </w:r>
          </w:p>
        </w:tc>
        <w:tc>
          <w:tcPr>
            <w:tcW w:w="4280" w:type="dxa"/>
            <w:vAlign w:val="bottom"/>
            <w:vMerge w:val="restart"/>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w w:val="99"/>
              </w:rPr>
              <w:t>Jurisdiction of incorporation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MCO Nominee One Limited</w:t>
            </w:r>
          </w:p>
        </w:tc>
        <w:tc>
          <w:tcPr>
            <w:tcW w:w="4280" w:type="dxa"/>
            <w:vAlign w:val="bottom"/>
            <w:shd w:val="clear" w:color="auto" w:fill="CCEEFF"/>
          </w:tcPr>
          <w:p>
            <w:pPr>
              <w:jc w:val="center"/>
              <w:ind w:left="957"/>
              <w:spacing w:after="0"/>
              <w:rPr>
                <w:sz w:val="20"/>
                <w:szCs w:val="20"/>
                <w:color w:val="auto"/>
              </w:rPr>
            </w:pPr>
            <w:r>
              <w:rPr>
                <w:rFonts w:ascii="Times New Roman" w:cs="Times New Roman" w:eastAsia="Times New Roman" w:hAnsi="Times New Roman"/>
                <w:sz w:val="17"/>
                <w:szCs w:val="17"/>
                <w:color w:val="auto"/>
              </w:rPr>
              <w:t>Cayman Islands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187717</w:t>
            </w:r>
          </w:p>
        </w:tc>
        <w:tc>
          <w:tcPr>
            <w:tcW w:w="0" w:type="dxa"/>
            <w:vAlign w:val="bottom"/>
          </w:tcPr>
          <w:p>
            <w:pPr>
              <w:spacing w:after="0"/>
              <w:rPr>
                <w:sz w:val="1"/>
                <w:szCs w:val="1"/>
                <w:color w:val="auto"/>
              </w:rPr>
            </w:pPr>
          </w:p>
        </w:tc>
      </w:tr>
      <w:tr>
        <w:trPr>
          <w:trHeight w:val="502"/>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2</w:t>
            </w:r>
          </w:p>
        </w:tc>
        <w:tc>
          <w:tcPr>
            <w:tcW w:w="4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The Original Lenders</w:t>
            </w:r>
          </w:p>
        </w:tc>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Original Lender</w:t>
            </w:r>
          </w:p>
        </w:tc>
        <w:tc>
          <w:tcPr>
            <w:tcW w:w="4280" w:type="dxa"/>
            <w:vAlign w:val="bottom"/>
          </w:tcPr>
          <w:p>
            <w:pPr>
              <w:spacing w:after="0"/>
              <w:rPr>
                <w:sz w:val="24"/>
                <w:szCs w:val="24"/>
                <w:color w:val="auto"/>
              </w:rPr>
            </w:pPr>
          </w:p>
        </w:tc>
        <w:tc>
          <w:tcPr>
            <w:tcW w:w="17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7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(HK)</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Banco Nacional Ultramarino, S.A.</w:t>
            </w:r>
          </w:p>
        </w:tc>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550,250,000</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Bank of China Limited, Macau Branch</w:t>
            </w:r>
          </w:p>
        </w:tc>
        <w:tc>
          <w:tcPr>
            <w:tcW w:w="4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5,425,000,000</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Communications Co., Ltd. Macau Branch</w:t>
            </w:r>
          </w:p>
        </w:tc>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4,650,000,000</w:t>
            </w:r>
          </w:p>
        </w:tc>
        <w:tc>
          <w:tcPr>
            <w:tcW w:w="0" w:type="dxa"/>
            <w:vAlign w:val="bottom"/>
          </w:tcPr>
          <w:p>
            <w:pPr>
              <w:spacing w:after="0"/>
              <w:rPr>
                <w:sz w:val="1"/>
                <w:szCs w:val="1"/>
                <w:color w:val="auto"/>
              </w:rPr>
            </w:pPr>
          </w:p>
        </w:tc>
      </w:tr>
      <w:tr>
        <w:trPr>
          <w:trHeight w:val="191"/>
        </w:trPr>
        <w:tc>
          <w:tcPr>
            <w:tcW w:w="89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Deutsche Bank Aktiengesellschaft a joint stock company with limited liability incorporated in the Federal Republic of Germany,</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9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local court of Frankfurt am Main, HRB no. 30,000, acting through its Singapore Branch (previously known as Deutsche Bank</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AG, Singapore Branch)</w:t>
            </w:r>
          </w:p>
        </w:tc>
        <w:tc>
          <w:tcPr>
            <w:tcW w:w="4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562,375,000</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Industrial and Commercial Bank of China (Macau) Limited</w:t>
            </w:r>
          </w:p>
        </w:tc>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3,100,000,000</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Morgan Stanley Senior Funding, Inc.</w:t>
            </w:r>
          </w:p>
        </w:tc>
        <w:tc>
          <w:tcPr>
            <w:tcW w:w="4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562,375,000</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14,850,000,000</w:t>
            </w:r>
          </w:p>
        </w:tc>
        <w:tc>
          <w:tcPr>
            <w:tcW w:w="0" w:type="dxa"/>
            <w:vAlign w:val="bottom"/>
          </w:tcPr>
          <w:p>
            <w:pPr>
              <w:spacing w:after="0"/>
              <w:rPr>
                <w:sz w:val="1"/>
                <w:szCs w:val="1"/>
                <w:color w:val="auto"/>
              </w:rPr>
            </w:pPr>
          </w:p>
        </w:tc>
      </w:tr>
      <w:tr>
        <w:trPr>
          <w:trHeight w:val="334"/>
        </w:trPr>
        <w:tc>
          <w:tcPr>
            <w:tcW w:w="4680" w:type="dxa"/>
            <w:vAlign w:val="bottom"/>
          </w:tcPr>
          <w:p>
            <w:pPr>
              <w:spacing w:after="0"/>
              <w:rPr>
                <w:sz w:val="24"/>
                <w:szCs w:val="24"/>
                <w:color w:val="auto"/>
              </w:rPr>
            </w:pPr>
          </w:p>
        </w:tc>
        <w:tc>
          <w:tcPr>
            <w:tcW w:w="4280" w:type="dxa"/>
            <w:vAlign w:val="bottom"/>
          </w:tcPr>
          <w:p>
            <w:pPr>
              <w:jc w:val="right"/>
              <w:ind w:right="3417"/>
              <w:spacing w:after="0"/>
              <w:rPr>
                <w:sz w:val="20"/>
                <w:szCs w:val="20"/>
                <w:color w:val="auto"/>
              </w:rPr>
            </w:pPr>
            <w:r>
              <w:rPr>
                <w:rFonts w:ascii="Times New Roman" w:cs="Times New Roman" w:eastAsia="Times New Roman" w:hAnsi="Times New Roman"/>
                <w:sz w:val="17"/>
                <w:szCs w:val="17"/>
                <w:color w:val="auto"/>
              </w:rPr>
              <w:t>143</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5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c>
          <w:tcPr>
            <w:tcW w:w="0" w:type="dxa"/>
            <w:vAlign w:val="bottom"/>
          </w:tcPr>
          <w:p>
            <w:pPr>
              <w:spacing w:after="0"/>
              <w:rPr>
                <w:sz w:val="1"/>
                <w:szCs w:val="1"/>
                <w:color w:val="auto"/>
              </w:rPr>
            </w:pPr>
          </w:p>
        </w:tc>
      </w:tr>
    </w:tbl>
    <w:p>
      <w:pPr>
        <w:sectPr>
          <w:pgSz w:w="11900" w:h="16838" w:orient="portrait"/>
          <w:cols w:equalWidth="0" w:num="1">
            <w:col w:w="10660"/>
          </w:cols>
          <w:pgMar w:left="620" w:top="262" w:right="619" w:bottom="1440" w:gutter="0" w:footer="0" w:header="0"/>
        </w:sectPr>
      </w:pPr>
    </w:p>
    <w:bookmarkStart w:id="446" w:name="page447"/>
    <w:bookmarkEnd w:id="446"/>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Schedule 2</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Conditions precedent</w:t>
      </w:r>
    </w:p>
    <w:p>
      <w:pPr>
        <w:spacing w:after="0" w:line="111" w:lineRule="exact"/>
        <w:rPr>
          <w:sz w:val="20"/>
          <w:szCs w:val="20"/>
          <w:color w:val="auto"/>
        </w:rPr>
      </w:pPr>
    </w:p>
    <w:p>
      <w:pPr>
        <w:ind w:left="748" w:hanging="748"/>
        <w:spacing w:after="0"/>
        <w:tabs>
          <w:tab w:leader="none" w:pos="748" w:val="left"/>
        </w:tabs>
        <w:numPr>
          <w:ilvl w:val="0"/>
          <w:numId w:val="6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Company, each Subsidiary Guarantor and each Subordinated Creditor</w:t>
      </w:r>
    </w:p>
    <w:p>
      <w:pPr>
        <w:spacing w:after="0" w:line="133" w:lineRule="exact"/>
        <w:rPr>
          <w:rFonts w:ascii="Times New Roman" w:cs="Times New Roman" w:eastAsia="Times New Roman" w:hAnsi="Times New Roman"/>
          <w:sz w:val="17"/>
          <w:szCs w:val="17"/>
          <w:b w:val="1"/>
          <w:bCs w:val="1"/>
          <w:color w:val="auto"/>
        </w:rPr>
      </w:pPr>
    </w:p>
    <w:p>
      <w:pPr>
        <w:ind w:left="1268" w:right="80" w:hanging="523"/>
        <w:spacing w:after="0" w:line="276"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each of the Company, each Subsidiary Guarantor and each Subordinated Creditor, a copy of its constitutional documents (including its certificate of incorporation, certificate of incorporation on change of name (if any), memorandum and articles of association, register of directors, register of members and register of mortgages and charges).</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resolution of the board of directors of the Company, each Subsidiary Guarantor and each Subordinated Creditor:</w:t>
      </w:r>
    </w:p>
    <w:p>
      <w:pPr>
        <w:spacing w:after="0" w:line="131" w:lineRule="exact"/>
        <w:rPr>
          <w:rFonts w:ascii="Times New Roman" w:cs="Times New Roman" w:eastAsia="Times New Roman" w:hAnsi="Times New Roman"/>
          <w:sz w:val="17"/>
          <w:szCs w:val="17"/>
          <w:color w:val="auto"/>
        </w:rPr>
      </w:pPr>
    </w:p>
    <w:p>
      <w:pPr>
        <w:ind w:left="1888" w:right="40" w:hanging="620"/>
        <w:spacing w:after="0" w:line="295" w:lineRule="auto"/>
        <w:tabs>
          <w:tab w:leader="none" w:pos="1888" w:val="left"/>
        </w:tabs>
        <w:numPr>
          <w:ilvl w:val="2"/>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of, and the transactions contemplated by, the Finance Documents to which it is a party and resolving that it execute the Finance Documents to which it is a party;</w:t>
      </w:r>
    </w:p>
    <w:p>
      <w:pPr>
        <w:spacing w:after="0" w:line="55"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to execute the Finance Documents to which it is a party on its behalf; and</w:t>
      </w:r>
    </w:p>
    <w:p>
      <w:pPr>
        <w:spacing w:after="0" w:line="131" w:lineRule="exact"/>
        <w:rPr>
          <w:rFonts w:ascii="Times New Roman" w:cs="Times New Roman" w:eastAsia="Times New Roman" w:hAnsi="Times New Roman"/>
          <w:sz w:val="17"/>
          <w:szCs w:val="17"/>
          <w:color w:val="auto"/>
        </w:rPr>
      </w:pPr>
    </w:p>
    <w:p>
      <w:pPr>
        <w:ind w:left="1888" w:right="160" w:hanging="620"/>
        <w:spacing w:after="0" w:line="276" w:lineRule="auto"/>
        <w:tabs>
          <w:tab w:leader="none" w:pos="1888" w:val="left"/>
        </w:tabs>
        <w:numPr>
          <w:ilvl w:val="2"/>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on its behalf, to sign and/or despatch all documents and notices (including, if relevant, any Utilisation Request and Selection Notice) to be signed and/or despatched by it under or in connection with the Finance Documents to which it is a party.</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specimen of the signature of each person authorised by each resolution referred to in paragraph (b) above.</w:t>
      </w:r>
    </w:p>
    <w:p>
      <w:pPr>
        <w:spacing w:after="0" w:line="131" w:lineRule="exact"/>
        <w:rPr>
          <w:rFonts w:ascii="Times New Roman" w:cs="Times New Roman" w:eastAsia="Times New Roman" w:hAnsi="Times New Roman"/>
          <w:sz w:val="17"/>
          <w:szCs w:val="17"/>
          <w:color w:val="auto"/>
        </w:rPr>
      </w:pPr>
    </w:p>
    <w:p>
      <w:pPr>
        <w:jc w:val="both"/>
        <w:ind w:left="1268" w:right="80" w:hanging="523"/>
        <w:spacing w:after="0" w:line="276"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from each of the Company and each Subsidiary Guarantor (in each case signed by a director) confirming that borrowing or guaranteeing, as appropriate, the Total Commitments would not cause any borrowing, guaranteeing or similar limit binding on it to be exceeded.</w:t>
      </w:r>
    </w:p>
    <w:p>
      <w:pPr>
        <w:spacing w:after="0" w:line="70" w:lineRule="exact"/>
        <w:rPr>
          <w:rFonts w:ascii="Times New Roman" w:cs="Times New Roman" w:eastAsia="Times New Roman" w:hAnsi="Times New Roman"/>
          <w:sz w:val="17"/>
          <w:szCs w:val="17"/>
          <w:color w:val="auto"/>
        </w:rPr>
      </w:pPr>
    </w:p>
    <w:p>
      <w:pPr>
        <w:jc w:val="both"/>
        <w:ind w:left="1268" w:right="300" w:hanging="523"/>
        <w:spacing w:after="0" w:line="276"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an authorised signatory of the Company, each Subsidiary Guarantor and each Subordinated Creditor certifying that each copy document relating to it specified in this Schedule 2 is correct, complete and in full force and effect as at a date no earlier than the date of this Agreement.</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Finance Documents</w:t>
      </w:r>
    </w:p>
    <w:p>
      <w:pPr>
        <w:spacing w:after="0" w:line="133"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this Agreement duly entered into by the parties to it.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Fee Letter duly entered into by the parties to it.</w:t>
      </w:r>
    </w:p>
    <w:p>
      <w:pPr>
        <w:spacing w:after="0" w:line="131" w:lineRule="exact"/>
        <w:rPr>
          <w:rFonts w:ascii="Times New Roman" w:cs="Times New Roman" w:eastAsia="Times New Roman" w:hAnsi="Times New Roman"/>
          <w:sz w:val="17"/>
          <w:szCs w:val="17"/>
          <w:color w:val="auto"/>
        </w:rPr>
      </w:pPr>
    </w:p>
    <w:p>
      <w:pPr>
        <w:ind w:left="1268" w:right="40" w:hanging="523"/>
        <w:spacing w:after="0" w:line="295"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Subordination Deed duly entered into by the parties to it and the delivery of any original or copy of ancillary documents to the Subordination Deed as required in accordance with the terms thereof.</w:t>
      </w:r>
    </w:p>
    <w:p>
      <w:pPr>
        <w:spacing w:after="0" w:line="55" w:lineRule="exact"/>
        <w:rPr>
          <w:rFonts w:ascii="Times New Roman" w:cs="Times New Roman" w:eastAsia="Times New Roman" w:hAnsi="Times New Roman"/>
          <w:sz w:val="17"/>
          <w:szCs w:val="17"/>
          <w:color w:val="auto"/>
        </w:rPr>
      </w:pPr>
    </w:p>
    <w:p>
      <w:pPr>
        <w:ind w:left="1268" w:right="620" w:hanging="523"/>
        <w:spacing w:after="0" w:line="295"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Subsidiary Guarantee duly entered into by the parties to it and the delivery of any original or copy of ancillary documents to that Subsidiary Guarantee as required in accordance with the terms thereof.</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opinions</w:t>
      </w:r>
    </w:p>
    <w:p>
      <w:pPr>
        <w:spacing w:after="0" w:line="133" w:lineRule="exact"/>
        <w:rPr>
          <w:rFonts w:ascii="Times New Roman" w:cs="Times New Roman" w:eastAsia="Times New Roman" w:hAnsi="Times New Roman"/>
          <w:sz w:val="17"/>
          <w:szCs w:val="17"/>
          <w:b w:val="1"/>
          <w:bCs w:val="1"/>
          <w:color w:val="auto"/>
        </w:rPr>
      </w:pPr>
    </w:p>
    <w:p>
      <w:pPr>
        <w:ind w:left="1268" w:right="600" w:hanging="523"/>
        <w:spacing w:after="0" w:line="295" w:lineRule="auto"/>
        <w:tabs>
          <w:tab w:leader="none" w:pos="1268"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in relation to English law from White &amp; Case addressed to the Arrangers, the Agent and the Original Lenders, substantially in the form distributed to the Arrangers prior to signing this Agreement.</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447" w:name="page448"/>
    <w:bookmarkEnd w:id="447"/>
    <w:p>
      <w:pPr>
        <w:ind w:left="1268" w:right="120" w:hanging="523"/>
        <w:spacing w:after="0" w:line="276" w:lineRule="auto"/>
        <w:tabs>
          <w:tab w:leader="none" w:pos="1268" w:val="left"/>
        </w:tabs>
        <w:numPr>
          <w:ilvl w:val="1"/>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legal opinion as to the laws of the Cayman Islands from Maples and Calder (Hong Kong) LLP, the law firm of the Maples Group addressed to the Arrangers, the Agent and the Original Lenders, substantially in the form distributed to the Arrangers prior to signing this Agreement.</w:t>
      </w:r>
    </w:p>
    <w:p>
      <w:pPr>
        <w:spacing w:after="0" w:line="70" w:lineRule="exact"/>
        <w:rPr>
          <w:rFonts w:ascii="Times New Roman" w:cs="Times New Roman" w:eastAsia="Times New Roman" w:hAnsi="Times New Roman"/>
          <w:sz w:val="17"/>
          <w:szCs w:val="17"/>
          <w:color w:val="auto"/>
        </w:rPr>
      </w:pPr>
    </w:p>
    <w:p>
      <w:pPr>
        <w:ind w:left="1268" w:right="180" w:hanging="523"/>
        <w:spacing w:after="0" w:line="295" w:lineRule="auto"/>
        <w:tabs>
          <w:tab w:leader="none" w:pos="1268" w:val="left"/>
        </w:tabs>
        <w:numPr>
          <w:ilvl w:val="1"/>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as to the laws of Macau from A&amp;N – Advogados &amp; Notários addressed to the Arrangers, the Agent and the Original Lenders, substantially in the form distributed to the Arrangers prior to signing this Agreement.</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documents and evidence</w:t>
      </w:r>
    </w:p>
    <w:p>
      <w:pPr>
        <w:spacing w:after="0" w:line="133" w:lineRule="exact"/>
        <w:rPr>
          <w:rFonts w:ascii="Times New Roman" w:cs="Times New Roman" w:eastAsia="Times New Roman" w:hAnsi="Times New Roman"/>
          <w:sz w:val="17"/>
          <w:szCs w:val="17"/>
          <w:b w:val="1"/>
          <w:bCs w:val="1"/>
          <w:color w:val="auto"/>
        </w:rPr>
      </w:pPr>
    </w:p>
    <w:p>
      <w:pPr>
        <w:ind w:left="1268" w:right="160" w:hanging="523"/>
        <w:spacing w:after="0" w:line="295" w:lineRule="auto"/>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any process agent referred to in Clause 47.2 (Service of process) and in respect of each of the Subordination Deed and each Subsidiary Guarantee has accepted its appointment.</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Financial Statements.</w:t>
      </w:r>
    </w:p>
    <w:p>
      <w:pPr>
        <w:spacing w:after="0" w:line="129" w:lineRule="exact"/>
        <w:rPr>
          <w:rFonts w:ascii="Times New Roman" w:cs="Times New Roman" w:eastAsia="Times New Roman" w:hAnsi="Times New Roman"/>
          <w:sz w:val="17"/>
          <w:szCs w:val="17"/>
          <w:color w:val="auto"/>
        </w:rPr>
      </w:pPr>
    </w:p>
    <w:p>
      <w:pPr>
        <w:ind w:left="1268" w:right="600" w:hanging="523"/>
        <w:spacing w:after="0" w:line="298" w:lineRule="auto"/>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the fees, costs and expenses then due from the Company pursuant to Clause 15 (</w:t>
      </w:r>
      <w:r>
        <w:rPr>
          <w:rFonts w:ascii="Times New Roman" w:cs="Times New Roman" w:eastAsia="Times New Roman" w:hAnsi="Times New Roman"/>
          <w:sz w:val="17"/>
          <w:szCs w:val="17"/>
          <w:i w:val="1"/>
          <w:iCs w:val="1"/>
          <w:color w:val="auto"/>
        </w:rPr>
        <w:t>Fees</w:t>
      </w:r>
      <w:r>
        <w:rPr>
          <w:rFonts w:ascii="Times New Roman" w:cs="Times New Roman" w:eastAsia="Times New Roman" w:hAnsi="Times New Roman"/>
          <w:sz w:val="17"/>
          <w:szCs w:val="17"/>
          <w:color w:val="auto"/>
        </w:rPr>
        <w:t>) and Clause 20 (</w:t>
      </w:r>
      <w:r>
        <w:rPr>
          <w:rFonts w:ascii="Times New Roman" w:cs="Times New Roman" w:eastAsia="Times New Roman" w:hAnsi="Times New Roman"/>
          <w:sz w:val="17"/>
          <w:szCs w:val="17"/>
          <w:i w:val="1"/>
          <w:iCs w:val="1"/>
          <w:color w:val="auto"/>
        </w:rPr>
        <w:t>Costs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have been paid or will be paid on or before the date falling 5 Business Days after the Initial Utilisation Date.</w:t>
      </w:r>
    </w:p>
    <w:p>
      <w:pPr>
        <w:spacing w:after="0" w:line="52"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Structure Chart.</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Model.</w:t>
      </w:r>
    </w:p>
    <w:p>
      <w:pPr>
        <w:spacing w:after="0" w:line="131"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following:</w:t>
      </w:r>
    </w:p>
    <w:p>
      <w:pPr>
        <w:spacing w:after="0" w:line="131" w:lineRule="exact"/>
        <w:rPr>
          <w:rFonts w:ascii="Times New Roman" w:cs="Times New Roman" w:eastAsia="Times New Roman" w:hAnsi="Times New Roman"/>
          <w:sz w:val="17"/>
          <w:szCs w:val="17"/>
          <w:color w:val="auto"/>
        </w:rPr>
      </w:pPr>
    </w:p>
    <w:p>
      <w:pPr>
        <w:ind w:left="1888" w:right="80" w:hanging="620"/>
        <w:spacing w:after="0" w:line="295" w:lineRule="auto"/>
        <w:tabs>
          <w:tab w:leader="none" w:pos="1888" w:val="left"/>
        </w:tabs>
        <w:numPr>
          <w:ilvl w:val="2"/>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pay-off letter from the Existing OpCo Facility Agent to Melco Resorts Macau confirming the amount required to be paid so as to prepay and cancel the Existing OpCo Facilities in full on the Initial Utilisation Date;</w:t>
      </w:r>
    </w:p>
    <w:p>
      <w:pPr>
        <w:spacing w:after="0" w:line="55" w:lineRule="exact"/>
        <w:rPr>
          <w:rFonts w:ascii="Times New Roman" w:cs="Times New Roman" w:eastAsia="Times New Roman" w:hAnsi="Times New Roman"/>
          <w:sz w:val="17"/>
          <w:szCs w:val="17"/>
          <w:color w:val="auto"/>
        </w:rPr>
      </w:pPr>
    </w:p>
    <w:p>
      <w:pPr>
        <w:ind w:left="1888" w:right="200" w:hanging="620"/>
        <w:spacing w:after="0" w:line="269" w:lineRule="auto"/>
        <w:tabs>
          <w:tab w:leader="none" w:pos="1888" w:val="left"/>
        </w:tabs>
        <w:numPr>
          <w:ilvl w:val="2"/>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draft irrevocable prepayment and cancellation notice or notices from Melco Resorts Macau to the Existing OpCo Facility Agent stating that it will prepay and permanently cancel the Existing OpCo Facilities in full (other than HK$1,000,000 of commitments in respect of the Existing OpCo RCF which are to remain available, subject to the Existing OpCo Facility Agreement) on or within 1 Business Day of the Initial Utilisation Date; and</w:t>
      </w:r>
    </w:p>
    <w:p>
      <w:pPr>
        <w:spacing w:after="0" w:line="77" w:lineRule="exact"/>
        <w:rPr>
          <w:rFonts w:ascii="Times New Roman" w:cs="Times New Roman" w:eastAsia="Times New Roman" w:hAnsi="Times New Roman"/>
          <w:sz w:val="17"/>
          <w:szCs w:val="17"/>
          <w:color w:val="auto"/>
        </w:rPr>
      </w:pPr>
    </w:p>
    <w:p>
      <w:pPr>
        <w:ind w:left="1888" w:right="60" w:hanging="620"/>
        <w:spacing w:after="0" w:line="269" w:lineRule="auto"/>
        <w:tabs>
          <w:tab w:leader="none" w:pos="1888" w:val="left"/>
        </w:tabs>
        <w:numPr>
          <w:ilvl w:val="2"/>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satisfactory to the Arrangers that the Existing OpCo Facility Continuing Lender shall be the only lender of record under the Existing OpCo Facilities Agreement after completion of the prepayments and cancellations contemplated by the arrangements referred to above (and taking into account the Existing OpCo Facility Continuing Lender’s partial waiver of its prepayment rights as contemplated in the waiver letter referred to in paragraph (g) below).</w:t>
      </w:r>
    </w:p>
    <w:p>
      <w:pPr>
        <w:spacing w:after="0" w:line="77" w:lineRule="exact"/>
        <w:rPr>
          <w:rFonts w:ascii="Times New Roman" w:cs="Times New Roman" w:eastAsia="Times New Roman" w:hAnsi="Times New Roman"/>
          <w:sz w:val="17"/>
          <w:szCs w:val="17"/>
          <w:color w:val="auto"/>
        </w:rPr>
      </w:pPr>
    </w:p>
    <w:p>
      <w:pPr>
        <w:ind w:left="1268" w:right="60" w:hanging="523"/>
        <w:spacing w:after="0" w:line="266" w:lineRule="auto"/>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revocable waiver letter from the Existing OpCo Facility Continuing Lender to Melco Resorts Macau in respect of the Existing OpCo Facilities Agreement, in the agreed form distributed to the Arrangers prior to signing this Agreement (or otherwise in form and substance satisfactory to the Arrangers) and executed by the Existing OpCo Facility Continuing Lender, together with evidence satisfactory to the Arrangers that a copy of such waiver letter has been provided to each of the Existing OpCo Facility Agent and the Existing OpCo Facility Security Agent.</w:t>
      </w:r>
    </w:p>
    <w:p>
      <w:pPr>
        <w:spacing w:after="0" w:line="79" w:lineRule="exact"/>
        <w:rPr>
          <w:rFonts w:ascii="Times New Roman" w:cs="Times New Roman" w:eastAsia="Times New Roman" w:hAnsi="Times New Roman"/>
          <w:sz w:val="17"/>
          <w:szCs w:val="17"/>
          <w:color w:val="auto"/>
        </w:rPr>
      </w:pPr>
    </w:p>
    <w:p>
      <w:pPr>
        <w:ind w:left="1268" w:hanging="523"/>
        <w:spacing w:after="0" w:line="295" w:lineRule="auto"/>
        <w:tabs>
          <w:tab w:leader="none" w:pos="1268"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undertaking from the Existing OpCo Facility Continuing Lender to the Agent in the agreed form distributed to the Arrangers prior to signing this Agreement (or otherwise in form and substance satisfactory to the Arrangers).</w:t>
      </w:r>
    </w:p>
    <w:p>
      <w:pPr>
        <w:spacing w:after="0" w:line="81"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448" w:name="page449"/>
    <w:bookmarkEnd w:id="448"/>
    <w:p>
      <w:pPr>
        <w:ind w:left="523" w:hanging="523"/>
        <w:spacing w:after="0"/>
        <w:tabs>
          <w:tab w:leader="none" w:pos="523" w:val="left"/>
        </w:tabs>
        <w:numPr>
          <w:ilvl w:val="0"/>
          <w:numId w:val="6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Evidence that all “know your customer” requirements of each Finance Party have been satisfactorily completed.</w:t>
      </w:r>
    </w:p>
    <w:p>
      <w:pPr>
        <w:spacing w:after="0" w:line="157" w:lineRule="exact"/>
        <w:rPr>
          <w:sz w:val="20"/>
          <w:szCs w:val="20"/>
          <w:color w:val="auto"/>
        </w:rPr>
      </w:pPr>
    </w:p>
    <w:tbl>
      <w:tblPr>
        <w:tblLayout w:type="fixed"/>
        <w:tblInd w:w="4463"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9923"/>
          </w:cols>
          <w:pgMar w:left="1357" w:top="265" w:right="619" w:bottom="1440" w:gutter="0" w:footer="0" w:header="0"/>
        </w:sectPr>
      </w:pPr>
    </w:p>
    <w:bookmarkStart w:id="449" w:name="page450"/>
    <w:bookmarkEnd w:id="449"/>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3</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Utilisation Request</w:t>
      </w:r>
    </w:p>
    <w:p>
      <w:pPr>
        <w:spacing w:after="0" w:line="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To be placed on Company letterhead</w:t>
      </w:r>
      <w:r>
        <w:rPr>
          <w:rFonts w:ascii="Times New Roman" w:cs="Times New Roman" w:eastAsia="Times New Roman" w:hAnsi="Times New Roman"/>
          <w:sz w:val="17"/>
          <w:szCs w:val="17"/>
          <w:color w:val="auto"/>
        </w:rPr>
        <w:t>]</w:t>
      </w:r>
    </w:p>
    <w:p>
      <w:pPr>
        <w:spacing w:after="0" w:line="251"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7"/>
          <w:szCs w:val="17"/>
          <w:color w:val="auto"/>
        </w:rPr>
        <w:t>From:</w:t>
        <w:tab/>
        <w:t>MCO Nominee One Limited</w:t>
      </w:r>
    </w:p>
    <w:p>
      <w:pPr>
        <w:spacing w:after="0" w:line="116"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Agent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Dear Sirs</w:t>
      </w:r>
    </w:p>
    <w:p>
      <w:pPr>
        <w:spacing w:after="0" w:line="11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restatement agreement dated 29 June 2023 and as further amended and/or supplemented from time to time, the “Facility Agreement”)</w:t>
      </w:r>
    </w:p>
    <w:p>
      <w:pPr>
        <w:spacing w:after="0" w:line="113" w:lineRule="exact"/>
        <w:rPr>
          <w:sz w:val="20"/>
          <w:szCs w:val="20"/>
          <w:color w:val="auto"/>
        </w:rPr>
      </w:pPr>
    </w:p>
    <w:p>
      <w:pPr>
        <w:ind w:left="748" w:right="260" w:hanging="748"/>
        <w:spacing w:after="0" w:line="276" w:lineRule="auto"/>
        <w:tabs>
          <w:tab w:leader="none" w:pos="748" w:val="left"/>
        </w:tabs>
        <w:numPr>
          <w:ilvl w:val="0"/>
          <w:numId w:val="6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Facility Agreement. This is a Utilisation Request. Terms defined in or construed for the purposes of the Facility Agreement have the same meaning and construction in this Utilisation Request unless given a different meaning or construction in this Utilisation Request.</w:t>
      </w:r>
    </w:p>
    <w:p>
      <w:pPr>
        <w:spacing w:after="0" w:line="70"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wish to borrow a Loan on the following terms:</w:t>
      </w:r>
    </w:p>
    <w:p>
      <w:pPr>
        <w:spacing w:after="0" w:line="131" w:lineRule="exact"/>
        <w:rPr>
          <w:sz w:val="20"/>
          <w:szCs w:val="20"/>
          <w:color w:val="auto"/>
        </w:rPr>
      </w:pPr>
    </w:p>
    <w:tbl>
      <w:tblPr>
        <w:tblLayout w:type="fixed"/>
        <w:tblInd w:w="848" w:type="dxa"/>
        <w:tblCellMar>
          <w:top w:w="0" w:type="dxa"/>
          <w:left w:w="0" w:type="dxa"/>
          <w:bottom w:w="0" w:type="dxa"/>
          <w:right w:w="0" w:type="dxa"/>
        </w:tblCellMar>
      </w:tblPr>
      <w:tr>
        <w:trPr>
          <w:trHeight w:val="227"/>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 </w:t>
            </w: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 Proposed Utilisation Date:</w:t>
            </w:r>
          </w:p>
        </w:tc>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(or, if that is not a Business Day, the next Business Day)</w:t>
            </w:r>
          </w:p>
        </w:tc>
      </w:tr>
      <w:tr>
        <w:trPr>
          <w:trHeight w:val="314"/>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     Facility to be utilised:</w:t>
            </w:r>
          </w:p>
        </w:tc>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[Initial Facility]/[</w:t>
            </w:r>
            <w:r>
              <w:rPr>
                <w:rFonts w:ascii="Times New Roman" w:cs="Times New Roman" w:eastAsia="Times New Roman" w:hAnsi="Times New Roman"/>
                <w:sz w:val="17"/>
                <w:szCs w:val="17"/>
                <w:i w:val="1"/>
                <w:iCs w:val="1"/>
                <w:color w:val="auto"/>
              </w:rPr>
              <w:t>insert details of relevant Incremental Facility</w:t>
            </w:r>
            <w:r>
              <w:rPr>
                <w:rFonts w:ascii="Times New Roman" w:cs="Times New Roman" w:eastAsia="Times New Roman" w:hAnsi="Times New Roman"/>
                <w:sz w:val="17"/>
                <w:szCs w:val="17"/>
                <w:color w:val="auto"/>
              </w:rPr>
              <w:t>]</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(c) </w:t>
            </w: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 Currency of Loan:</w:t>
            </w:r>
          </w:p>
        </w:tc>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(d) </w:t>
            </w:r>
          </w:p>
        </w:tc>
        <w:tc>
          <w:tcPr>
            <w:tcW w:w="2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 Amount:</w:t>
            </w:r>
          </w:p>
        </w:tc>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or, if less, the applicable Available Facility</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(e) </w:t>
            </w: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 Interest Period:</w:t>
            </w:r>
          </w:p>
        </w:tc>
        <w:tc>
          <w:tcPr>
            <w:tcW w:w="48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r>
    </w:tbl>
    <w:p>
      <w:pPr>
        <w:spacing w:after="0" w:line="97" w:lineRule="exact"/>
        <w:rPr>
          <w:sz w:val="20"/>
          <w:szCs w:val="20"/>
          <w:color w:val="auto"/>
        </w:rPr>
      </w:pPr>
    </w:p>
    <w:p>
      <w:pPr>
        <w:ind w:left="748" w:hanging="748"/>
        <w:spacing w:after="0"/>
        <w:tabs>
          <w:tab w:leader="none" w:pos="748"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confirm that each condition specified in Clause 4.2 (</w:t>
      </w:r>
      <w:r>
        <w:rPr>
          <w:rFonts w:ascii="Times New Roman" w:cs="Times New Roman" w:eastAsia="Times New Roman" w:hAnsi="Times New Roman"/>
          <w:sz w:val="17"/>
          <w:szCs w:val="17"/>
          <w:i w:val="1"/>
          <w:iCs w:val="1"/>
          <w:color w:val="auto"/>
        </w:rPr>
        <w:t>Further conditions precedent</w:t>
      </w:r>
      <w:r>
        <w:rPr>
          <w:rFonts w:ascii="Times New Roman" w:cs="Times New Roman" w:eastAsia="Times New Roman" w:hAnsi="Times New Roman"/>
          <w:sz w:val="17"/>
          <w:szCs w:val="17"/>
          <w:color w:val="auto"/>
        </w:rPr>
        <w:t>) is satisfied on the date of this Utilisation Request.</w:t>
      </w:r>
    </w:p>
    <w:p>
      <w:pPr>
        <w:spacing w:after="0" w:line="131" w:lineRule="exact"/>
        <w:rPr>
          <w:rFonts w:ascii="Times New Roman" w:cs="Times New Roman" w:eastAsia="Times New Roman" w:hAnsi="Times New Roman"/>
          <w:sz w:val="17"/>
          <w:szCs w:val="17"/>
          <w:color w:val="auto"/>
        </w:rPr>
      </w:pPr>
    </w:p>
    <w:p>
      <w:pPr>
        <w:ind w:left="748" w:right="300" w:hanging="748"/>
        <w:spacing w:after="0" w:line="277" w:lineRule="auto"/>
        <w:tabs>
          <w:tab w:leader="none" w:pos="748"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Loan is a Rollover Loan and is to be made for the purpose of refinancing [</w:t>
      </w:r>
      <w:r>
        <w:rPr>
          <w:rFonts w:ascii="Times New Roman" w:cs="Times New Roman" w:eastAsia="Times New Roman" w:hAnsi="Times New Roman"/>
          <w:sz w:val="17"/>
          <w:szCs w:val="17"/>
          <w:i w:val="1"/>
          <w:iCs w:val="1"/>
          <w:color w:val="auto"/>
        </w:rPr>
        <w:t>identify maturing Loan] in whole or in part</w:t>
      </w:r>
      <w:r>
        <w:rPr>
          <w:rFonts w:ascii="Times New Roman" w:cs="Times New Roman" w:eastAsia="Times New Roman" w:hAnsi="Times New Roman"/>
          <w:sz w:val="17"/>
          <w:szCs w:val="17"/>
          <w:color w:val="auto"/>
        </w:rPr>
        <w:t>]/[[Subject to paragraph 5 below,] the proceeds of this Loan will be used in accordance with [</w:t>
      </w:r>
      <w:r>
        <w:rPr>
          <w:rFonts w:ascii="Times New Roman" w:cs="Times New Roman" w:eastAsia="Times New Roman" w:hAnsi="Times New Roman"/>
          <w:sz w:val="17"/>
          <w:szCs w:val="17"/>
          <w:i w:val="1"/>
          <w:iCs w:val="1"/>
          <w:color w:val="auto"/>
        </w:rPr>
        <w:t>specify relevant paragraph</w:t>
      </w:r>
      <w:r>
        <w:rPr>
          <w:rFonts w:ascii="Times New Roman" w:cs="Times New Roman" w:eastAsia="Times New Roman" w:hAnsi="Times New Roman"/>
          <w:sz w:val="17"/>
          <w:szCs w:val="17"/>
          <w:color w:val="auto"/>
        </w:rPr>
        <w:t>] of Clause 3.1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of the Facility Agreement and should be credited to [</w:t>
      </w:r>
      <w:r>
        <w:rPr>
          <w:rFonts w:ascii="Times New Roman" w:cs="Times New Roman" w:eastAsia="Times New Roman" w:hAnsi="Times New Roman"/>
          <w:sz w:val="17"/>
          <w:szCs w:val="17"/>
          <w:i w:val="1"/>
          <w:iCs w:val="1"/>
          <w:color w:val="auto"/>
        </w:rPr>
        <w:t>account in the name of the Company</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748" w:right="180" w:hanging="748"/>
        <w:spacing w:after="0" w:line="276" w:lineRule="auto"/>
        <w:tabs>
          <w:tab w:leader="none" w:pos="748"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authorise you to deduct from the proceeds of the Loan [(and pay, to the applicable recipient(s), such amount deducted)] any upfront fee referred to in Clause 15.2 (</w:t>
      </w:r>
      <w:r>
        <w:rPr>
          <w:rFonts w:ascii="Times New Roman" w:cs="Times New Roman" w:eastAsia="Times New Roman" w:hAnsi="Times New Roman"/>
          <w:sz w:val="17"/>
          <w:szCs w:val="17"/>
          <w:i w:val="1"/>
          <w:iCs w:val="1"/>
          <w:color w:val="auto"/>
        </w:rPr>
        <w:t>Upfront fee</w:t>
      </w:r>
      <w:r>
        <w:rPr>
          <w:rFonts w:ascii="Times New Roman" w:cs="Times New Roman" w:eastAsia="Times New Roman" w:hAnsi="Times New Roman"/>
          <w:sz w:val="17"/>
          <w:szCs w:val="17"/>
          <w:color w:val="auto"/>
        </w:rPr>
        <w:t>) of the Facility Agreement, any agency fees payable pursuant to Clause 15.3 (</w:t>
      </w:r>
      <w:r>
        <w:rPr>
          <w:rFonts w:ascii="Times New Roman" w:cs="Times New Roman" w:eastAsia="Times New Roman" w:hAnsi="Times New Roman"/>
          <w:sz w:val="17"/>
          <w:szCs w:val="17"/>
          <w:i w:val="1"/>
          <w:iCs w:val="1"/>
          <w:color w:val="auto"/>
        </w:rPr>
        <w:t>Agency fee</w:t>
      </w:r>
      <w:r>
        <w:rPr>
          <w:rFonts w:ascii="Times New Roman" w:cs="Times New Roman" w:eastAsia="Times New Roman" w:hAnsi="Times New Roman"/>
          <w:sz w:val="17"/>
          <w:szCs w:val="17"/>
          <w:color w:val="auto"/>
        </w:rPr>
        <w:t>) of the Facility Agreement, and [</w:t>
      </w:r>
      <w:r>
        <w:rPr>
          <w:rFonts w:ascii="Times New Roman" w:cs="Times New Roman" w:eastAsia="Times New Roman" w:hAnsi="Times New Roman"/>
          <w:sz w:val="17"/>
          <w:szCs w:val="17"/>
          <w:i w:val="1"/>
          <w:iCs w:val="1"/>
          <w:color w:val="auto"/>
        </w:rPr>
        <w:t>insert references to applicable costs and expenses, including legal fees</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Utilisation Request is irrevocable.</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Yours faithfully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448945</wp:posOffset>
            </wp:positionV>
            <wp:extent cx="33858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52"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451" w:name="page452"/>
    <w:bookmarkEnd w:id="451"/>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4</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Transfer Certificate</w:t>
      </w:r>
    </w:p>
    <w:p>
      <w:pPr>
        <w:sectPr>
          <w:pgSz w:w="11900" w:h="16838" w:orient="portrait"/>
          <w:cols w:equalWidth="0" w:num="1">
            <w:col w:w="10668"/>
          </w:cols>
          <w:pgMar w:left="612" w:top="262" w:right="619" w:bottom="1440" w:gutter="0" w:footer="0" w:header="0"/>
        </w:sect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Agent</w:t>
      </w:r>
    </w:p>
    <w:p>
      <w:pPr>
        <w:spacing w:after="0" w:line="116" w:lineRule="exact"/>
        <w:rPr>
          <w:sz w:val="20"/>
          <w:szCs w:val="20"/>
          <w:color w:val="auto"/>
        </w:rPr>
      </w:pPr>
    </w:p>
    <w:p>
      <w:pPr>
        <w:sectPr>
          <w:pgSz w:w="11900" w:h="16838" w:orient="portrait"/>
          <w:cols w:equalWidth="0" w:num="2">
            <w:col w:w="228" w:space="540"/>
            <w:col w:w="9900"/>
          </w:cols>
          <w:pgMar w:left="612" w:top="262" w:right="619"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Existing Lender</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New Lender</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sectPr>
          <w:pgSz w:w="11900" w:h="16838" w:orient="portrait"/>
          <w:cols w:equalWidth="0" w:num="2">
            <w:col w:w="428" w:space="340"/>
            <w:col w:w="99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Dated:</w:t>
      </w:r>
    </w:p>
    <w:p>
      <w:pPr>
        <w:sectPr>
          <w:pgSz w:w="11900" w:h="16838" w:orient="portrait"/>
          <w:cols w:equalWidth="0" w:num="1">
            <w:col w:w="10668"/>
          </w:cols>
          <w:pgMar w:left="612" w:top="262" w:right="619" w:bottom="1440" w:gutter="0" w:footer="0" w:header="0"/>
          <w:type w:val="continuous"/>
        </w:sectPr>
      </w:pPr>
    </w:p>
    <w:p>
      <w:pPr>
        <w:spacing w:after="0" w:line="221" w:lineRule="exact"/>
        <w:rPr>
          <w:sz w:val="20"/>
          <w:szCs w:val="20"/>
          <w:color w:val="auto"/>
        </w:rPr>
      </w:pPr>
    </w:p>
    <w:p>
      <w:pPr>
        <w:jc w:val="center"/>
        <w:ind w:left="620" w:right="140"/>
        <w:spacing w:after="0" w:line="298" w:lineRule="auto"/>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 restatement agreement dated 29 June 2023 and as further amended and/or supplemented from time to time, the “Facility Agreement”)</w:t>
      </w:r>
    </w:p>
    <w:p>
      <w:pPr>
        <w:spacing w:after="0" w:line="52" w:lineRule="exact"/>
        <w:rPr>
          <w:sz w:val="20"/>
          <w:szCs w:val="20"/>
          <w:color w:val="auto"/>
        </w:rPr>
      </w:pPr>
    </w:p>
    <w:p>
      <w:pPr>
        <w:ind w:left="748" w:right="80" w:hanging="748"/>
        <w:spacing w:after="0" w:line="276" w:lineRule="auto"/>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Facility Agreement, each Subsidiary Guarantee, the Subordination Deed and each other Third Party Creditor Document (each as defined in the Facility Agreement). This is a Transfer Certificate. Terms defined in the Facility Agreement have the same meaning in this Transfer Certificate unless given a different meaning in this Agreement.</w:t>
      </w:r>
    </w:p>
    <w:p>
      <w:pPr>
        <w:spacing w:after="0" w:line="6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Clause 26.5 (</w:t>
      </w:r>
      <w:r>
        <w:rPr>
          <w:rFonts w:ascii="Times New Roman" w:cs="Times New Roman" w:eastAsia="Times New Roman" w:hAnsi="Times New Roman"/>
          <w:sz w:val="17"/>
          <w:szCs w:val="17"/>
          <w:i w:val="1"/>
          <w:iCs w:val="1"/>
          <w:color w:val="auto"/>
        </w:rPr>
        <w:t>Procedure for transfer</w:t>
      </w:r>
      <w:r>
        <w:rPr>
          <w:rFonts w:ascii="Times New Roman" w:cs="Times New Roman" w:eastAsia="Times New Roman" w:hAnsi="Times New Roman"/>
          <w:sz w:val="17"/>
          <w:szCs w:val="17"/>
          <w:color w:val="auto"/>
        </w:rPr>
        <w:t>) of the Facility Agreement:</w:t>
      </w:r>
    </w:p>
    <w:p>
      <w:pPr>
        <w:spacing w:after="0" w:line="133" w:lineRule="exact"/>
        <w:rPr>
          <w:rFonts w:ascii="Times New Roman" w:cs="Times New Roman" w:eastAsia="Times New Roman" w:hAnsi="Times New Roman"/>
          <w:sz w:val="17"/>
          <w:szCs w:val="17"/>
          <w:color w:val="auto"/>
        </w:rPr>
      </w:pPr>
    </w:p>
    <w:p>
      <w:pPr>
        <w:ind w:left="1268" w:right="60" w:hanging="523"/>
        <w:spacing w:after="0" w:line="269" w:lineRule="auto"/>
        <w:tabs>
          <w:tab w:leader="none" w:pos="1268" w:val="left"/>
        </w:tabs>
        <w:numPr>
          <w:ilvl w:val="1"/>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and the New Lender agree to the Existing Lender transferring to the New Lender by novation, and in accordance with Clause 26.5 (</w:t>
      </w:r>
      <w:r>
        <w:rPr>
          <w:rFonts w:ascii="Times New Roman" w:cs="Times New Roman" w:eastAsia="Times New Roman" w:hAnsi="Times New Roman"/>
          <w:sz w:val="17"/>
          <w:szCs w:val="17"/>
          <w:i w:val="1"/>
          <w:iCs w:val="1"/>
          <w:color w:val="auto"/>
        </w:rPr>
        <w:t>Procedure for transfer</w:t>
      </w:r>
      <w:r>
        <w:rPr>
          <w:rFonts w:ascii="Times New Roman" w:cs="Times New Roman" w:eastAsia="Times New Roman" w:hAnsi="Times New Roman"/>
          <w:sz w:val="17"/>
          <w:szCs w:val="17"/>
          <w:color w:val="auto"/>
        </w:rPr>
        <w:t>), all of the Existing Lender’s rights and obligations under the Facility Agreement and the other Finance Documents which relate to that portion of the Existing Lender’s Commitment(s) and participations in Utilisations under the Facility Agreement as specified in the Schedule.</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Transfer Date is [●].</w:t>
      </w:r>
    </w:p>
    <w:p>
      <w:pPr>
        <w:spacing w:after="0" w:line="131" w:lineRule="exact"/>
        <w:rPr>
          <w:rFonts w:ascii="Times New Roman" w:cs="Times New Roman" w:eastAsia="Times New Roman" w:hAnsi="Times New Roman"/>
          <w:sz w:val="17"/>
          <w:szCs w:val="17"/>
          <w:color w:val="auto"/>
        </w:rPr>
      </w:pPr>
    </w:p>
    <w:p>
      <w:pPr>
        <w:ind w:left="1268" w:right="520" w:hanging="523"/>
        <w:spacing w:after="0" w:line="295" w:lineRule="auto"/>
        <w:tabs>
          <w:tab w:leader="none" w:pos="1268" w:val="left"/>
        </w:tabs>
        <w:numPr>
          <w:ilvl w:val="1"/>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Facility Office and address, fax number and attention details for notices of the New Lender for the purposes of Clause 34.2 (</w:t>
      </w:r>
      <w:r>
        <w:rPr>
          <w:rFonts w:ascii="Times New Roman" w:cs="Times New Roman" w:eastAsia="Times New Roman" w:hAnsi="Times New Roman"/>
          <w:sz w:val="17"/>
          <w:szCs w:val="17"/>
          <w:i w:val="1"/>
          <w:iCs w:val="1"/>
          <w:color w:val="auto"/>
        </w:rPr>
        <w:t>Addresses</w:t>
      </w:r>
      <w:r>
        <w:rPr>
          <w:rFonts w:ascii="Times New Roman" w:cs="Times New Roman" w:eastAsia="Times New Roman" w:hAnsi="Times New Roman"/>
          <w:sz w:val="17"/>
          <w:szCs w:val="17"/>
          <w:color w:val="auto"/>
        </w:rPr>
        <w:t>) are set out in the Schedule.</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expressly acknowledges:</w:t>
      </w:r>
    </w:p>
    <w:p>
      <w:pPr>
        <w:spacing w:after="0" w:line="129" w:lineRule="exact"/>
        <w:rPr>
          <w:rFonts w:ascii="Times New Roman" w:cs="Times New Roman" w:eastAsia="Times New Roman" w:hAnsi="Times New Roman"/>
          <w:sz w:val="17"/>
          <w:szCs w:val="17"/>
          <w:color w:val="auto"/>
        </w:rPr>
      </w:pPr>
    </w:p>
    <w:p>
      <w:pPr>
        <w:ind w:left="1268" w:right="320" w:hanging="523"/>
        <w:spacing w:after="0" w:line="298" w:lineRule="auto"/>
        <w:tabs>
          <w:tab w:leader="none" w:pos="1268" w:val="left"/>
        </w:tabs>
        <w:numPr>
          <w:ilvl w:val="1"/>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limitations on the Existing Lender’s obligations set out in paragraph (c) of Clause 26.4 (</w:t>
      </w:r>
      <w:r>
        <w:rPr>
          <w:rFonts w:ascii="Times New Roman" w:cs="Times New Roman" w:eastAsia="Times New Roman" w:hAnsi="Times New Roman"/>
          <w:sz w:val="17"/>
          <w:szCs w:val="17"/>
          <w:i w:val="1"/>
          <w:iCs w:val="1"/>
          <w:color w:val="auto"/>
        </w:rPr>
        <w:t>Limitation of responsibility of 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and</w:t>
      </w:r>
    </w:p>
    <w:p>
      <w:pPr>
        <w:spacing w:after="0" w:line="52" w:lineRule="exact"/>
        <w:rPr>
          <w:rFonts w:ascii="Times New Roman" w:cs="Times New Roman" w:eastAsia="Times New Roman" w:hAnsi="Times New Roman"/>
          <w:sz w:val="17"/>
          <w:szCs w:val="17"/>
          <w:color w:val="auto"/>
        </w:rPr>
      </w:pPr>
    </w:p>
    <w:p>
      <w:pPr>
        <w:ind w:left="1268" w:right="20" w:hanging="523"/>
        <w:spacing w:after="0" w:line="276" w:lineRule="auto"/>
        <w:tabs>
          <w:tab w:leader="none" w:pos="1268" w:val="left"/>
        </w:tabs>
        <w:numPr>
          <w:ilvl w:val="1"/>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70" w:lineRule="exact"/>
        <w:rPr>
          <w:rFonts w:ascii="Times New Roman" w:cs="Times New Roman" w:eastAsia="Times New Roman" w:hAnsi="Times New Roman"/>
          <w:sz w:val="17"/>
          <w:szCs w:val="17"/>
          <w:color w:val="auto"/>
        </w:rPr>
      </w:pPr>
    </w:p>
    <w:p>
      <w:pPr>
        <w:ind w:left="748" w:right="20" w:hanging="748"/>
        <w:spacing w:after="0" w:line="266" w:lineRule="auto"/>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New Lender being accepted as a Lender and Finance Party for the purposes of each Subsidiary Guarantee, the Subordination Deed and each other Third Party Creditor Document, the New Lender confirms that, as from the Transfer Date, it intends to be party to each such Finance Document in such capacities and undertakes to perform all the obligations expressed in each such Finance Document to be assumed by a Lender or Finance Party and agrees that it shall be bound by all the provisions of each such Finance Document, as if it had been an original party to each such Finance Document.</w:t>
      </w:r>
    </w:p>
    <w:p>
      <w:pPr>
        <w:spacing w:after="0" w:line="77"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confirms that it is a “New Lender” within the meaning of Clause 26.1 (</w:t>
      </w:r>
      <w:r>
        <w:rPr>
          <w:rFonts w:ascii="Times New Roman" w:cs="Times New Roman" w:eastAsia="Times New Roman" w:hAnsi="Times New Roman"/>
          <w:sz w:val="17"/>
          <w:szCs w:val="17"/>
          <w:i w:val="1"/>
          <w:iCs w:val="1"/>
          <w:color w:val="auto"/>
        </w:rPr>
        <w:t>Assignment and transfers by the Lenders</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and the New Lender confirm that the New Lender is not an Affiliate of the Company.</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149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type w:val="continuous"/>
        </w:sectPr>
      </w:pPr>
    </w:p>
    <w:bookmarkStart w:id="452" w:name="page453"/>
    <w:bookmarkEnd w:id="452"/>
    <w:p>
      <w:pPr>
        <w:ind w:left="748" w:right="160" w:hanging="748"/>
        <w:spacing w:after="0" w:line="295" w:lineRule="auto"/>
        <w:tabs>
          <w:tab w:leader="none" w:pos="748" w:val="left"/>
        </w:tabs>
        <w:numPr>
          <w:ilvl w:val="0"/>
          <w:numId w:val="6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Transfer Certificate may be executed in any number of counterparts and this has the same effect as if the signatures on the counterparts were on a single copy of this Transfer Certificate.</w:t>
      </w:r>
    </w:p>
    <w:p>
      <w:pPr>
        <w:spacing w:after="0" w:line="55" w:lineRule="exact"/>
        <w:rPr>
          <w:rFonts w:ascii="Times New Roman" w:cs="Times New Roman" w:eastAsia="Times New Roman" w:hAnsi="Times New Roman"/>
          <w:sz w:val="17"/>
          <w:szCs w:val="17"/>
          <w:color w:val="auto"/>
        </w:rPr>
      </w:pPr>
    </w:p>
    <w:p>
      <w:pPr>
        <w:ind w:left="748" w:right="660" w:hanging="748"/>
        <w:spacing w:after="0" w:line="295" w:lineRule="auto"/>
        <w:tabs>
          <w:tab w:leader="none" w:pos="748" w:val="left"/>
        </w:tabs>
        <w:numPr>
          <w:ilvl w:val="0"/>
          <w:numId w:val="6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Transfer Certificate and any non-contractual obligations arising out of or in connection with it are governed by and construed in accordance with English law.</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Transfer Certificate has been entered into on the date stated at the beginning of this Transfer Certificate.</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4" w:right="619" w:bottom="1440" w:gutter="0" w:footer="0" w:header="0"/>
        </w:sectPr>
      </w:pPr>
    </w:p>
    <w:bookmarkStart w:id="453" w:name="page454"/>
    <w:bookmarkEnd w:id="45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Schedule</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Commitment/rights and obligations to be transferred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relevant details</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Facility Office address, fax number and attention details for notices and account details for payments,</w:t>
      </w:r>
      <w:r>
        <w:rPr>
          <w:rFonts w:ascii="Times New Roman" w:cs="Times New Roman" w:eastAsia="Times New Roman" w:hAnsi="Times New Roman"/>
          <w:sz w:val="17"/>
          <w:szCs w:val="17"/>
          <w:color w:val="auto"/>
        </w:rPr>
        <w:t>]</w:t>
      </w:r>
    </w:p>
    <w:p>
      <w:pPr>
        <w:sectPr>
          <w:pgSz w:w="11900" w:h="16838" w:orient="portrait"/>
          <w:cols w:equalWidth="0" w:num="1">
            <w:col w:w="10660"/>
          </w:cols>
          <w:pgMar w:left="620" w:top="262" w:right="61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Lender]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7"/>
          <w:szCs w:val="17"/>
          <w:color w:val="auto"/>
        </w:rPr>
        <w:t>[New Lender]</w:t>
      </w:r>
    </w:p>
    <w:p>
      <w:pPr>
        <w:spacing w:after="0" w:line="200" w:lineRule="exact"/>
        <w:rPr>
          <w:sz w:val="20"/>
          <w:szCs w:val="20"/>
          <w:color w:val="auto"/>
        </w:rPr>
      </w:pPr>
    </w:p>
    <w:p>
      <w:pPr>
        <w:sectPr>
          <w:pgSz w:w="11900" w:h="16838" w:orient="portrait"/>
          <w:cols w:equalWidth="0" w:num="2">
            <w:col w:w="4820" w:space="720"/>
            <w:col w:w="5120"/>
          </w:cols>
          <w:pgMar w:left="620" w:top="262" w:right="6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4820" w:space="720"/>
            <w:col w:w="5120"/>
          </w:cols>
          <w:pgMar w:left="620" w:top="262" w:right="61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Transfer Certificate is accepted by the Agent and the Transfer Date is confirmed as [●].</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type w:val="continuous"/>
        </w:sectPr>
      </w:pPr>
    </w:p>
    <w:bookmarkStart w:id="454" w:name="page455"/>
    <w:bookmarkEnd w:id="454"/>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5</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Assignment Agreement</w:t>
      </w:r>
    </w:p>
    <w:p>
      <w:pPr>
        <w:sectPr>
          <w:pgSz w:w="11900" w:h="16838" w:orient="portrait"/>
          <w:cols w:equalWidth="0" w:num="1">
            <w:col w:w="10668"/>
          </w:cols>
          <w:pgMar w:left="612" w:top="262" w:right="619" w:bottom="1440" w:gutter="0" w:footer="0" w:header="0"/>
        </w:sect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Agent</w:t>
      </w:r>
    </w:p>
    <w:p>
      <w:pPr>
        <w:spacing w:after="0" w:line="116" w:lineRule="exact"/>
        <w:rPr>
          <w:sz w:val="20"/>
          <w:szCs w:val="20"/>
          <w:color w:val="auto"/>
        </w:rPr>
      </w:pPr>
    </w:p>
    <w:p>
      <w:pPr>
        <w:sectPr>
          <w:pgSz w:w="11900" w:h="16838" w:orient="portrait"/>
          <w:cols w:equalWidth="0" w:num="2">
            <w:col w:w="228" w:space="540"/>
            <w:col w:w="9900"/>
          </w:cols>
          <w:pgMar w:left="612" w:top="262" w:right="619"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Existing Lender</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Existing Lender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New Lender</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sectPr>
          <w:pgSz w:w="11900" w:h="16838" w:orient="portrait"/>
          <w:cols w:equalWidth="0" w:num="2">
            <w:col w:w="428" w:space="340"/>
            <w:col w:w="99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Dated:</w:t>
      </w:r>
    </w:p>
    <w:p>
      <w:pPr>
        <w:sectPr>
          <w:pgSz w:w="11900" w:h="16838" w:orient="portrait"/>
          <w:cols w:equalWidth="0" w:num="1">
            <w:col w:w="10668"/>
          </w:cols>
          <w:pgMar w:left="612" w:top="262" w:right="619" w:bottom="1440" w:gutter="0" w:footer="0" w:header="0"/>
          <w:type w:val="continuous"/>
        </w:sectPr>
      </w:pPr>
    </w:p>
    <w:p>
      <w:pPr>
        <w:spacing w:after="0" w:line="221" w:lineRule="exact"/>
        <w:rPr>
          <w:sz w:val="20"/>
          <w:szCs w:val="20"/>
          <w:color w:val="auto"/>
        </w:rPr>
      </w:pPr>
    </w:p>
    <w:p>
      <w:pPr>
        <w:jc w:val="center"/>
        <w:ind w:left="620" w:right="140"/>
        <w:spacing w:after="0" w:line="298" w:lineRule="auto"/>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 restatement agreement dated June 29 2023 and as further amended and/or supplemented from time to time, the “Facility Agreement”)</w:t>
      </w:r>
    </w:p>
    <w:p>
      <w:pPr>
        <w:spacing w:after="0" w:line="52" w:lineRule="exact"/>
        <w:rPr>
          <w:sz w:val="20"/>
          <w:szCs w:val="20"/>
          <w:color w:val="auto"/>
        </w:rPr>
      </w:pPr>
    </w:p>
    <w:p>
      <w:pPr>
        <w:jc w:val="both"/>
        <w:ind w:left="748" w:right="80" w:hanging="748"/>
        <w:spacing w:after="0" w:line="276" w:lineRule="auto"/>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Facility Agreement, each Subsidiary Guarantee, the Subordination Deed and each other Third Party Creditor Document (each as defined in the Facility Agreement). This is an Assignment Agreement. Terms defined in the Facility Agreement have the same meaning in this Assignment Agreement unless given a different meaning in this Assignment Agreement.</w:t>
      </w:r>
    </w:p>
    <w:p>
      <w:pPr>
        <w:spacing w:after="0" w:line="6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Clause 26.6 (</w:t>
      </w:r>
      <w:r>
        <w:rPr>
          <w:rFonts w:ascii="Times New Roman" w:cs="Times New Roman" w:eastAsia="Times New Roman" w:hAnsi="Times New Roman"/>
          <w:sz w:val="17"/>
          <w:szCs w:val="17"/>
          <w:b w:val="1"/>
          <w:bCs w:val="1"/>
          <w:color w:val="auto"/>
        </w:rPr>
        <w:t>Procedure for assignment</w:t>
      </w:r>
      <w:r>
        <w:rPr>
          <w:rFonts w:ascii="Times New Roman" w:cs="Times New Roman" w:eastAsia="Times New Roman" w:hAnsi="Times New Roman"/>
          <w:sz w:val="17"/>
          <w:szCs w:val="17"/>
          <w:color w:val="auto"/>
        </w:rPr>
        <w:t>) of the Facility Agreement:</w:t>
      </w:r>
    </w:p>
    <w:p>
      <w:pPr>
        <w:spacing w:after="0" w:line="133" w:lineRule="exact"/>
        <w:rPr>
          <w:rFonts w:ascii="Times New Roman" w:cs="Times New Roman" w:eastAsia="Times New Roman" w:hAnsi="Times New Roman"/>
          <w:sz w:val="17"/>
          <w:szCs w:val="17"/>
          <w:color w:val="auto"/>
        </w:rPr>
      </w:pPr>
    </w:p>
    <w:p>
      <w:pPr>
        <w:ind w:left="1268" w:right="60" w:hanging="523"/>
        <w:spacing w:after="0" w:line="276" w:lineRule="auto"/>
        <w:tabs>
          <w:tab w:leader="none" w:pos="1268" w:val="left"/>
        </w:tabs>
        <w:numPr>
          <w:ilvl w:val="1"/>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assigns absolutely to the New Lender all the rights of the Existing Lender under the Facility Agreement and the other Finance Documents which relate to that portion of the Existing Lender’s Commitment(s) and participations in Utilisations under the Facility Agreement as specified in the Schedule.</w:t>
      </w:r>
    </w:p>
    <w:p>
      <w:pPr>
        <w:spacing w:after="0" w:line="70" w:lineRule="exact"/>
        <w:rPr>
          <w:rFonts w:ascii="Times New Roman" w:cs="Times New Roman" w:eastAsia="Times New Roman" w:hAnsi="Times New Roman"/>
          <w:sz w:val="17"/>
          <w:szCs w:val="17"/>
          <w:color w:val="auto"/>
        </w:rPr>
      </w:pPr>
    </w:p>
    <w:p>
      <w:pPr>
        <w:ind w:left="1268" w:right="520" w:hanging="523"/>
        <w:spacing w:after="0" w:line="295" w:lineRule="auto"/>
        <w:tabs>
          <w:tab w:leader="none" w:pos="1268" w:val="left"/>
        </w:tabs>
        <w:numPr>
          <w:ilvl w:val="1"/>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is released from all the obligations of the Existing Lender which correspond to that portion of the Existing Lender’s Commitment(s) and participations in Utilisations under the Facility Agreement specified in the Schedule.</w:t>
      </w:r>
    </w:p>
    <w:p>
      <w:pPr>
        <w:spacing w:after="0" w:line="55" w:lineRule="exact"/>
        <w:rPr>
          <w:rFonts w:ascii="Times New Roman" w:cs="Times New Roman" w:eastAsia="Times New Roman" w:hAnsi="Times New Roman"/>
          <w:sz w:val="17"/>
          <w:szCs w:val="17"/>
          <w:color w:val="auto"/>
        </w:rPr>
      </w:pPr>
    </w:p>
    <w:p>
      <w:pPr>
        <w:ind w:left="1268" w:right="440" w:hanging="523"/>
        <w:spacing w:after="0" w:line="295" w:lineRule="auto"/>
        <w:tabs>
          <w:tab w:leader="none" w:pos="1268" w:val="left"/>
        </w:tabs>
        <w:numPr>
          <w:ilvl w:val="1"/>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becomes a Party as a Lender and is bound by obligations equivalent to those from which the Existing Lender is released under paragraph (b) above.</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Transfer Date is [●].</w:t>
      </w:r>
    </w:p>
    <w:p>
      <w:pPr>
        <w:spacing w:after="0" w:line="131"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Transfer Date the New Lender becomes Party to the Finance Documents as a Lender and Finance Party.</w:t>
      </w:r>
    </w:p>
    <w:p>
      <w:pPr>
        <w:spacing w:after="0" w:line="131" w:lineRule="exact"/>
        <w:rPr>
          <w:rFonts w:ascii="Times New Roman" w:cs="Times New Roman" w:eastAsia="Times New Roman" w:hAnsi="Times New Roman"/>
          <w:sz w:val="17"/>
          <w:szCs w:val="17"/>
          <w:color w:val="auto"/>
        </w:rPr>
      </w:pPr>
    </w:p>
    <w:p>
      <w:pPr>
        <w:ind w:left="748" w:right="680" w:hanging="748"/>
        <w:spacing w:after="0" w:line="295" w:lineRule="auto"/>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expressly acknowledges the limitations on the Existing Lender’s obligations set out in paragraph (c) of Clause 26.4 (</w:t>
      </w:r>
      <w:r>
        <w:rPr>
          <w:rFonts w:ascii="Times New Roman" w:cs="Times New Roman" w:eastAsia="Times New Roman" w:hAnsi="Times New Roman"/>
          <w:sz w:val="17"/>
          <w:szCs w:val="17"/>
          <w:b w:val="1"/>
          <w:bCs w:val="1"/>
          <w:color w:val="auto"/>
        </w:rPr>
        <w:t>Limitation of responsibility of Existing Lenders</w:t>
      </w:r>
      <w:r>
        <w:rPr>
          <w:rFonts w:ascii="Times New Roman" w:cs="Times New Roman" w:eastAsia="Times New Roman" w:hAnsi="Times New Roman"/>
          <w:sz w:val="17"/>
          <w:szCs w:val="17"/>
          <w:color w:val="auto"/>
        </w:rPr>
        <w:t>).</w:t>
      </w:r>
    </w:p>
    <w:p>
      <w:pPr>
        <w:spacing w:after="0" w:line="53" w:lineRule="exact"/>
        <w:rPr>
          <w:rFonts w:ascii="Times New Roman" w:cs="Times New Roman" w:eastAsia="Times New Roman" w:hAnsi="Times New Roman"/>
          <w:sz w:val="17"/>
          <w:szCs w:val="17"/>
          <w:color w:val="auto"/>
        </w:rPr>
      </w:pPr>
    </w:p>
    <w:p>
      <w:pPr>
        <w:ind w:left="748" w:right="120" w:hanging="748"/>
        <w:spacing w:after="0" w:line="298" w:lineRule="auto"/>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Facility Office and address, fax number and attention details for notices of the New Lender for the purposes of Clause 34.2 (</w:t>
      </w:r>
      <w:r>
        <w:rPr>
          <w:rFonts w:ascii="Times New Roman" w:cs="Times New Roman" w:eastAsia="Times New Roman" w:hAnsi="Times New Roman"/>
          <w:sz w:val="17"/>
          <w:szCs w:val="17"/>
          <w:b w:val="1"/>
          <w:bCs w:val="1"/>
          <w:color w:val="auto"/>
        </w:rPr>
        <w:t>Addresses</w:t>
      </w:r>
      <w:r>
        <w:rPr>
          <w:rFonts w:ascii="Times New Roman" w:cs="Times New Roman" w:eastAsia="Times New Roman" w:hAnsi="Times New Roman"/>
          <w:sz w:val="17"/>
          <w:szCs w:val="17"/>
          <w:color w:val="auto"/>
        </w:rPr>
        <w:t>) are set out in the Schedule.</w:t>
      </w:r>
    </w:p>
    <w:p>
      <w:pPr>
        <w:spacing w:after="0" w:line="52" w:lineRule="exact"/>
        <w:rPr>
          <w:rFonts w:ascii="Times New Roman" w:cs="Times New Roman" w:eastAsia="Times New Roman" w:hAnsi="Times New Roman"/>
          <w:sz w:val="17"/>
          <w:szCs w:val="17"/>
          <w:color w:val="auto"/>
        </w:rPr>
      </w:pPr>
    </w:p>
    <w:p>
      <w:pPr>
        <w:ind w:left="748" w:right="20" w:hanging="748"/>
        <w:spacing w:after="0" w:line="266" w:lineRule="auto"/>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New Lender being accepted as a Lender and Finance Party for the purposes of each Subsidiary Guarantee, the Subordination Deed and each other Third Party Creditor Document, the New Lender confirms that, as from the Transfer Date, it intends to be party to each such Finance Document in such capacities and undertakes to perform all the obligations expressed in each such Finance Document to be assumed by a Lender or Finance Party and agrees that it shall be bound by all the provisions of each such Finance Document, as if it had been an original party to each such Finance Document.</w:t>
      </w:r>
    </w:p>
    <w:p>
      <w:pPr>
        <w:spacing w:after="0" w:line="79" w:lineRule="exact"/>
        <w:rPr>
          <w:rFonts w:ascii="Times New Roman" w:cs="Times New Roman" w:eastAsia="Times New Roman" w:hAnsi="Times New Roman"/>
          <w:sz w:val="17"/>
          <w:szCs w:val="17"/>
          <w:color w:val="auto"/>
        </w:rPr>
      </w:pPr>
    </w:p>
    <w:p>
      <w:pPr>
        <w:ind w:left="748" w:right="40" w:hanging="748"/>
        <w:spacing w:after="0" w:line="276" w:lineRule="auto"/>
        <w:tabs>
          <w:tab w:leader="none" w:pos="748"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Assignment Agreement acts as notice to the Agent (on behalf of each Finance Party) and, upon delivery to the Company in accordance with Clause 26.7 (</w:t>
      </w:r>
      <w:r>
        <w:rPr>
          <w:rFonts w:ascii="Times New Roman" w:cs="Times New Roman" w:eastAsia="Times New Roman" w:hAnsi="Times New Roman"/>
          <w:sz w:val="17"/>
          <w:szCs w:val="17"/>
          <w:b w:val="1"/>
          <w:bCs w:val="1"/>
          <w:color w:val="auto"/>
        </w:rPr>
        <w:t>Copy of Transfer Certificate or Assignment Agreement to Company</w:t>
      </w:r>
      <w:r>
        <w:rPr>
          <w:rFonts w:ascii="Times New Roman" w:cs="Times New Roman" w:eastAsia="Times New Roman" w:hAnsi="Times New Roman"/>
          <w:sz w:val="17"/>
          <w:szCs w:val="17"/>
          <w:color w:val="auto"/>
        </w:rPr>
        <w:t>), to the Company [(for itself and for and on behalf of each Subsidiary Guarantor)] of the assignment referred to in this Assignment Agreement.</w:t>
      </w:r>
    </w:p>
    <w:p>
      <w:pPr>
        <w:spacing w:after="0" w:line="9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type w:val="continuous"/>
        </w:sectPr>
      </w:pPr>
    </w:p>
    <w:bookmarkStart w:id="455" w:name="page456"/>
    <w:bookmarkEnd w:id="455"/>
    <w:p>
      <w:pPr>
        <w:ind w:left="748" w:right="780" w:hanging="748"/>
        <w:spacing w:after="0" w:line="295" w:lineRule="auto"/>
        <w:tabs>
          <w:tab w:leader="none" w:pos="748" w:val="left"/>
        </w:tabs>
        <w:numPr>
          <w:ilvl w:val="0"/>
          <w:numId w:val="6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Assignment Agreement may be executed in any number of counterparts and this has the same effect as if the signatures on the counterparts were on a single copy of this Assignment Agreement.</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Assignment Agreement and any non-contractual obligations arising out of or in connection with it are governed by English law.</w:t>
      </w:r>
    </w:p>
    <w:p>
      <w:pPr>
        <w:spacing w:after="0" w:line="131"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Assignment Agreement has been entered into on the date stated at the beginning of this Assignment Agreement.</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456" w:name="page457"/>
    <w:bookmarkEnd w:id="45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The Schedule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Commitment/rights and obligations to be transferred by assignment, release and accession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[insert relevant details]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[Facility Office address, fax number and attention details for notices and account details for payments,]</w:t>
      </w:r>
    </w:p>
    <w:p>
      <w:pPr>
        <w:sectPr>
          <w:pgSz w:w="11900" w:h="16838" w:orient="portrait"/>
          <w:cols w:equalWidth="0" w:num="1">
            <w:col w:w="10660"/>
          </w:cols>
          <w:pgMar w:left="620" w:top="262" w:right="61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Lender]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7"/>
          <w:szCs w:val="17"/>
          <w:color w:val="auto"/>
        </w:rPr>
        <w:t>[New Lender]</w:t>
      </w:r>
    </w:p>
    <w:p>
      <w:pPr>
        <w:spacing w:after="0" w:line="200" w:lineRule="exact"/>
        <w:rPr>
          <w:sz w:val="20"/>
          <w:szCs w:val="20"/>
          <w:color w:val="auto"/>
        </w:rPr>
      </w:pPr>
    </w:p>
    <w:p>
      <w:pPr>
        <w:sectPr>
          <w:pgSz w:w="11900" w:h="16838" w:orient="portrait"/>
          <w:cols w:equalWidth="0" w:num="2">
            <w:col w:w="4820" w:space="720"/>
            <w:col w:w="5120"/>
          </w:cols>
          <w:pgMar w:left="620" w:top="262" w:right="6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4820" w:space="720"/>
            <w:col w:w="5120"/>
          </w:cols>
          <w:pgMar w:left="620" w:top="262" w:right="61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Assignment Agreement is accepted by the Agent and the Transfer Date is confirmed as [●].</w:t>
      </w:r>
    </w:p>
    <w:p>
      <w:pPr>
        <w:spacing w:after="0" w:line="118"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color w:val="auto"/>
        </w:rPr>
        <w:t>Signature of this Agreement by the Agent constitutes confirmation by the Agent of receipt of notice of the assignment referred to herein, which notice the Agent receives on behalf of each Finance Party.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157"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154</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2" w:right="619" w:bottom="1440" w:gutter="0" w:footer="0" w:header="0"/>
          <w:type w:val="continuous"/>
        </w:sectPr>
      </w:pPr>
    </w:p>
    <w:bookmarkStart w:id="457" w:name="page458"/>
    <w:bookmarkEnd w:id="457"/>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6</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Compliance Certificate</w:t>
      </w:r>
    </w:p>
    <w:p>
      <w:pPr>
        <w:sectPr>
          <w:pgSz w:w="11900" w:h="16838" w:orient="portrait"/>
          <w:cols w:equalWidth="0" w:num="1">
            <w:col w:w="10668"/>
          </w:cols>
          <w:pgMar w:left="612" w:top="263" w:right="619" w:bottom="1440" w:gutter="0" w:footer="0" w:header="0"/>
        </w:sect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MCO Nominee One Limited</w:t>
      </w:r>
    </w:p>
    <w:p>
      <w:pPr>
        <w:spacing w:after="0" w:line="118" w:lineRule="exact"/>
        <w:rPr>
          <w:sz w:val="20"/>
          <w:szCs w:val="20"/>
          <w:color w:val="auto"/>
        </w:rPr>
      </w:pPr>
    </w:p>
    <w:p>
      <w:pPr>
        <w:sectPr>
          <w:pgSz w:w="11900" w:h="16838" w:orient="portrait"/>
          <w:cols w:equalWidth="0" w:num="2">
            <w:col w:w="428" w:space="640"/>
            <w:col w:w="9600"/>
          </w:cols>
          <w:pgMar w:left="612" w:top="263"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as Agent</w:t>
      </w:r>
    </w:p>
    <w:p>
      <w:pPr>
        <w:spacing w:after="0" w:line="118" w:lineRule="exact"/>
        <w:rPr>
          <w:sz w:val="20"/>
          <w:szCs w:val="20"/>
          <w:color w:val="auto"/>
        </w:rPr>
      </w:pPr>
    </w:p>
    <w:p>
      <w:pPr>
        <w:sectPr>
          <w:pgSz w:w="11900" w:h="16838" w:orient="portrait"/>
          <w:cols w:equalWidth="0" w:num="2">
            <w:col w:w="348" w:space="720"/>
            <w:col w:w="9600"/>
          </w:cols>
          <w:pgMar w:left="612" w:top="263"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Dated:</w:t>
      </w:r>
    </w:p>
    <w:p>
      <w:pPr>
        <w:sectPr>
          <w:pgSz w:w="11900" w:h="16838" w:orient="portrait"/>
          <w:cols w:equalWidth="0" w:num="1">
            <w:col w:w="10668"/>
          </w:cols>
          <w:pgMar w:left="612" w:top="263" w:right="619" w:bottom="1440" w:gutter="0" w:footer="0" w:header="0"/>
          <w:type w:val="continuous"/>
        </w:sectPr>
      </w:pP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Dear Sirs</w:t>
      </w:r>
    </w:p>
    <w:p>
      <w:pPr>
        <w:spacing w:after="0" w:line="11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restatement agreement dated 29 June 2023 and as further amended and/or supplemented from time to time, the “Facility Agreement”)</w:t>
      </w:r>
    </w:p>
    <w:p>
      <w:pPr>
        <w:spacing w:after="0" w:line="113" w:lineRule="exact"/>
        <w:rPr>
          <w:sz w:val="20"/>
          <w:szCs w:val="20"/>
          <w:color w:val="auto"/>
        </w:rPr>
      </w:pPr>
    </w:p>
    <w:p>
      <w:pPr>
        <w:ind w:left="748" w:right="140" w:hanging="748"/>
        <w:spacing w:after="0" w:line="295" w:lineRule="auto"/>
        <w:tabs>
          <w:tab w:leader="none" w:pos="748" w:val="left"/>
        </w:tabs>
        <w:numPr>
          <w:ilvl w:val="0"/>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Facility Agreement. This is a Compliance Certificate. Terms defined in the Facility Agreement have the same meaning when used in this Compliance Certificate unless given a different meaning in this Compliance Certificate.</w:t>
      </w:r>
    </w:p>
    <w:p>
      <w:pPr>
        <w:spacing w:after="0" w:line="55"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confirm that:</w:t>
      </w:r>
    </w:p>
    <w:p>
      <w:pPr>
        <w:spacing w:after="0" w:line="131" w:lineRule="exact"/>
        <w:rPr>
          <w:rFonts w:ascii="Times New Roman" w:cs="Times New Roman" w:eastAsia="Times New Roman" w:hAnsi="Times New Roman"/>
          <w:sz w:val="17"/>
          <w:szCs w:val="17"/>
          <w:color w:val="auto"/>
        </w:rPr>
      </w:pPr>
    </w:p>
    <w:p>
      <w:pPr>
        <w:ind w:left="1268" w:right="80" w:hanging="523"/>
        <w:spacing w:after="0" w:line="269" w:lineRule="auto"/>
        <w:tabs>
          <w:tab w:leader="none" w:pos="1268" w:val="left"/>
        </w:tabs>
        <w:numPr>
          <w:ilvl w:val="1"/>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the Relevant Period ending on [●], Consolidated EBITDA for such Relevant Period was [●] and Consolidated Net Finance Charges for such Relevant Period were [●]. Therefore Consolidated EBITDA for such Relevant Period was [●] times Consolidated Net Finance Charges for such Relevant Period and the covenant contained in paragraph (a) (</w:t>
      </w:r>
      <w:r>
        <w:rPr>
          <w:rFonts w:ascii="Times New Roman" w:cs="Times New Roman" w:eastAsia="Times New Roman" w:hAnsi="Times New Roman"/>
          <w:sz w:val="17"/>
          <w:szCs w:val="17"/>
          <w:i w:val="1"/>
          <w:iCs w:val="1"/>
          <w:color w:val="auto"/>
        </w:rPr>
        <w:t>Interest Cover</w:t>
      </w:r>
      <w:r>
        <w:rPr>
          <w:rFonts w:ascii="Times New Roman" w:cs="Times New Roman" w:eastAsia="Times New Roman" w:hAnsi="Times New Roman"/>
          <w:sz w:val="17"/>
          <w:szCs w:val="17"/>
          <w:color w:val="auto"/>
        </w:rPr>
        <w:t>)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[has/has not] been complied with;</w:t>
      </w:r>
    </w:p>
    <w:p>
      <w:pPr>
        <w:spacing w:after="0" w:line="77" w:lineRule="exact"/>
        <w:rPr>
          <w:rFonts w:ascii="Times New Roman" w:cs="Times New Roman" w:eastAsia="Times New Roman" w:hAnsi="Times New Roman"/>
          <w:sz w:val="17"/>
          <w:szCs w:val="17"/>
          <w:color w:val="auto"/>
        </w:rPr>
      </w:pPr>
    </w:p>
    <w:p>
      <w:pPr>
        <w:ind w:left="1268" w:right="100" w:hanging="523"/>
        <w:spacing w:after="0" w:line="269" w:lineRule="auto"/>
        <w:tabs>
          <w:tab w:leader="none" w:pos="1268" w:val="left"/>
        </w:tabs>
        <w:numPr>
          <w:ilvl w:val="1"/>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last day of the Relevant Period ending on [●], Consolidated Senior Debt was [●] and Consolidated EBITDA for such Relevant Period was [●]. Therefore Consolidated Senior Debt at such time [did/did not] exceed [●] times Consolidated EBITDA for such Applicable Test Date and the covenant contained in paragraph (b) (</w:t>
      </w:r>
      <w:r>
        <w:rPr>
          <w:rFonts w:ascii="Times New Roman" w:cs="Times New Roman" w:eastAsia="Times New Roman" w:hAnsi="Times New Roman"/>
          <w:sz w:val="17"/>
          <w:szCs w:val="17"/>
          <w:i w:val="1"/>
          <w:iCs w:val="1"/>
          <w:color w:val="auto"/>
        </w:rPr>
        <w:t>Senior Leverage</w:t>
      </w:r>
      <w:r>
        <w:rPr>
          <w:rFonts w:ascii="Times New Roman" w:cs="Times New Roman" w:eastAsia="Times New Roman" w:hAnsi="Times New Roman"/>
          <w:sz w:val="17"/>
          <w:szCs w:val="17"/>
          <w:color w:val="auto"/>
        </w:rPr>
        <w:t>) of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[has/has not] been complied with;</w:t>
      </w:r>
    </w:p>
    <w:p>
      <w:pPr>
        <w:spacing w:after="0" w:line="77" w:lineRule="exact"/>
        <w:rPr>
          <w:rFonts w:ascii="Times New Roman" w:cs="Times New Roman" w:eastAsia="Times New Roman" w:hAnsi="Times New Roman"/>
          <w:sz w:val="17"/>
          <w:szCs w:val="17"/>
          <w:color w:val="auto"/>
        </w:rPr>
      </w:pPr>
    </w:p>
    <w:p>
      <w:pPr>
        <w:ind w:left="1268" w:right="100" w:hanging="523"/>
        <w:spacing w:after="0" w:line="269" w:lineRule="auto"/>
        <w:tabs>
          <w:tab w:leader="none" w:pos="1268" w:val="left"/>
        </w:tabs>
        <w:numPr>
          <w:ilvl w:val="1"/>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last day of the Relevant Period ending on [●], Consolidated Total Debt was [●] and Consolidated EBITDA for such Relevant Period was [●]. Therefore Consolidated Total Debt at such time [did/did not] exceed [●] times Consolidated EBITDA for such Applicable Test Date and the covenant contained in paragraph (c) (</w:t>
      </w:r>
      <w:r>
        <w:rPr>
          <w:rFonts w:ascii="Times New Roman" w:cs="Times New Roman" w:eastAsia="Times New Roman" w:hAnsi="Times New Roman"/>
          <w:sz w:val="17"/>
          <w:szCs w:val="17"/>
          <w:i w:val="1"/>
          <w:iCs w:val="1"/>
          <w:color w:val="auto"/>
        </w:rPr>
        <w:t>Total Leverage</w:t>
      </w:r>
      <w:r>
        <w:rPr>
          <w:rFonts w:ascii="Times New Roman" w:cs="Times New Roman" w:eastAsia="Times New Roman" w:hAnsi="Times New Roman"/>
          <w:sz w:val="17"/>
          <w:szCs w:val="17"/>
          <w:color w:val="auto"/>
        </w:rPr>
        <w:t>) of Clause 23.2 (</w:t>
      </w: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[has/has not] been complied with; and</w:t>
      </w:r>
    </w:p>
    <w:p>
      <w:pPr>
        <w:spacing w:after="0" w:line="77"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Leverage is [●]:1 and that, therefore, the Margin should be [●]% p.a.</w:t>
      </w:r>
    </w:p>
    <w:p>
      <w:pPr>
        <w:spacing w:after="0" w:line="131"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confirm that no Default is continuing.]*</w:t>
      </w: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209"/>
        </w:trPr>
        <w:tc>
          <w:tcPr>
            <w:tcW w:w="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Signed</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Authorised Representative</w:t>
            </w:r>
          </w:p>
        </w:tc>
      </w:tr>
      <w:tr>
        <w:trPr>
          <w:trHeight w:val="20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w:t>
            </w:r>
          </w:p>
        </w:tc>
      </w:t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MCO Nominee One Limited</w:t>
            </w:r>
          </w:p>
        </w:tc>
      </w:tr>
    </w:tbl>
    <w:p>
      <w:pPr>
        <w:spacing w:after="0" w:line="126"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155</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type w:val="continuous"/>
        </w:sectPr>
      </w:pPr>
    </w:p>
    <w:bookmarkStart w:id="458" w:name="page459"/>
    <w:bookmarkEnd w:id="458"/>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NOTES:</w:t>
      </w:r>
    </w:p>
    <w:p>
      <w:pPr>
        <w:spacing w:after="0" w:line="133" w:lineRule="exact"/>
        <w:rPr>
          <w:sz w:val="20"/>
          <w:szCs w:val="20"/>
          <w:color w:val="auto"/>
        </w:rPr>
      </w:pPr>
    </w:p>
    <w:p>
      <w:pPr>
        <w:ind w:left="748" w:hanging="748"/>
        <w:spacing w:after="0"/>
        <w:tabs>
          <w:tab w:leader="none" w:pos="748" w:val="left"/>
        </w:tabs>
        <w:numPr>
          <w:ilvl w:val="0"/>
          <w:numId w:val="6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statement cannot be made, the certificate should identify any Default that is continuing and the steps, if any, being taken to remedy it.</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156</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59" w:name="page460"/>
    <w:bookmarkEnd w:id="459"/>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Schedule 7</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Incremental Lender Accession Deed</w:t>
      </w:r>
    </w:p>
    <w:p>
      <w:pPr>
        <w:spacing w:after="0" w:line="100"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7"/>
          <w:szCs w:val="17"/>
          <w:color w:val="auto"/>
        </w:rPr>
        <w:t>THIS DEED dated [      ] is supplemental to a facility agreement dated 29 April 2020 (as amended and restated by an amendment and restatement agreement dated 29 June 2023 and as further amended and/or supplemented from time to time, the “</w:t>
      </w:r>
      <w:r>
        <w:rPr>
          <w:rFonts w:ascii="Times New Roman" w:cs="Times New Roman" w:eastAsia="Times New Roman" w:hAnsi="Times New Roman"/>
          <w:sz w:val="17"/>
          <w:szCs w:val="17"/>
          <w:b w:val="1"/>
          <w:bCs w:val="1"/>
          <w:color w:val="auto"/>
        </w:rPr>
        <w:t>Facility Agreement</w:t>
      </w:r>
      <w:r>
        <w:rPr>
          <w:rFonts w:ascii="Times New Roman" w:cs="Times New Roman" w:eastAsia="Times New Roman" w:hAnsi="Times New Roman"/>
          <w:sz w:val="17"/>
          <w:szCs w:val="17"/>
          <w:color w:val="auto"/>
        </w:rPr>
        <w:t>”) between MCO Nominee One Limited as the Company, the financial institutions named therein as Original Lenders and [●] as agent (as amended, novated, supplemented, extended, replaced or retained from time to time), each Subsidiary Guarantee, the Subordination Deed and each other Third Party Creditor Document (each as defined in the Facility Agreement).</w:t>
      </w:r>
    </w:p>
    <w:p>
      <w:pPr>
        <w:spacing w:after="0" w:line="67" w:lineRule="exact"/>
        <w:rPr>
          <w:sz w:val="20"/>
          <w:szCs w:val="20"/>
          <w:color w:val="auto"/>
        </w:rPr>
      </w:pPr>
    </w:p>
    <w:p>
      <w:pPr>
        <w:ind w:left="8" w:right="80"/>
        <w:spacing w:after="0" w:line="295" w:lineRule="auto"/>
        <w:rPr>
          <w:sz w:val="20"/>
          <w:szCs w:val="20"/>
          <w:color w:val="auto"/>
        </w:rPr>
      </w:pPr>
      <w:r>
        <w:rPr>
          <w:rFonts w:ascii="Times New Roman" w:cs="Times New Roman" w:eastAsia="Times New Roman" w:hAnsi="Times New Roman"/>
          <w:sz w:val="17"/>
          <w:szCs w:val="17"/>
          <w:color w:val="auto"/>
        </w:rPr>
        <w:t>Words and expressions defined in the Facility Agreement have the same meaning when used in this Deed and the principles of construction and rules of interpretation set out therein shall also apply.</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 of new Additional Lender</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Additional Lender</w:t>
      </w:r>
      <w:r>
        <w:rPr>
          <w:rFonts w:ascii="Times New Roman" w:cs="Times New Roman" w:eastAsia="Times New Roman" w:hAnsi="Times New Roman"/>
          <w:sz w:val="17"/>
          <w:szCs w:val="17"/>
          <w:color w:val="auto"/>
        </w:rPr>
        <w:t>”) of [</w:t>
      </w:r>
      <w:r>
        <w:rPr>
          <w:rFonts w:ascii="Times New Roman" w:cs="Times New Roman" w:eastAsia="Times New Roman" w:hAnsi="Times New Roman"/>
          <w:sz w:val="17"/>
          <w:szCs w:val="17"/>
          <w:i w:val="1"/>
          <w:iCs w:val="1"/>
          <w:color w:val="auto"/>
        </w:rPr>
        <w:t>address</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left="748" w:right="180" w:hanging="748"/>
        <w:spacing w:after="0" w:line="295" w:lineRule="auto"/>
        <w:tabs>
          <w:tab w:leader="none" w:pos="748" w:val="left"/>
        </w:tabs>
        <w:numPr>
          <w:ilvl w:val="0"/>
          <w:numId w:val="6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hereby agrees with each other person who is or who becomes a party to the Facility Agreement that with effect on and from the date of this Deed it shall be bound by the Facility Agreement and be entitled to exercise rights and be subject to obligations thereunder as a Lender; and</w:t>
      </w:r>
    </w:p>
    <w:p>
      <w:pPr>
        <w:spacing w:after="0" w:line="55" w:lineRule="exact"/>
        <w:rPr>
          <w:rFonts w:ascii="Times New Roman" w:cs="Times New Roman" w:eastAsia="Times New Roman" w:hAnsi="Times New Roman"/>
          <w:sz w:val="17"/>
          <w:szCs w:val="17"/>
          <w:color w:val="auto"/>
        </w:rPr>
      </w:pPr>
    </w:p>
    <w:p>
      <w:pPr>
        <w:ind w:left="748" w:right="160" w:hanging="748"/>
        <w:spacing w:after="0" w:line="264" w:lineRule="auto"/>
        <w:tabs>
          <w:tab w:leader="none" w:pos="748" w:val="left"/>
        </w:tabs>
        <w:numPr>
          <w:ilvl w:val="0"/>
          <w:numId w:val="6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Additional Lender being accepted as a Lender and Finance Party for the purposes of each Subsidiary Guarantee, the Subordination Deed and each other Third Party Creditor Document, hereby agrees with each other person who is or who becomes a party to any such Finance Document that with effect on and from the date of this Deed it intends to be party to each such Finance Document in such capacities and undertakes to perform all the obligations expressed in each such Finance Document to be assumed by a Lender or Finance Party and agrees that it shall be bound by all the provisions of each such Finance Document, as if it had been an original party to each such Finance Document.</w:t>
      </w:r>
    </w:p>
    <w:p>
      <w:pPr>
        <w:spacing w:after="0" w:line="69" w:lineRule="exact"/>
        <w:rPr>
          <w:sz w:val="20"/>
          <w:szCs w:val="20"/>
          <w:color w:val="auto"/>
        </w:rPr>
      </w:pPr>
    </w:p>
    <w:p>
      <w:pPr>
        <w:ind w:left="8" w:right="280"/>
        <w:spacing w:after="0" w:line="276" w:lineRule="auto"/>
        <w:rPr>
          <w:sz w:val="20"/>
          <w:szCs w:val="20"/>
          <w:color w:val="auto"/>
        </w:rPr>
      </w:pPr>
      <w:r>
        <w:rPr>
          <w:rFonts w:ascii="Times New Roman" w:cs="Times New Roman" w:eastAsia="Times New Roman" w:hAnsi="Times New Roman"/>
          <w:sz w:val="17"/>
          <w:szCs w:val="17"/>
          <w:color w:val="auto"/>
        </w:rPr>
        <w:t>The Additional Lender expressly acknowledges that it is the responsibility of the Additional Lender to ascertain whether any document is required or any formality or other condition required to be satisfied to effect or perfect this Deed or otherwise to enable the Additional Lender to enjoy the full benefit of each Finance Document.</w:t>
      </w:r>
    </w:p>
    <w:p>
      <w:pPr>
        <w:spacing w:after="0" w:line="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The Additional Lender confirms that it is not an Affiliate of the Company.</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The initial telephone number, fax number, address and person designated by the Additional Lender for the purposes of Clause 34 (Notices) of the</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Facility Agreement are:</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Telephone:</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Attention:</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Email:</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This Deed and any non-contractual obligations arising out of or in connection with it are governed by English law.</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Executed as a deed by</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name of Additional Lender</w:t>
            </w:r>
            <w:r>
              <w:rPr>
                <w:rFonts w:ascii="Times New Roman" w:cs="Times New Roman" w:eastAsia="Times New Roman" w:hAnsi="Times New Roman"/>
                <w:sz w:val="17"/>
                <w:szCs w:val="17"/>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include appropriate execution</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14"/>
        </w:trPr>
        <w:tc>
          <w:tcPr>
            <w:tcW w:w="2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clause</w:t>
            </w:r>
            <w:r>
              <w:rPr>
                <w:rFonts w:ascii="Times New Roman" w:cs="Times New Roman" w:eastAsia="Times New Roman" w:hAnsi="Times New Roman"/>
                <w:sz w:val="17"/>
                <w:szCs w:val="17"/>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26"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157</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Accepted by the Agent: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name of Agent</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39" w:lineRule="exact"/>
        <w:rPr>
          <w:sz w:val="20"/>
          <w:szCs w:val="20"/>
          <w:color w:val="auto"/>
        </w:rPr>
      </w:pPr>
    </w:p>
    <w:tbl>
      <w:tblPr>
        <w:tblLayout w:type="fixed"/>
        <w:tblInd w:w="520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158</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0"/>
          </w:cols>
          <w:pgMar w:left="620" w:top="264" w:right="619" w:bottom="1440" w:gutter="0" w:footer="0" w:header="0"/>
        </w:sectPr>
      </w:pPr>
    </w:p>
    <w:bookmarkStart w:id="461" w:name="page462"/>
    <w:bookmarkEnd w:id="461"/>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8</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Incremental Facility Notice</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To: [●] as Agent</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From: MCO Nominee One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Dated: [●]</w:t>
      </w:r>
    </w:p>
    <w:p>
      <w:pPr>
        <w:spacing w:after="0" w:line="11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w:t>
      </w:r>
    </w:p>
    <w:p>
      <w:pPr>
        <w:spacing w:after="0" w:line="3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7"/>
          <w:szCs w:val="17"/>
          <w:b w:val="1"/>
          <w:bCs w:val="1"/>
          <w:color w:val="auto"/>
        </w:rPr>
        <w:t>restatement agreement dated 29 June 2023 and as further amended and/or supplemented from time to time, the “Facility Agreement”)</w:t>
      </w:r>
    </w:p>
    <w:p>
      <w:pPr>
        <w:spacing w:after="0" w:line="205" w:lineRule="exact"/>
        <w:rPr>
          <w:sz w:val="20"/>
          <w:szCs w:val="20"/>
          <w:color w:val="auto"/>
        </w:rPr>
      </w:pPr>
    </w:p>
    <w:p>
      <w:pPr>
        <w:ind w:left="8" w:right="140"/>
        <w:spacing w:after="0" w:line="295" w:lineRule="auto"/>
        <w:rPr>
          <w:sz w:val="20"/>
          <w:szCs w:val="20"/>
          <w:color w:val="auto"/>
        </w:rPr>
      </w:pPr>
      <w:r>
        <w:rPr>
          <w:rFonts w:ascii="Times New Roman" w:cs="Times New Roman" w:eastAsia="Times New Roman" w:hAnsi="Times New Roman"/>
          <w:sz w:val="17"/>
          <w:szCs w:val="17"/>
          <w:color w:val="auto"/>
        </w:rPr>
        <w:t>We refer to the Facility Agreement. This is an Incremental Facility Notice. Terms defined in the Facility Agreement shall have the same meaning when used in this Incremental Facility Notice.</w:t>
      </w:r>
    </w:p>
    <w:p>
      <w:pPr>
        <w:spacing w:after="0" w:line="55" w:lineRule="exact"/>
        <w:rPr>
          <w:sz w:val="20"/>
          <w:szCs w:val="20"/>
          <w:color w:val="auto"/>
        </w:rPr>
      </w:pPr>
    </w:p>
    <w:p>
      <w:pPr>
        <w:ind w:left="748" w:hanging="748"/>
        <w:spacing w:after="0"/>
        <w:tabs>
          <w:tab w:leader="none" w:pos="748" w:val="left"/>
        </w:tabs>
        <w:numPr>
          <w:ilvl w:val="0"/>
          <w:numId w:val="6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wishes to establish an Incremental Facility on the following terms:</w:t>
      </w:r>
    </w:p>
    <w:p>
      <w:pPr>
        <w:sectPr>
          <w:pgSz w:w="11900" w:h="16838" w:orient="portrait"/>
          <w:cols w:equalWidth="0" w:num="1">
            <w:col w:w="10668"/>
          </w:cols>
          <w:pgMar w:left="612" w:top="262" w:right="619" w:bottom="1440" w:gutter="0" w:footer="0" w:header="0"/>
        </w:sectPr>
      </w:pPr>
    </w:p>
    <w:p>
      <w:pPr>
        <w:spacing w:after="0" w:line="131"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Type of Facility:</w:t>
      </w:r>
    </w:p>
    <w:p>
      <w:pPr>
        <w:spacing w:after="0" w:line="327" w:lineRule="exact"/>
        <w:rPr>
          <w:sz w:val="20"/>
          <w:szCs w:val="20"/>
          <w:color w:val="auto"/>
        </w:rPr>
      </w:pPr>
    </w:p>
    <w:p>
      <w:pPr>
        <w:ind w:left="988" w:hanging="173"/>
        <w:spacing w:after="0" w:line="295" w:lineRule="auto"/>
        <w:rPr>
          <w:sz w:val="20"/>
          <w:szCs w:val="20"/>
          <w:color w:val="auto"/>
        </w:rPr>
      </w:pPr>
      <w:r>
        <w:rPr>
          <w:rFonts w:ascii="Times New Roman" w:cs="Times New Roman" w:eastAsia="Times New Roman" w:hAnsi="Times New Roman"/>
          <w:sz w:val="17"/>
          <w:szCs w:val="17"/>
          <w:color w:val="auto"/>
        </w:rPr>
        <w:t>Termination date and repayment schedule:</w:t>
      </w:r>
    </w:p>
    <w:p>
      <w:pPr>
        <w:spacing w:after="0" w:line="42" w:lineRule="exact"/>
        <w:rPr>
          <w:sz w:val="20"/>
          <w:szCs w:val="20"/>
          <w:color w:val="auto"/>
        </w:rPr>
      </w:pPr>
    </w:p>
    <w:p>
      <w:pPr>
        <w:ind w:left="988" w:right="60" w:hanging="173"/>
        <w:spacing w:after="0" w:line="295" w:lineRule="auto"/>
        <w:rPr>
          <w:sz w:val="20"/>
          <w:szCs w:val="20"/>
          <w:color w:val="auto"/>
        </w:rPr>
      </w:pPr>
      <w:r>
        <w:rPr>
          <w:rFonts w:ascii="Times New Roman" w:cs="Times New Roman" w:eastAsia="Times New Roman" w:hAnsi="Times New Roman"/>
          <w:sz w:val="17"/>
          <w:szCs w:val="17"/>
          <w:color w:val="auto"/>
        </w:rPr>
        <w:t>Requested Facility Amount and currency of commitment:</w:t>
      </w:r>
    </w:p>
    <w:p>
      <w:pPr>
        <w:spacing w:after="0" w:line="42"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Availability period:</w:t>
      </w:r>
    </w:p>
    <w:p>
      <w:pPr>
        <w:spacing w:after="0" w:line="11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Interest rate:</w:t>
      </w:r>
    </w:p>
    <w:p>
      <w:pPr>
        <w:spacing w:after="0" w:line="11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[Commitment fee:</w:t>
      </w:r>
    </w:p>
    <w:p>
      <w:pPr>
        <w:spacing w:after="0" w:line="11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Borrower:</w:t>
      </w:r>
    </w:p>
    <w:p>
      <w:pPr>
        <w:spacing w:after="0" w:line="11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Currency of utilisation:</w:t>
      </w:r>
    </w:p>
    <w:p>
      <w:pPr>
        <w:spacing w:after="0" w:line="118"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Purpose:</w:t>
      </w:r>
    </w:p>
    <w:p>
      <w:pPr>
        <w:spacing w:after="0" w:line="118" w:lineRule="exact"/>
        <w:rPr>
          <w:sz w:val="20"/>
          <w:szCs w:val="20"/>
          <w:color w:val="auto"/>
        </w:rPr>
      </w:pPr>
    </w:p>
    <w:p>
      <w:pPr>
        <w:ind w:left="988" w:hanging="173"/>
        <w:spacing w:after="0" w:line="295" w:lineRule="auto"/>
        <w:rPr>
          <w:sz w:val="20"/>
          <w:szCs w:val="20"/>
          <w:color w:val="auto"/>
        </w:rPr>
      </w:pPr>
      <w:r>
        <w:rPr>
          <w:rFonts w:ascii="Times New Roman" w:cs="Times New Roman" w:eastAsia="Times New Roman" w:hAnsi="Times New Roman"/>
          <w:sz w:val="17"/>
          <w:szCs w:val="17"/>
          <w:color w:val="auto"/>
        </w:rPr>
        <w:t>Maximum number of Loans that may be outstanding:</w:t>
      </w:r>
    </w:p>
    <w:p>
      <w:pPr>
        <w:spacing w:after="0" w:line="42"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color w:val="auto"/>
        </w:rPr>
        <w:t>[Other relevant terms]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220"/>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Loan Facility / Incremental Revolving Credit Facility /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Facility Increase in respect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Facility</w:t>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in Hong Kong dollars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details of base rate plus margin or fixed rate</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Base Currency / Optional Currency</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31" w:lineRule="exact"/>
        <w:rPr>
          <w:sz w:val="20"/>
          <w:szCs w:val="20"/>
          <w:color w:val="auto"/>
        </w:rPr>
      </w:pPr>
    </w:p>
    <w:p>
      <w:pPr>
        <w:sectPr>
          <w:pgSz w:w="11900" w:h="16838" w:orient="portrait"/>
          <w:cols w:equalWidth="0" w:num="2">
            <w:col w:w="3068" w:space="360"/>
            <w:col w:w="7240"/>
          </w:cols>
          <w:pgMar w:left="612" w:top="262" w:right="619" w:bottom="1440" w:gutter="0" w:footer="0" w:header="0"/>
          <w:type w:val="continuous"/>
        </w:sectPr>
      </w:pPr>
    </w:p>
    <w:p>
      <w:pPr>
        <w:ind w:left="748" w:hanging="748"/>
        <w:spacing w:after="0"/>
        <w:tabs>
          <w:tab w:leader="none" w:pos="748" w:val="left"/>
        </w:tabs>
        <w:numPr>
          <w:ilvl w:val="0"/>
          <w:numId w:val="6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invites each Lender to participate in the Relevant Incremental Facility in its Pro Rata Share.]</w:t>
      </w:r>
    </w:p>
    <w:p>
      <w:pPr>
        <w:spacing w:after="0" w:line="15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159</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type w:val="continuous"/>
        </w:sectPr>
      </w:pPr>
    </w:p>
    <w:bookmarkStart w:id="462" w:name="page463"/>
    <w:bookmarkEnd w:id="462"/>
    <w:p>
      <w:pPr>
        <w:ind w:left="748" w:right="800" w:hanging="748"/>
        <w:spacing w:after="0" w:line="295" w:lineRule="auto"/>
        <w:tabs>
          <w:tab w:leader="none" w:pos="748" w:val="left"/>
        </w:tabs>
        <w:numPr>
          <w:ilvl w:val="0"/>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confirms that the Repeating Representations are true and accurate in all material (or, to the extent that the Repeating Representation is subject to any materiality qualifier, all) respects as at the date of this Incremental Facility Notice.</w:t>
      </w:r>
    </w:p>
    <w:p>
      <w:pPr>
        <w:spacing w:after="0" w:line="55" w:lineRule="exact"/>
        <w:rPr>
          <w:rFonts w:ascii="Times New Roman" w:cs="Times New Roman" w:eastAsia="Times New Roman" w:hAnsi="Times New Roman"/>
          <w:sz w:val="17"/>
          <w:szCs w:val="17"/>
          <w:color w:val="auto"/>
        </w:rPr>
      </w:pPr>
    </w:p>
    <w:p>
      <w:pPr>
        <w:ind w:left="748" w:right="80" w:hanging="748"/>
        <w:spacing w:after="0" w:line="295" w:lineRule="auto"/>
        <w:tabs>
          <w:tab w:leader="none" w:pos="748" w:val="left"/>
        </w:tabs>
        <w:numPr>
          <w:ilvl w:val="0"/>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confirms that no Event of Default is continuing at the time of, or would arise as a result of, the establishment and utilisation of the Relevant Incremental Facility</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Yours faithfully</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27051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5">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Name:</w:t>
      </w:r>
    </w:p>
    <w:p>
      <w:pPr>
        <w:spacing w:after="0" w:line="152"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160</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5" w:right="619" w:bottom="1440" w:gutter="0" w:footer="0" w:header="0"/>
        </w:sectPr>
      </w:pPr>
    </w:p>
    <w:bookmarkStart w:id="463" w:name="page464"/>
    <w:bookmarkEnd w:id="463"/>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9</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Forms of Notifiable Debt Purchase Transaction Notice</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Part 1</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Notice of Notifiable Debt Purchase Transaction</w:t>
      </w:r>
    </w:p>
    <w:p>
      <w:pPr>
        <w:spacing w:after="0" w:line="231" w:lineRule="exact"/>
        <w:rPr>
          <w:sz w:val="20"/>
          <w:szCs w:val="20"/>
          <w:color w:val="auto"/>
        </w:rPr>
      </w:pPr>
    </w:p>
    <w:p>
      <w:pPr>
        <w:ind w:left="8"/>
        <w:spacing w:after="0"/>
        <w:tabs>
          <w:tab w:leader="none" w:pos="1048"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 as Agent</w:t>
      </w:r>
    </w:p>
    <w:p>
      <w:pPr>
        <w:spacing w:after="0" w:line="116" w:lineRule="exact"/>
        <w:rPr>
          <w:sz w:val="20"/>
          <w:szCs w:val="20"/>
          <w:color w:val="auto"/>
        </w:rPr>
      </w:pPr>
    </w:p>
    <w:p>
      <w:pPr>
        <w:ind w:left="8"/>
        <w:spacing w:after="0"/>
        <w:tabs>
          <w:tab w:leader="none" w:pos="1048" w:val="left"/>
        </w:tabs>
        <w:rPr>
          <w:sz w:val="20"/>
          <w:szCs w:val="20"/>
          <w:color w:val="auto"/>
        </w:rPr>
      </w:pPr>
      <w:r>
        <w:rPr>
          <w:rFonts w:ascii="Times New Roman" w:cs="Times New Roman" w:eastAsia="Times New Roman" w:hAnsi="Times New Roman"/>
          <w:sz w:val="17"/>
          <w:szCs w:val="17"/>
          <w:color w:val="auto"/>
        </w:rPr>
        <w:t>From:</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Lender</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Dated:</w:t>
      </w:r>
    </w:p>
    <w:p>
      <w:pPr>
        <w:spacing w:after="0" w:line="221" w:lineRule="exact"/>
        <w:rPr>
          <w:sz w:val="20"/>
          <w:szCs w:val="20"/>
          <w:color w:val="auto"/>
        </w:rPr>
      </w:pPr>
    </w:p>
    <w:p>
      <w:pPr>
        <w:jc w:val="center"/>
        <w:ind w:left="760"/>
        <w:spacing w:after="0" w:line="298" w:lineRule="auto"/>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 restatement agreement dated 29 June 2023 and as further amended and/or supplemented from time to time, the “Facility Agreement”)</w:t>
      </w:r>
    </w:p>
    <w:p>
      <w:pPr>
        <w:spacing w:after="0" w:line="50" w:lineRule="exact"/>
        <w:rPr>
          <w:sz w:val="20"/>
          <w:szCs w:val="20"/>
          <w:color w:val="auto"/>
        </w:rPr>
      </w:pPr>
    </w:p>
    <w:p>
      <w:pPr>
        <w:ind w:left="748" w:right="140" w:hanging="748"/>
        <w:spacing w:after="0" w:line="298" w:lineRule="auto"/>
        <w:tabs>
          <w:tab w:leader="none" w:pos="748" w:val="left"/>
        </w:tabs>
        <w:numPr>
          <w:ilvl w:val="0"/>
          <w:numId w:val="6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(b) of Clause 27.2 (</w:t>
      </w:r>
      <w:r>
        <w:rPr>
          <w:rFonts w:ascii="Times New Roman" w:cs="Times New Roman" w:eastAsia="Times New Roman" w:hAnsi="Times New Roman"/>
          <w:sz w:val="17"/>
          <w:szCs w:val="17"/>
          <w:i w:val="1"/>
          <w:iCs w:val="1"/>
          <w:color w:val="auto"/>
        </w:rPr>
        <w:t>Disenfranchisement of Sponsor Affiliates</w:t>
      </w:r>
      <w:r>
        <w:rPr>
          <w:rFonts w:ascii="Times New Roman" w:cs="Times New Roman" w:eastAsia="Times New Roman" w:hAnsi="Times New Roman"/>
          <w:sz w:val="17"/>
          <w:szCs w:val="17"/>
          <w:color w:val="auto"/>
        </w:rPr>
        <w:t>) of the Facility Agreement. Terms defined in the Facility Agreement have the same meaning in this notice unless given a different meaning in this notice.</w:t>
      </w:r>
    </w:p>
    <w:p>
      <w:pPr>
        <w:spacing w:after="0" w:line="52"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a Notifiable Debt Purchase Transaction.</w:t>
      </w:r>
    </w:p>
    <w:p>
      <w:pPr>
        <w:spacing w:after="0" w:line="131"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Notifiable Debt Purchase Transaction referred to in paragraph 2 above relates to the amount of our Commitment(s) as set out below.</w:t>
      </w:r>
    </w:p>
    <w:p>
      <w:pPr>
        <w:sectPr>
          <w:pgSz w:w="11900" w:h="16838" w:orient="portrait"/>
          <w:cols w:equalWidth="0" w:num="1">
            <w:col w:w="10668"/>
          </w:cols>
          <w:pgMar w:left="612" w:top="262" w:right="619" w:bottom="1440" w:gutter="0" w:footer="0" w:header="0"/>
        </w:sectPr>
      </w:pP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Commitment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[Initial Facility Commitment]</w:t>
      </w:r>
    </w:p>
    <w:p>
      <w:pPr>
        <w:spacing w:after="0" w:line="118" w:lineRule="exact"/>
        <w:rPr>
          <w:sz w:val="20"/>
          <w:szCs w:val="20"/>
          <w:color w:val="auto"/>
        </w:rPr>
      </w:pPr>
    </w:p>
    <w:p>
      <w:pPr>
        <w:ind w:left="8" w:right="180"/>
        <w:spacing w:after="0" w:line="271" w:lineRule="auto"/>
        <w:rPr>
          <w:sz w:val="20"/>
          <w:szCs w:val="20"/>
          <w:color w:val="auto"/>
        </w:rPr>
      </w:pPr>
      <w:r>
        <w:rPr>
          <w:rFonts w:ascii="Times New Roman" w:cs="Times New Roman" w:eastAsia="Times New Roman" w:hAnsi="Times New Roman"/>
          <w:sz w:val="17"/>
          <w:szCs w:val="17"/>
          <w:color w:val="auto"/>
        </w:rPr>
        <w:t>[Incremental Facility Commitment under the Incremental Facility with an Establishment Date of [●]]</w:t>
      </w:r>
      <w:r>
        <w:rPr>
          <w:rFonts w:ascii="Times New Roman" w:cs="Times New Roman" w:eastAsia="Times New Roman" w:hAnsi="Times New Roman"/>
          <w:sz w:val="26"/>
          <w:szCs w:val="26"/>
          <w:color w:val="auto"/>
          <w:vertAlign w:val="superscript"/>
        </w:rPr>
        <w:t>*</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[Lender]</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467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7">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05" w:lineRule="exact"/>
        <w:rPr>
          <w:sz w:val="20"/>
          <w:szCs w:val="20"/>
          <w:color w:val="auto"/>
        </w:rPr>
      </w:pPr>
    </w:p>
    <w:p>
      <w:pPr>
        <w:ind w:left="748" w:hanging="748"/>
        <w:spacing w:after="0"/>
        <w:tabs>
          <w:tab w:leader="none" w:pos="748" w:val="left"/>
        </w:tabs>
        <w:numPr>
          <w:ilvl w:val="0"/>
          <w:numId w:val="6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Delete as applicable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760"/>
        <w:spacing w:after="0" w:line="405" w:lineRule="auto"/>
        <w:rPr>
          <w:sz w:val="20"/>
          <w:szCs w:val="20"/>
          <w:color w:val="auto"/>
        </w:rPr>
      </w:pPr>
      <w:r>
        <w:rPr>
          <w:rFonts w:ascii="Times New Roman" w:cs="Times New Roman" w:eastAsia="Times New Roman" w:hAnsi="Times New Roman"/>
          <w:sz w:val="17"/>
          <w:szCs w:val="17"/>
          <w:b w:val="1"/>
          <w:bCs w:val="1"/>
          <w:color w:val="auto"/>
        </w:rPr>
        <w:t xml:space="preserve">Amount of our Commitment to which Notifiable Debt Purchase Transaction relates (Base Currency)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insert amount (of that Commitment) to which the relevant Debt Purchase Transaction applies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760"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161</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2">
            <w:col w:w="2148" w:space="300"/>
            <w:col w:w="8220"/>
          </w:cols>
          <w:pgMar w:left="612" w:top="262" w:right="619" w:bottom="1440" w:gutter="0" w:footer="0" w:header="0"/>
          <w:type w:val="continuous"/>
        </w:sectPr>
      </w:pPr>
    </w:p>
    <w:bookmarkStart w:id="464" w:name="page465"/>
    <w:bookmarkEnd w:id="464"/>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2</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Notice on Termination of Notifiable Debt Purchase Transaction</w:t>
      </w:r>
    </w:p>
    <w:p>
      <w:pPr>
        <w:sectPr>
          <w:pgSz w:w="11900" w:h="16838" w:orient="portrait"/>
          <w:cols w:equalWidth="0" w:num="1">
            <w:col w:w="10668"/>
          </w:cols>
          <w:pgMar w:left="612" w:top="262" w:right="619" w:bottom="1440" w:gutter="0" w:footer="0" w:header="0"/>
        </w:sect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Agent</w:t>
      </w:r>
    </w:p>
    <w:p>
      <w:pPr>
        <w:spacing w:after="0" w:line="116" w:lineRule="exact"/>
        <w:rPr>
          <w:sz w:val="20"/>
          <w:szCs w:val="20"/>
          <w:color w:val="auto"/>
        </w:rPr>
      </w:pPr>
    </w:p>
    <w:p>
      <w:pPr>
        <w:sectPr>
          <w:pgSz w:w="11900" w:h="16838" w:orient="portrait"/>
          <w:cols w:equalWidth="0" w:num="2">
            <w:col w:w="348" w:space="720"/>
            <w:col w:w="9600"/>
          </w:cols>
          <w:pgMar w:left="612" w:top="262" w:right="619"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Lender</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sectPr>
          <w:pgSz w:w="11900" w:h="16838" w:orient="portrait"/>
          <w:cols w:equalWidth="0" w:num="2">
            <w:col w:w="428" w:space="640"/>
            <w:col w:w="96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Dated:</w:t>
      </w:r>
    </w:p>
    <w:p>
      <w:pPr>
        <w:sectPr>
          <w:pgSz w:w="11900" w:h="16838" w:orient="portrait"/>
          <w:cols w:equalWidth="0" w:num="1">
            <w:col w:w="10668"/>
          </w:cols>
          <w:pgMar w:left="612" w:top="262" w:right="619" w:bottom="1440" w:gutter="0" w:footer="0" w:header="0"/>
          <w:type w:val="continuous"/>
        </w:sectPr>
      </w:pPr>
    </w:p>
    <w:p>
      <w:pPr>
        <w:spacing w:after="0" w:line="221" w:lineRule="exact"/>
        <w:rPr>
          <w:sz w:val="20"/>
          <w:szCs w:val="20"/>
          <w:color w:val="auto"/>
        </w:rPr>
      </w:pPr>
    </w:p>
    <w:p>
      <w:pPr>
        <w:jc w:val="center"/>
        <w:ind w:left="700" w:right="60"/>
        <w:spacing w:after="0" w:line="298" w:lineRule="auto"/>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 restatement agreement dated 29 June 2023 and as further amended and/or supplemented from time to time, the “Facility Agreement”)</w:t>
      </w:r>
    </w:p>
    <w:p>
      <w:pPr>
        <w:spacing w:after="0" w:line="52" w:lineRule="exact"/>
        <w:rPr>
          <w:sz w:val="20"/>
          <w:szCs w:val="20"/>
          <w:color w:val="auto"/>
        </w:rPr>
      </w:pPr>
    </w:p>
    <w:p>
      <w:pPr>
        <w:ind w:left="748" w:right="140" w:hanging="748"/>
        <w:spacing w:after="0" w:line="295" w:lineRule="auto"/>
        <w:tabs>
          <w:tab w:leader="none" w:pos="748" w:val="left"/>
        </w:tabs>
        <w:numPr>
          <w:ilvl w:val="0"/>
          <w:numId w:val="6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(c) of Clause 27.2 (Disenfranchisement of Sponsor Affiliates) of the Facility Agreement. Terms defined in the Facility Agreement have the same meaning in this notice unless given a different meaning in this notice.</w:t>
      </w:r>
    </w:p>
    <w:p>
      <w:pPr>
        <w:spacing w:after="0" w:line="55" w:lineRule="exact"/>
        <w:rPr>
          <w:rFonts w:ascii="Times New Roman" w:cs="Times New Roman" w:eastAsia="Times New Roman" w:hAnsi="Times New Roman"/>
          <w:sz w:val="17"/>
          <w:szCs w:val="17"/>
          <w:color w:val="auto"/>
        </w:rPr>
      </w:pPr>
    </w:p>
    <w:p>
      <w:pPr>
        <w:ind w:left="748" w:right="80" w:hanging="748"/>
        <w:spacing w:after="0" w:line="269" w:lineRule="auto"/>
        <w:tabs>
          <w:tab w:leader="none" w:pos="748" w:val="left"/>
        </w:tabs>
        <w:numPr>
          <w:ilvl w:val="0"/>
          <w:numId w:val="6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Notifiable Debt Purchase Transaction which we entered into and which we notified you of in a notice dated [●] has [terminated]/[ceased to be with a Sponsor Affiliate].</w:t>
      </w:r>
      <w:r>
        <w:rPr>
          <w:rFonts w:ascii="Times New Roman" w:cs="Times New Roman" w:eastAsia="Times New Roman" w:hAnsi="Times New Roman"/>
          <w:sz w:val="26"/>
          <w:szCs w:val="26"/>
          <w:color w:val="auto"/>
          <w:vertAlign w:val="superscript"/>
        </w:rPr>
        <w:t>*</w:t>
      </w:r>
    </w:p>
    <w:p>
      <w:pPr>
        <w:spacing w:after="0" w:line="1"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Notifiable Debt Purchase Transaction referred to in paragraph 2 above relates to the amount of our Commitment(s) as set out below.</w:t>
      </w:r>
    </w:p>
    <w:p>
      <w:pPr>
        <w:sectPr>
          <w:pgSz w:w="11900" w:h="16838" w:orient="portrait"/>
          <w:cols w:equalWidth="0" w:num="1">
            <w:col w:w="10668"/>
          </w:cols>
          <w:pgMar w:left="612" w:top="262" w:right="619" w:bottom="1440" w:gutter="0" w:footer="0" w:header="0"/>
          <w:type w:val="continuous"/>
        </w:sectPr>
      </w:pP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Commitment</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[Initial Facility Commitment]</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[Incremental Facility Commitment under the</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Incremental Facility with an Establishment Date of</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 of our Commitment to which Notifiable Debt Purchase Transaction relates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Currency)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amount (of that Commitment) to which the relevant Debt Purchase Transaction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ectPr>
          <w:pgSz w:w="11900" w:h="16838" w:orient="portrait"/>
          <w:cols w:equalWidth="0" w:num="2">
            <w:col w:w="3568" w:space="500"/>
            <w:col w:w="66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[Lender]</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467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9">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ectPr>
          <w:pgSz w:w="11900" w:h="16838" w:orient="portrait"/>
          <w:cols w:equalWidth="0" w:num="1">
            <w:col w:w="10668"/>
          </w:cols>
          <w:pgMar w:left="612" w:top="262" w:right="619" w:bottom="1440" w:gutter="0" w:footer="0" w:header="0"/>
          <w:type w:val="continuous"/>
        </w:sectPr>
      </w:pPr>
    </w:p>
    <w:p>
      <w:pPr>
        <w:spacing w:after="0" w:line="125" w:lineRule="exact"/>
        <w:rPr>
          <w:sz w:val="20"/>
          <w:szCs w:val="20"/>
          <w:color w:val="auto"/>
        </w:rPr>
      </w:pPr>
    </w:p>
    <w:p>
      <w:pPr>
        <w:ind w:left="748" w:hanging="748"/>
        <w:spacing w:after="0"/>
        <w:tabs>
          <w:tab w:leader="none" w:pos="748" w:val="left"/>
        </w:tabs>
        <w:numPr>
          <w:ilvl w:val="0"/>
          <w:numId w:val="6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Delete as applicable</w:t>
      </w:r>
    </w:p>
    <w:p>
      <w:pPr>
        <w:ind w:left="748" w:hanging="748"/>
        <w:spacing w:after="0" w:line="181" w:lineRule="auto"/>
        <w:tabs>
          <w:tab w:leader="none" w:pos="748" w:val="left"/>
        </w:tabs>
        <w:numPr>
          <w:ilvl w:val="0"/>
          <w:numId w:val="6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Delete as applicable</w:t>
      </w:r>
    </w:p>
    <w:p>
      <w:pPr>
        <w:spacing w:after="0" w:line="12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162</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type w:val="continuous"/>
        </w:sectPr>
      </w:pPr>
    </w:p>
    <w:bookmarkStart w:id="465" w:name="page466"/>
    <w:bookmarkEnd w:id="465"/>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10</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Form of Selection Notice</w:t>
      </w:r>
    </w:p>
    <w:p>
      <w:pPr>
        <w:sectPr>
          <w:pgSz w:w="11900" w:h="16838" w:orient="portrait"/>
          <w:cols w:equalWidth="0" w:num="1">
            <w:col w:w="10668"/>
          </w:cols>
          <w:pgMar w:left="612" w:top="262" w:right="619" w:bottom="1440" w:gutter="0" w:footer="0" w:header="0"/>
        </w:sect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Agent</w:t>
      </w:r>
    </w:p>
    <w:p>
      <w:pPr>
        <w:spacing w:after="0" w:line="118" w:lineRule="exact"/>
        <w:rPr>
          <w:sz w:val="20"/>
          <w:szCs w:val="20"/>
          <w:color w:val="auto"/>
        </w:rPr>
      </w:pPr>
    </w:p>
    <w:p>
      <w:pPr>
        <w:sectPr>
          <w:pgSz w:w="11900" w:h="16838" w:orient="portrait"/>
          <w:cols w:equalWidth="0" w:num="2">
            <w:col w:w="348" w:space="720"/>
            <w:col w:w="96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MCO Nominee One Limited</w:t>
      </w:r>
    </w:p>
    <w:p>
      <w:pPr>
        <w:spacing w:after="0" w:line="118" w:lineRule="exact"/>
        <w:rPr>
          <w:sz w:val="20"/>
          <w:szCs w:val="20"/>
          <w:color w:val="auto"/>
        </w:rPr>
      </w:pPr>
    </w:p>
    <w:p>
      <w:pPr>
        <w:sectPr>
          <w:pgSz w:w="11900" w:h="16838" w:orient="portrait"/>
          <w:cols w:equalWidth="0" w:num="2">
            <w:col w:w="428" w:space="640"/>
            <w:col w:w="9600"/>
          </w:cols>
          <w:pgMar w:left="612" w:top="262" w:right="61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Dated:</w:t>
      </w:r>
    </w:p>
    <w:p>
      <w:pPr>
        <w:sectPr>
          <w:pgSz w:w="11900" w:h="16838" w:orient="portrait"/>
          <w:cols w:equalWidth="0" w:num="1">
            <w:col w:w="10668"/>
          </w:cols>
          <w:pgMar w:left="612" w:top="262" w:right="619" w:bottom="1440" w:gutter="0" w:footer="0" w:header="0"/>
          <w:type w:val="continuous"/>
        </w:sectPr>
      </w:pPr>
    </w:p>
    <w:p>
      <w:pPr>
        <w:spacing w:after="0" w:line="116" w:lineRule="exact"/>
        <w:rPr>
          <w:sz w:val="20"/>
          <w:szCs w:val="20"/>
          <w:color w:val="auto"/>
        </w:rPr>
      </w:pPr>
    </w:p>
    <w:p>
      <w:pPr>
        <w:jc w:val="center"/>
        <w:ind w:left="620" w:right="140"/>
        <w:spacing w:after="0" w:line="298" w:lineRule="auto"/>
        <w:rPr>
          <w:sz w:val="20"/>
          <w:szCs w:val="20"/>
          <w:color w:val="auto"/>
        </w:rPr>
      </w:pPr>
      <w:r>
        <w:rPr>
          <w:rFonts w:ascii="Times New Roman" w:cs="Times New Roman" w:eastAsia="Times New Roman" w:hAnsi="Times New Roman"/>
          <w:sz w:val="17"/>
          <w:szCs w:val="17"/>
          <w:b w:val="1"/>
          <w:bCs w:val="1"/>
          <w:color w:val="auto"/>
        </w:rPr>
        <w:t>MCO Nominee One Limited – HKD14,850,000,000 Facility Agreement dated 29 April 2020 (as amended and restated by an amendment and restatement agreement dated 29 June 2023 and as further amended and/or supplemented from time to time, the “Facility Agreement”)</w:t>
      </w:r>
    </w:p>
    <w:p>
      <w:pPr>
        <w:spacing w:after="0" w:line="52" w:lineRule="exact"/>
        <w:rPr>
          <w:sz w:val="20"/>
          <w:szCs w:val="20"/>
          <w:color w:val="auto"/>
        </w:rPr>
      </w:pPr>
    </w:p>
    <w:p>
      <w:pPr>
        <w:ind w:left="748" w:right="560" w:hanging="748"/>
        <w:spacing w:after="0" w:line="295" w:lineRule="auto"/>
        <w:tabs>
          <w:tab w:leader="none" w:pos="748" w:val="left"/>
        </w:tabs>
        <w:numPr>
          <w:ilvl w:val="0"/>
          <w:numId w:val="6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Facility Agreement. This is a Selection Notice. Terms defined in the Facility Agreement have the same meaning in this Selection Notice unless given a different meaning in this Selection Notice.</w:t>
      </w:r>
    </w:p>
    <w:p>
      <w:pPr>
        <w:spacing w:after="0" w:line="53" w:lineRule="exact"/>
        <w:rPr>
          <w:rFonts w:ascii="Times New Roman" w:cs="Times New Roman" w:eastAsia="Times New Roman" w:hAnsi="Times New Roman"/>
          <w:sz w:val="17"/>
          <w:szCs w:val="17"/>
          <w:color w:val="auto"/>
        </w:rPr>
      </w:pPr>
    </w:p>
    <w:p>
      <w:pPr>
        <w:ind w:left="748" w:right="200" w:hanging="748"/>
        <w:spacing w:after="0" w:line="298" w:lineRule="auto"/>
        <w:tabs>
          <w:tab w:leader="none" w:pos="748" w:val="left"/>
        </w:tabs>
        <w:numPr>
          <w:ilvl w:val="0"/>
          <w:numId w:val="6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the following Incremental Facility Loan[s] under the [</w:t>
      </w:r>
      <w:r>
        <w:rPr>
          <w:rFonts w:ascii="Times New Roman" w:cs="Times New Roman" w:eastAsia="Times New Roman" w:hAnsi="Times New Roman"/>
          <w:sz w:val="17"/>
          <w:szCs w:val="17"/>
          <w:i w:val="1"/>
          <w:iCs w:val="1"/>
          <w:color w:val="auto"/>
        </w:rPr>
        <w:t>insert details of relevant Incremental Term Loan Facility</w:t>
      </w:r>
      <w:r>
        <w:rPr>
          <w:rFonts w:ascii="Times New Roman" w:cs="Times New Roman" w:eastAsia="Times New Roman" w:hAnsi="Times New Roman"/>
          <w:sz w:val="17"/>
          <w:szCs w:val="17"/>
          <w:color w:val="auto"/>
        </w:rPr>
        <w:t>] with an Interest Period ending on [</w:t>
      </w:r>
      <w:r>
        <w:rPr>
          <w:rFonts w:ascii="Times New Roman" w:cs="Times New Roman" w:eastAsia="Times New Roman" w:hAnsi="Times New Roman"/>
          <w:sz w:val="17"/>
          <w:szCs w:val="17"/>
          <w:i w:val="1"/>
          <w:iCs w:val="1"/>
          <w:color w:val="auto"/>
        </w:rPr>
        <w:t>insert details of the Loan and the Interest Period end date</w:t>
      </w:r>
      <w:r>
        <w:rPr>
          <w:rFonts w:ascii="Times New Roman" w:cs="Times New Roman" w:eastAsia="Times New Roman" w:hAnsi="Times New Roman"/>
          <w:sz w:val="17"/>
          <w:szCs w:val="17"/>
          <w:color w:val="auto"/>
        </w:rPr>
        <w:t>].</w:t>
      </w:r>
    </w:p>
    <w:p>
      <w:pPr>
        <w:spacing w:after="0" w:line="52" w:lineRule="exact"/>
        <w:rPr>
          <w:rFonts w:ascii="Times New Roman" w:cs="Times New Roman" w:eastAsia="Times New Roman" w:hAnsi="Times New Roman"/>
          <w:sz w:val="17"/>
          <w:szCs w:val="17"/>
          <w:color w:val="auto"/>
        </w:rPr>
      </w:pPr>
    </w:p>
    <w:p>
      <w:pPr>
        <w:ind w:left="748" w:right="540" w:hanging="748"/>
        <w:spacing w:after="0" w:line="263" w:lineRule="auto"/>
        <w:tabs>
          <w:tab w:leader="none" w:pos="748" w:val="left"/>
        </w:tabs>
        <w:numPr>
          <w:ilvl w:val="0"/>
          <w:numId w:val="6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request that the above Incremental Facility Loan be divided into [●] Incremental Facility Loans with the following Base Currency Amounts and Interest Periods:] </w:t>
      </w:r>
      <w:r>
        <w:rPr>
          <w:rFonts w:ascii="Times New Roman" w:cs="Times New Roman" w:eastAsia="Times New Roman" w:hAnsi="Times New Roman"/>
          <w:sz w:val="26"/>
          <w:szCs w:val="26"/>
          <w:color w:val="auto"/>
          <w:vertAlign w:val="superscript"/>
        </w:rPr>
        <w:t>*</w:t>
      </w:r>
    </w:p>
    <w:p>
      <w:pPr>
        <w:ind w:left="7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w:t>
      </w:r>
    </w:p>
    <w:p>
      <w:pPr>
        <w:spacing w:after="0" w:line="98" w:lineRule="exact"/>
        <w:rPr>
          <w:rFonts w:ascii="Times New Roman" w:cs="Times New Roman" w:eastAsia="Times New Roman" w:hAnsi="Times New Roman"/>
          <w:sz w:val="17"/>
          <w:szCs w:val="17"/>
          <w:color w:val="auto"/>
        </w:rPr>
      </w:pPr>
    </w:p>
    <w:p>
      <w:pPr>
        <w:ind w:left="7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request that the next Interest Period for the above Incremental Facility Loan[s] is [●].]</w:t>
      </w:r>
      <w:r>
        <w:rPr>
          <w:rFonts w:ascii="Times New Roman" w:cs="Times New Roman" w:eastAsia="Times New Roman" w:hAnsi="Times New Roman"/>
          <w:sz w:val="26"/>
          <w:szCs w:val="26"/>
          <w:color w:val="auto"/>
          <w:vertAlign w:val="superscript"/>
        </w:rPr>
        <w:t>**</w:t>
      </w:r>
    </w:p>
    <w:p>
      <w:pPr>
        <w:spacing w:after="0" w:line="47"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Selection Notice is irrevocable.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Signed</w:t>
      </w:r>
    </w:p>
    <w:p>
      <w:pPr>
        <w:spacing w:after="0" w:line="131"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7"/>
          <w:szCs w:val="17"/>
          <w:color w:val="auto"/>
        </w:rPr>
        <w:t>Authorised Representative</w:t>
      </w:r>
    </w:p>
    <w:p>
      <w:pPr>
        <w:spacing w:after="0" w:line="32"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7"/>
          <w:szCs w:val="17"/>
          <w:color w:val="auto"/>
        </w:rPr>
        <w:t>of</w:t>
      </w:r>
    </w:p>
    <w:p>
      <w:pPr>
        <w:spacing w:after="0" w:line="14"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7"/>
          <w:szCs w:val="17"/>
          <w:color w:val="auto"/>
        </w:rPr>
        <w:t>MCO Nominee One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467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1">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87" w:lineRule="exact"/>
        <w:rPr>
          <w:sz w:val="20"/>
          <w:szCs w:val="20"/>
          <w:color w:val="auto"/>
        </w:rPr>
      </w:pPr>
    </w:p>
    <w:p>
      <w:pPr>
        <w:ind w:left="748" w:hanging="748"/>
        <w:spacing w:after="0"/>
        <w:tabs>
          <w:tab w:leader="none" w:pos="748" w:val="left"/>
        </w:tabs>
        <w:numPr>
          <w:ilvl w:val="0"/>
          <w:numId w:val="6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Delete as applicable</w:t>
      </w:r>
    </w:p>
    <w:p>
      <w:pPr>
        <w:ind w:left="748" w:hanging="748"/>
        <w:spacing w:after="0" w:line="181" w:lineRule="auto"/>
        <w:tabs>
          <w:tab w:leader="none" w:pos="748" w:val="left"/>
        </w:tabs>
        <w:numPr>
          <w:ilvl w:val="0"/>
          <w:numId w:val="6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Delete as applicable</w:t>
      </w:r>
    </w:p>
    <w:p>
      <w:pPr>
        <w:spacing w:after="0" w:line="127" w:lineRule="exact"/>
        <w:rPr>
          <w:sz w:val="20"/>
          <w:szCs w:val="20"/>
          <w:color w:val="auto"/>
        </w:rPr>
      </w:pPr>
    </w:p>
    <w:tbl>
      <w:tblPr>
        <w:tblLayout w:type="fixed"/>
        <w:tblInd w:w="5208" w:type="dxa"/>
        <w:tblCellMar>
          <w:top w:w="0" w:type="dxa"/>
          <w:left w:w="0" w:type="dxa"/>
          <w:bottom w:w="0" w:type="dxa"/>
          <w:right w:w="0" w:type="dxa"/>
        </w:tblCellMar>
      </w:tblPr>
      <w:tr>
        <w:trPr>
          <w:trHeight w:val="209"/>
        </w:trPr>
        <w:tc>
          <w:tcPr>
            <w:tcW w:w="136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93"/>
              </w:rPr>
              <w:t>163</w:t>
            </w: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36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2" w:right="619" w:bottom="1440" w:gutter="0" w:footer="0" w:header="0"/>
          <w:type w:val="continuous"/>
        </w:sectPr>
      </w:pPr>
    </w:p>
    <w:bookmarkStart w:id="466" w:name="page467"/>
    <w:bookmarkEnd w:id="46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Signatures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signature pages removed in amended and restated version</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pages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Facility Agreement</w:t>
      </w:r>
    </w:p>
    <w:p>
      <w:pPr>
        <w:sectPr>
          <w:pgSz w:w="11900" w:h="16838" w:orient="portrait"/>
          <w:cols w:equalWidth="0" w:num="1">
            <w:col w:w="10660"/>
          </w:cols>
          <w:pgMar w:left="620" w:top="262" w:right="619" w:bottom="1440" w:gutter="0" w:footer="0" w:header="0"/>
        </w:sectPr>
      </w:pPr>
    </w:p>
    <w:bookmarkStart w:id="467" w:name="page468"/>
    <w:bookmarkEnd w:id="467"/>
    <w:p>
      <w:pPr>
        <w:ind w:lef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2</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Conditions Precedent</w:t>
      </w:r>
    </w:p>
    <w:p>
      <w:pPr>
        <w:spacing w:after="0" w:line="111" w:lineRule="exact"/>
        <w:rPr>
          <w:sz w:val="20"/>
          <w:szCs w:val="20"/>
          <w:color w:val="auto"/>
        </w:rPr>
      </w:pPr>
    </w:p>
    <w:p>
      <w:pPr>
        <w:ind w:left="748" w:hanging="748"/>
        <w:spacing w:after="0"/>
        <w:tabs>
          <w:tab w:leader="none" w:pos="748" w:val="left"/>
        </w:tabs>
        <w:numPr>
          <w:ilvl w:val="0"/>
          <w:numId w:val="6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 Obligors</w:t>
      </w:r>
    </w:p>
    <w:p>
      <w:pPr>
        <w:spacing w:after="0" w:line="133" w:lineRule="exact"/>
        <w:rPr>
          <w:rFonts w:ascii="Times New Roman" w:cs="Times New Roman" w:eastAsia="Times New Roman" w:hAnsi="Times New Roman"/>
          <w:sz w:val="17"/>
          <w:szCs w:val="17"/>
          <w:b w:val="1"/>
          <w:bCs w:val="1"/>
          <w:color w:val="auto"/>
        </w:rPr>
      </w:pPr>
    </w:p>
    <w:p>
      <w:pPr>
        <w:ind w:left="1268" w:right="140" w:hanging="523"/>
        <w:spacing w:after="0" w:line="276"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each Transaction Obligor (other than Melco Resorts Macau), a copy of its constitutional documents (including its certificate of incorporation, certificate of incorporation on change of name (if any), memorandum and articles of association, register of directors, register of members and register of mortgages and charges).</w:t>
      </w:r>
    </w:p>
    <w:p>
      <w:pPr>
        <w:spacing w:after="0" w:line="70"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resolution of the board of directors of each Transaction Obligor (other than Melco Resorts Macau):</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of, and the transactions contemplated by, this Agreement and resolving that it execute this Agreement;</w:t>
      </w:r>
    </w:p>
    <w:p>
      <w:pPr>
        <w:spacing w:after="0" w:line="131" w:lineRule="exact"/>
        <w:rPr>
          <w:rFonts w:ascii="Times New Roman" w:cs="Times New Roman" w:eastAsia="Times New Roman" w:hAnsi="Times New Roman"/>
          <w:sz w:val="17"/>
          <w:szCs w:val="17"/>
          <w:color w:val="auto"/>
        </w:rPr>
      </w:pPr>
    </w:p>
    <w:p>
      <w:pPr>
        <w:ind w:left="1888" w:hanging="620"/>
        <w:spacing w:after="0"/>
        <w:tabs>
          <w:tab w:leader="none" w:pos="1888" w:val="left"/>
        </w:tabs>
        <w:numPr>
          <w:ilvl w:val="2"/>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to execute this Agreement on its behalf; and</w:t>
      </w:r>
    </w:p>
    <w:p>
      <w:pPr>
        <w:spacing w:after="0" w:line="131" w:lineRule="exact"/>
        <w:rPr>
          <w:rFonts w:ascii="Times New Roman" w:cs="Times New Roman" w:eastAsia="Times New Roman" w:hAnsi="Times New Roman"/>
          <w:sz w:val="17"/>
          <w:szCs w:val="17"/>
          <w:color w:val="auto"/>
        </w:rPr>
      </w:pPr>
    </w:p>
    <w:p>
      <w:pPr>
        <w:ind w:left="1888" w:right="60" w:hanging="620"/>
        <w:spacing w:after="0" w:line="295" w:lineRule="auto"/>
        <w:tabs>
          <w:tab w:leader="none" w:pos="1888" w:val="left"/>
        </w:tabs>
        <w:numPr>
          <w:ilvl w:val="2"/>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authorising a specified person or persons, on its behalf, to sign and/or despatch all documents and notices to be signed and/or despatched by it under or in connection with this Agreement.</w:t>
      </w:r>
    </w:p>
    <w:p>
      <w:pPr>
        <w:spacing w:after="0" w:line="55" w:lineRule="exact"/>
        <w:rPr>
          <w:rFonts w:ascii="Times New Roman" w:cs="Times New Roman" w:eastAsia="Times New Roman" w:hAnsi="Times New Roman"/>
          <w:sz w:val="17"/>
          <w:szCs w:val="17"/>
          <w:color w:val="auto"/>
        </w:rPr>
      </w:pPr>
    </w:p>
    <w:p>
      <w:pPr>
        <w:ind w:left="1268" w:hanging="523"/>
        <w:spacing w:after="0"/>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specimen of the signature of each person authorised by each resolution referred to in paragraph (b) above.</w:t>
      </w:r>
    </w:p>
    <w:p>
      <w:pPr>
        <w:spacing w:after="0" w:line="131" w:lineRule="exact"/>
        <w:rPr>
          <w:rFonts w:ascii="Times New Roman" w:cs="Times New Roman" w:eastAsia="Times New Roman" w:hAnsi="Times New Roman"/>
          <w:sz w:val="17"/>
          <w:szCs w:val="17"/>
          <w:color w:val="auto"/>
        </w:rPr>
      </w:pPr>
    </w:p>
    <w:p>
      <w:pPr>
        <w:jc w:val="both"/>
        <w:ind w:left="1268" w:right="120" w:hanging="523"/>
        <w:spacing w:after="0" w:line="276"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from each of each Transaction Obligor (other than Melco Resorts Macau) (in each case signed by a director) confirming that borrowing or guaranteeing, as appropriate, the Total Commitments would not cause any borrowing, guaranteeing or similar limit binding on it to be exceeded.</w:t>
      </w:r>
    </w:p>
    <w:p>
      <w:pPr>
        <w:spacing w:after="0" w:line="70" w:lineRule="exact"/>
        <w:rPr>
          <w:rFonts w:ascii="Times New Roman" w:cs="Times New Roman" w:eastAsia="Times New Roman" w:hAnsi="Times New Roman"/>
          <w:sz w:val="17"/>
          <w:szCs w:val="17"/>
          <w:color w:val="auto"/>
        </w:rPr>
      </w:pPr>
    </w:p>
    <w:p>
      <w:pPr>
        <w:ind w:left="1268" w:right="100" w:hanging="523"/>
        <w:spacing w:after="0" w:line="276"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an authorised signatory of each Transaction Obligor (other than Melco Resorts Macau) certifying that each copy document relating to it specified in this Schedule 2 is correct, complete and in full force and effect as at a date no earlier than the date of this Agreement.</w:t>
      </w:r>
    </w:p>
    <w:p>
      <w:pPr>
        <w:spacing w:after="0" w:line="303"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Finance Documents</w:t>
      </w:r>
    </w:p>
    <w:p>
      <w:pPr>
        <w:spacing w:after="0" w:line="120" w:lineRule="exact"/>
        <w:rPr>
          <w:rFonts w:ascii="Times New Roman" w:cs="Times New Roman" w:eastAsia="Times New Roman" w:hAnsi="Times New Roman"/>
          <w:sz w:val="17"/>
          <w:szCs w:val="17"/>
          <w:b w:val="1"/>
          <w:bCs w:val="1"/>
          <w:color w:val="auto"/>
        </w:rPr>
      </w:pPr>
    </w:p>
    <w:p>
      <w:pPr>
        <w:ind w:left="74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copy of this Agreement duly entered into by the parties to it.</w:t>
      </w:r>
    </w:p>
    <w:p>
      <w:pPr>
        <w:spacing w:after="0" w:line="364" w:lineRule="exact"/>
        <w:rPr>
          <w:rFonts w:ascii="Times New Roman" w:cs="Times New Roman" w:eastAsia="Times New Roman" w:hAnsi="Times New Roman"/>
          <w:sz w:val="17"/>
          <w:szCs w:val="17"/>
          <w:b w:val="1"/>
          <w:bCs w:val="1"/>
          <w:color w:val="auto"/>
        </w:rPr>
      </w:pPr>
    </w:p>
    <w:p>
      <w:pPr>
        <w:ind w:left="748" w:hanging="748"/>
        <w:spacing w:after="0"/>
        <w:tabs>
          <w:tab w:leader="none" w:pos="748" w:val="left"/>
        </w:tabs>
        <w:numPr>
          <w:ilvl w:val="0"/>
          <w:numId w:val="6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opinions</w:t>
      </w:r>
    </w:p>
    <w:p>
      <w:pPr>
        <w:spacing w:after="0" w:line="133" w:lineRule="exact"/>
        <w:rPr>
          <w:rFonts w:ascii="Times New Roman" w:cs="Times New Roman" w:eastAsia="Times New Roman" w:hAnsi="Times New Roman"/>
          <w:sz w:val="17"/>
          <w:szCs w:val="17"/>
          <w:b w:val="1"/>
          <w:bCs w:val="1"/>
          <w:color w:val="auto"/>
        </w:rPr>
      </w:pPr>
    </w:p>
    <w:p>
      <w:pPr>
        <w:ind w:left="1268" w:right="60" w:hanging="523"/>
        <w:spacing w:after="0" w:line="295"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in relation to English law from White &amp; Case addressed to the Finance Parties, substantially in the form distributed to the Agent prior to signing this Agreement.</w:t>
      </w:r>
    </w:p>
    <w:p>
      <w:pPr>
        <w:spacing w:after="0" w:line="55" w:lineRule="exact"/>
        <w:rPr>
          <w:rFonts w:ascii="Times New Roman" w:cs="Times New Roman" w:eastAsia="Times New Roman" w:hAnsi="Times New Roman"/>
          <w:sz w:val="17"/>
          <w:szCs w:val="17"/>
          <w:color w:val="auto"/>
        </w:rPr>
      </w:pPr>
    </w:p>
    <w:p>
      <w:pPr>
        <w:ind w:left="1268" w:right="240" w:hanging="523"/>
        <w:spacing w:after="0" w:line="295"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as to the laws of the Cayman Islands from Maples and Calder (Hong Kong) LLP, the law firm of the Maples Group addressed to the Finance Parties, substantially in the form distributed to the Agent prior to signing this Agreement.</w:t>
      </w:r>
    </w:p>
    <w:p>
      <w:pPr>
        <w:spacing w:after="0" w:line="288" w:lineRule="exact"/>
        <w:rPr>
          <w:rFonts w:ascii="Times New Roman" w:cs="Times New Roman" w:eastAsia="Times New Roman" w:hAnsi="Times New Roman"/>
          <w:sz w:val="17"/>
          <w:szCs w:val="17"/>
          <w:color w:val="auto"/>
        </w:rPr>
      </w:pPr>
    </w:p>
    <w:p>
      <w:pPr>
        <w:ind w:left="748" w:hanging="748"/>
        <w:spacing w:after="0"/>
        <w:tabs>
          <w:tab w:leader="none" w:pos="748" w:val="left"/>
        </w:tabs>
        <w:numPr>
          <w:ilvl w:val="0"/>
          <w:numId w:val="6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documents and evidence</w:t>
      </w:r>
    </w:p>
    <w:p>
      <w:pPr>
        <w:spacing w:after="0" w:line="131" w:lineRule="exact"/>
        <w:rPr>
          <w:rFonts w:ascii="Times New Roman" w:cs="Times New Roman" w:eastAsia="Times New Roman" w:hAnsi="Times New Roman"/>
          <w:sz w:val="17"/>
          <w:szCs w:val="17"/>
          <w:b w:val="1"/>
          <w:bCs w:val="1"/>
          <w:color w:val="auto"/>
        </w:rPr>
      </w:pPr>
    </w:p>
    <w:p>
      <w:pPr>
        <w:ind w:left="1268" w:hanging="523"/>
        <w:spacing w:after="0"/>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any process agent referred to in Clause 6.2 (</w:t>
      </w:r>
      <w:r>
        <w:rPr>
          <w:rFonts w:ascii="Times New Roman" w:cs="Times New Roman" w:eastAsia="Times New Roman" w:hAnsi="Times New Roman"/>
          <w:sz w:val="17"/>
          <w:szCs w:val="17"/>
          <w:i w:val="1"/>
          <w:iCs w:val="1"/>
          <w:color w:val="auto"/>
        </w:rPr>
        <w:t>Service of process</w:t>
      </w:r>
      <w:r>
        <w:rPr>
          <w:rFonts w:ascii="Times New Roman" w:cs="Times New Roman" w:eastAsia="Times New Roman" w:hAnsi="Times New Roman"/>
          <w:sz w:val="17"/>
          <w:szCs w:val="17"/>
          <w:color w:val="auto"/>
        </w:rPr>
        <w:t>) has accepted its appointment.</w:t>
      </w:r>
    </w:p>
    <w:p>
      <w:pPr>
        <w:spacing w:after="0" w:line="131" w:lineRule="exact"/>
        <w:rPr>
          <w:rFonts w:ascii="Times New Roman" w:cs="Times New Roman" w:eastAsia="Times New Roman" w:hAnsi="Times New Roman"/>
          <w:sz w:val="17"/>
          <w:szCs w:val="17"/>
          <w:color w:val="auto"/>
        </w:rPr>
      </w:pPr>
    </w:p>
    <w:p>
      <w:pPr>
        <w:ind w:left="1268" w:right="200" w:hanging="523"/>
        <w:spacing w:after="0" w:line="298" w:lineRule="auto"/>
        <w:tabs>
          <w:tab w:leader="none" w:pos="1268"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the fees, costs and expenses then due from the Company pursuant to Clause 5 (</w:t>
      </w: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have been paid or will be paid on or before the date falling 5 Business Days after the Effective Date.</w:t>
      </w:r>
    </w:p>
    <w:p>
      <w:pPr>
        <w:spacing w:after="0" w:line="78" w:lineRule="exact"/>
        <w:rPr>
          <w:sz w:val="20"/>
          <w:szCs w:val="20"/>
          <w:color w:val="auto"/>
        </w:rPr>
      </w:pPr>
    </w:p>
    <w:tbl>
      <w:tblPr>
        <w:tblLayout w:type="fixed"/>
        <w:tblInd w:w="5288" w:type="dxa"/>
        <w:tblCellMar>
          <w:top w:w="0" w:type="dxa"/>
          <w:left w:w="0" w:type="dxa"/>
          <w:bottom w:w="0" w:type="dxa"/>
          <w:right w:w="0" w:type="dxa"/>
        </w:tblCellMar>
      </w:tblPr>
      <w:tr>
        <w:trPr>
          <w:trHeight w:val="209"/>
        </w:trPr>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1</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Project Osprey (2023) –</w:t>
            </w:r>
          </w:p>
        </w:tc>
      </w:tr>
      <w:tr>
        <w:trPr>
          <w:trHeight w:val="227"/>
        </w:trPr>
        <w:tc>
          <w:tcPr>
            <w:tcW w:w="1240" w:type="dxa"/>
            <w:vAlign w:val="bottom"/>
          </w:tcPr>
          <w:p>
            <w:pPr>
              <w:spacing w:after="0"/>
              <w:rPr>
                <w:sz w:val="19"/>
                <w:szCs w:val="19"/>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tc>
      </w:tr>
    </w:tbl>
    <w:p>
      <w:pPr>
        <w:sectPr>
          <w:pgSz w:w="11900" w:h="16838" w:orient="portrait"/>
          <w:cols w:equalWidth="0" w:num="1">
            <w:col w:w="10668"/>
          </w:cols>
          <w:pgMar w:left="612" w:top="263" w:right="61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Signatures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MCO NOMINEE ONE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Guarantors’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MCO INVESTMENTS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Subsidiary Guarantor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0"/>
          </w:cols>
          <w:pgMar w:left="620" w:top="263" w:right="61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MELCO RESORTS FINANCE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Subordinated Creditor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MCO INTERNATIONAL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Subordinated Creditor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Geoffrey Stuart Davis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0"/>
          </w:cols>
          <w:pgMar w:left="620" w:top="263" w:right="61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SIGNED for and on behalf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OF CHINA LIMITED, MACAU BRANCH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Agent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Huang Jia Yu</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Huang Jia Yu</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Deputy Director, Integrated Resorts Business Division</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Project Osprey (2023)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Amended and Restated Facility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 Page)</w:t>
      </w:r>
    </w:p>
    <w:p>
      <w:pPr>
        <w:sectPr>
          <w:pgSz w:w="11900" w:h="16838" w:orient="portrait"/>
          <w:cols w:equalWidth="0" w:num="1">
            <w:col w:w="10660"/>
          </w:cols>
          <w:pgMar w:left="620" w:top="262" w:right="619"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List of Significant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As of December 31, 2023</w:t>
      </w:r>
    </w:p>
    <w:p>
      <w:pPr>
        <w:spacing w:after="0" w:line="231" w:lineRule="exact"/>
        <w:rPr>
          <w:sz w:val="20"/>
          <w:szCs w:val="20"/>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 Resorts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Cotai Investments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Europe Holdings (NL) B.V., incorporated in the Netherlands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Holdings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International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Investments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Nominee One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and Entertainment (Philippines) Corporation, incorporated in the Philippines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(PHP) Corporation, incorporated in the Philippines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Services Limited, incorporated in the Hong Kong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No.1 Corporation, incorporated in the Philippines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No.2 Corporation, incorporated in the Philippines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MSC Cotai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One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Developments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Holdings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Limited, incorporated in the British Virgin Islands</w:t>
      </w:r>
    </w:p>
    <w:p>
      <w:pPr>
        <w:sectPr>
          <w:pgSz w:w="11900" w:h="16838" w:orient="portrait"/>
          <w:cols w:equalWidth="0" w:num="1">
            <w:col w:w="10668"/>
          </w:cols>
          <w:pgMar w:left="612" w:top="119" w:right="619" w:bottom="1440" w:gutter="0" w:footer="0" w:header="0"/>
        </w:sectPr>
      </w:pPr>
    </w:p>
    <w:bookmarkStart w:id="472" w:name="page473"/>
    <w:bookmarkEnd w:id="472"/>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 Lawrence Yau Lung Ho, certify that:</w:t>
      </w:r>
    </w:p>
    <w:p>
      <w:pPr>
        <w:spacing w:after="0" w:line="131" w:lineRule="exact"/>
        <w:rPr>
          <w:sz w:val="20"/>
          <w:szCs w:val="20"/>
          <w:color w:val="auto"/>
        </w:rPr>
      </w:pPr>
    </w:p>
    <w:p>
      <w:pPr>
        <w:ind w:left="428" w:hanging="428"/>
        <w:spacing w:after="0"/>
        <w:tabs>
          <w:tab w:leader="none" w:pos="428" w:val="left"/>
        </w:tabs>
        <w:numPr>
          <w:ilvl w:val="0"/>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Melco Resorts &amp; Entertainment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428" w:right="140" w:hanging="428"/>
        <w:spacing w:after="0" w:line="267" w:lineRule="auto"/>
        <w:tabs>
          <w:tab w:leader="none" w:pos="428" w:val="left"/>
        </w:tabs>
        <w:numPr>
          <w:ilvl w:val="0"/>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13a-15(f) and 15d-15(f)) for the company and have:</w:t>
      </w:r>
    </w:p>
    <w:p>
      <w:pPr>
        <w:spacing w:after="0" w:line="113"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20320</wp:posOffset>
            </wp:positionV>
            <wp:extent cx="248094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7">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3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1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ectPr>
          <w:pgSz w:w="11900" w:h="16838" w:orient="portrait"/>
          <w:cols w:equalWidth="0" w:num="1">
            <w:col w:w="10668"/>
          </w:cols>
          <w:pgMar w:left="612" w:top="119" w:right="619" w:bottom="1440" w:gutter="0" w:footer="0" w:header="0"/>
        </w:sectPr>
      </w:pPr>
    </w:p>
    <w:bookmarkStart w:id="473" w:name="page474"/>
    <w:bookmarkEnd w:id="473"/>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 Geoffrey Stuart Davis, certify that:</w:t>
      </w:r>
    </w:p>
    <w:p>
      <w:pPr>
        <w:spacing w:after="0" w:line="131" w:lineRule="exact"/>
        <w:rPr>
          <w:sz w:val="20"/>
          <w:szCs w:val="20"/>
          <w:color w:val="auto"/>
        </w:rPr>
      </w:pPr>
    </w:p>
    <w:p>
      <w:pPr>
        <w:ind w:left="428" w:hanging="428"/>
        <w:spacing w:after="0"/>
        <w:tabs>
          <w:tab w:leader="none" w:pos="428"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Melco Resorts &amp; Entertainment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428" w:right="140" w:hanging="428"/>
        <w:spacing w:after="0" w:line="267" w:lineRule="auto"/>
        <w:tabs>
          <w:tab w:leader="none" w:pos="428"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13a-15(f) and 15d-15(f)) for the company and have:</w:t>
      </w:r>
    </w:p>
    <w:p>
      <w:pPr>
        <w:spacing w:after="0" w:line="113"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20320</wp:posOffset>
            </wp:positionV>
            <wp:extent cx="248094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8">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3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0668"/>
          </w:cols>
          <w:pgMar w:left="612" w:top="118" w:right="619" w:bottom="1440" w:gutter="0" w:footer="0" w:header="0"/>
        </w:sectPr>
      </w:pPr>
    </w:p>
    <w:bookmarkStart w:id="474" w:name="page475"/>
    <w:bookmarkEnd w:id="474"/>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In connection with the Annual Report of Melco Resorts &amp; Entertainment Limited (the “Company”) on Form 20-F for the year ended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December 31, 2023 as filed with the Securities and Exchange Commission on the date hereof (the “Report”), I, Lawrence Yau Lung Ho, Chairman and</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Chief Executive Officer of the Company, certify, pursuant to 18 U.S.C. Section 1350, as adopted pursuant to Section 906 of the Sarbanes-Oxley Act of</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2002, that to my knowledge:</w:t>
      </w:r>
    </w:p>
    <w:p>
      <w:pPr>
        <w:spacing w:after="0" w:line="113" w:lineRule="exact"/>
        <w:rPr>
          <w:sz w:val="20"/>
          <w:szCs w:val="20"/>
          <w:color w:val="auto"/>
        </w:rPr>
      </w:pPr>
    </w:p>
    <w:p>
      <w:pPr>
        <w:ind w:left="428" w:hanging="428"/>
        <w:spacing w:after="0"/>
        <w:tabs>
          <w:tab w:leader="none" w:pos="428" w:val="left"/>
        </w:tabs>
        <w:numPr>
          <w:ilvl w:val="0"/>
          <w:numId w:val="6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20320</wp:posOffset>
            </wp:positionV>
            <wp:extent cx="248094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9">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3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1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ectPr>
          <w:pgSz w:w="11900" w:h="16838" w:orient="portrait"/>
          <w:cols w:equalWidth="0" w:num="1">
            <w:col w:w="10668"/>
          </w:cols>
          <w:pgMar w:left="612" w:top="118" w:right="619" w:bottom="1440" w:gutter="0" w:footer="0" w:header="0"/>
        </w:sectPr>
      </w:pPr>
    </w:p>
    <w:bookmarkStart w:id="475" w:name="page476"/>
    <w:bookmarkEnd w:id="475"/>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In connection with the Annual Report of Melco Resorts &amp; Entertainment Limited (the “Company”) on Form 20-F for the year ended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December 31, 2023 as filed with the Securities and Exchange Commission on the date hereof (the “Report”), I, Geoffrey Stuart Davis, Chief Financial</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Officer of the Company, certify, pursuant to 18 U.S.C. Section 1350, as adopted pursuant to Section 906 of the Sarbanes-Oxley Act of 2002, that to my</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knowledge:</w:t>
      </w:r>
    </w:p>
    <w:p>
      <w:pPr>
        <w:spacing w:after="0" w:line="113" w:lineRule="exact"/>
        <w:rPr>
          <w:sz w:val="20"/>
          <w:szCs w:val="20"/>
          <w:color w:val="auto"/>
        </w:rPr>
      </w:pPr>
    </w:p>
    <w:p>
      <w:pPr>
        <w:ind w:left="428" w:hanging="428"/>
        <w:spacing w:after="0"/>
        <w:tabs>
          <w:tab w:leader="none" w:pos="428" w:val="left"/>
        </w:tabs>
        <w:numPr>
          <w:ilvl w:val="0"/>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20320</wp:posOffset>
            </wp:positionV>
            <wp:extent cx="24809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0">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3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1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0668"/>
          </w:cols>
          <w:pgMar w:left="612" w:top="119" w:right="619" w:bottom="1440" w:gutter="0" w:footer="0" w:header="0"/>
        </w:sectPr>
      </w:pPr>
    </w:p>
    <w:bookmarkStart w:id="476" w:name="page477"/>
    <w:bookmarkEnd w:id="476"/>
    <w:p>
      <w:pPr>
        <w:ind w:left="976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1344295" cy="3486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1">
                      <a:extLst>
                        <a:ext uri="{28A0092B-C50C-407E-A947-70E740481C1C}"/>
                      </a:extLst>
                    </a:blip>
                    <a:srcRect/>
                    <a:stretch>
                      <a:fillRect/>
                    </a:stretch>
                  </pic:blipFill>
                  <pic:spPr bwMode="auto">
                    <a:xfrm>
                      <a:off x="0" y="0"/>
                      <a:ext cx="1344295"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7"/>
          <w:szCs w:val="17"/>
          <w:color w:val="auto"/>
        </w:rPr>
        <w:t>22 March 2024</w:t>
      </w:r>
      <w:r>
        <w:rPr>
          <w:sz w:val="20"/>
          <w:szCs w:val="20"/>
          <w:color w:val="auto"/>
        </w:rPr>
        <w:tab/>
      </w:r>
      <w:r>
        <w:rPr>
          <w:rFonts w:ascii="Times New Roman" w:cs="Times New Roman" w:eastAsia="Times New Roman" w:hAnsi="Times New Roman"/>
          <w:sz w:val="17"/>
          <w:szCs w:val="17"/>
          <w:color w:val="auto"/>
        </w:rPr>
        <w:t>           Our Ref: JT/WL/M6207-S10414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Resorts &amp; Entertainment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lntertrust Corporate Services (Cayman)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Nexus 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Camana Bay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Cayman KY1-9005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consent to the reference to our firm under the heading “Board Practices”, the heading “Documents on Display” and the heading “Corporate Governance” in the Annual Report on Form 20-F of Melco Resorts &amp; Entertainment Limited for the year ended 31 December 2023, which will be filed with the U.S. Securities and Exchange Commission (the “Commission”) on 22 March 2024 under the U.S. Securities Exchange Act of 1934, as amended (the “Exchange Act”). In giving such consent, we do not thereby admit that we come within the category of persons whose consent is required under the Exchange Act, or the Rules and Regulations of the Commission thereunder.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Walkers (Singapore) Limited Liability Partnership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WALKERS (SINGAPRE) LIMITED LIABILITY PARTNERSHIP</w:t>
      </w: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Walkers (Singapore) Limited Liability Partnership</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UEN/Reg. No. T09LL0833E</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 Church Street, 16-02 Samsung Hub, Singapore 049483</w:t>
      </w:r>
    </w:p>
    <w:p>
      <w:pPr>
        <w:spacing w:after="0" w:line="14" w:lineRule="exact"/>
        <w:rPr>
          <w:sz w:val="20"/>
          <w:szCs w:val="20"/>
          <w:color w:val="auto"/>
        </w:rPr>
      </w:pPr>
    </w:p>
    <w:p>
      <w:pPr>
        <w:jc w:val="right"/>
        <w:spacing w:after="0"/>
        <w:tabs>
          <w:tab w:leader="none" w:pos="2960" w:val="left"/>
        </w:tabs>
        <w:rPr>
          <w:sz w:val="20"/>
          <w:szCs w:val="20"/>
          <w:color w:val="auto"/>
        </w:rPr>
      </w:pPr>
      <w:r>
        <w:rPr>
          <w:rFonts w:ascii="Times New Roman" w:cs="Times New Roman" w:eastAsia="Times New Roman" w:hAnsi="Times New Roman"/>
          <w:sz w:val="17"/>
          <w:szCs w:val="17"/>
          <w:b w:val="1"/>
          <w:bCs w:val="1"/>
          <w:color w:val="auto"/>
        </w:rPr>
        <w:t xml:space="preserve">T </w:t>
      </w:r>
      <w:r>
        <w:rPr>
          <w:rFonts w:ascii="Times New Roman" w:cs="Times New Roman" w:eastAsia="Times New Roman" w:hAnsi="Times New Roman"/>
          <w:sz w:val="17"/>
          <w:szCs w:val="17"/>
          <w:color w:val="auto"/>
        </w:rPr>
        <w:t>+65 6595 4670 </w:t>
      </w:r>
      <w:r>
        <w:rPr>
          <w:rFonts w:ascii="Times New Roman" w:cs="Times New Roman" w:eastAsia="Times New Roman" w:hAnsi="Times New Roman"/>
          <w:sz w:val="17"/>
          <w:szCs w:val="17"/>
          <w:b w:val="1"/>
          <w:bCs w:val="1"/>
          <w:color w:val="auto"/>
        </w:rPr>
        <w:tab/>
        <w:t xml:space="preserve">F </w:t>
      </w:r>
      <w:r>
        <w:rPr>
          <w:rFonts w:ascii="Times New Roman" w:cs="Times New Roman" w:eastAsia="Times New Roman" w:hAnsi="Times New Roman"/>
          <w:sz w:val="17"/>
          <w:szCs w:val="17"/>
          <w:color w:val="auto"/>
        </w:rPr>
        <w:t>+65 6595 4671 www.walkersglobal.com</w:t>
      </w:r>
    </w:p>
    <w:p>
      <w:pPr>
        <w:spacing w:after="0" w:line="1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Bermuda | British Virgin Islands | Cayman Islands | Dubai | Dublin | Guernsey | Hong Kong | Jersey | London | Singapore</w:t>
      </w:r>
    </w:p>
    <w:p>
      <w:pPr>
        <w:sectPr>
          <w:pgSz w:w="11900" w:h="16838" w:orient="portrait"/>
          <w:cols w:equalWidth="0" w:num="1">
            <w:col w:w="10660"/>
          </w:cols>
          <w:pgMar w:left="620" w:top="119" w:right="619" w:bottom="1440" w:gutter="0" w:footer="0" w:header="0"/>
        </w:sectPr>
      </w:pPr>
    </w:p>
    <w:bookmarkStart w:id="477" w:name="page478"/>
    <w:bookmarkEnd w:id="477"/>
    <w:p>
      <w:pPr>
        <w:jc w:val="right"/>
        <w:spacing w:after="0"/>
        <w:rPr>
          <w:sz w:val="20"/>
          <w:szCs w:val="20"/>
          <w:color w:val="auto"/>
        </w:rPr>
      </w:pPr>
      <w:r>
        <w:rPr>
          <w:rFonts w:ascii="Times New Roman" w:cs="Times New Roman" w:eastAsia="Times New Roman" w:hAnsi="Times New Roman"/>
          <w:sz w:val="17"/>
          <w:szCs w:val="17"/>
          <w:b w:val="1"/>
          <w:bCs w:val="1"/>
          <w:color w:val="auto"/>
        </w:rPr>
        <w:t>Exhibit 15.2</w:t>
      </w:r>
    </w:p>
    <w:p>
      <w:pPr>
        <w:spacing w:after="0" w:line="223" w:lineRule="exact"/>
        <w:rPr>
          <w:sz w:val="20"/>
          <w:szCs w:val="20"/>
          <w:color w:val="auto"/>
        </w:rPr>
      </w:pPr>
    </w:p>
    <w:p>
      <w:pPr>
        <w:ind w:left="3108"/>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31" w:lineRule="exact"/>
        <w:rPr>
          <w:sz w:val="20"/>
          <w:szCs w:val="20"/>
          <w:color w:val="auto"/>
        </w:rPr>
      </w:pPr>
    </w:p>
    <w:p>
      <w:pPr>
        <w:ind w:left="428" w:hanging="428"/>
        <w:spacing w:after="0"/>
        <w:tabs>
          <w:tab w:leader="none" w:pos="428" w:val="left"/>
        </w:tabs>
        <w:numPr>
          <w:ilvl w:val="0"/>
          <w:numId w:val="6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F-3 No. 333-255390) of Melco Resorts &amp; Entertainment Limited,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333-185477) pertaining to the 2011 Share Incentive Plan of Melco Resorts &amp; Entertainment Limited,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6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333-261554) pertaining to the 2021 Share Incentive Plan of Melco Resorts &amp; Entertainment Limited;</w:t>
      </w:r>
    </w:p>
    <w:p>
      <w:pPr>
        <w:spacing w:after="0" w:line="223" w:lineRule="exact"/>
        <w:rPr>
          <w:sz w:val="20"/>
          <w:szCs w:val="20"/>
          <w:color w:val="auto"/>
        </w:rPr>
      </w:pPr>
    </w:p>
    <w:p>
      <w:pPr>
        <w:jc w:val="both"/>
        <w:ind w:left="8" w:right="140"/>
        <w:spacing w:after="0" w:line="276" w:lineRule="auto"/>
        <w:rPr>
          <w:sz w:val="20"/>
          <w:szCs w:val="20"/>
          <w:color w:val="auto"/>
        </w:rPr>
      </w:pPr>
      <w:r>
        <w:rPr>
          <w:rFonts w:ascii="Times New Roman" w:cs="Times New Roman" w:eastAsia="Times New Roman" w:hAnsi="Times New Roman"/>
          <w:sz w:val="17"/>
          <w:szCs w:val="17"/>
          <w:color w:val="auto"/>
        </w:rPr>
        <w:t>of our report dated March 31, 2022, with respect to the consolidated financial statements of Melco Resorts &amp; Entertainment Limited for the year ended December 31, 2021, included in this Annual Report (Form 20-F) for the year ended December 31, 2023, and the financial statement schedule of Melco Resorts &amp; Entertainment Limited included herein.</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March 22, 2024</w:t>
      </w:r>
    </w:p>
    <w:p>
      <w:pPr>
        <w:sectPr>
          <w:pgSz w:w="11900" w:h="16838" w:orient="portrait"/>
          <w:cols w:equalWidth="0" w:num="1">
            <w:col w:w="10668"/>
          </w:cols>
          <w:pgMar w:left="612" w:top="119" w:right="61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17"/>
          <w:szCs w:val="17"/>
          <w:b w:val="1"/>
          <w:bCs w:val="1"/>
          <w:color w:val="auto"/>
        </w:rPr>
        <w:t>Exhibit 15.3</w:t>
      </w: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31" w:lineRule="exact"/>
        <w:rPr>
          <w:sz w:val="20"/>
          <w:szCs w:val="20"/>
          <w:color w:val="auto"/>
        </w:rPr>
      </w:pPr>
    </w:p>
    <w:p>
      <w:pPr>
        <w:ind w:left="940" w:hanging="530"/>
        <w:spacing w:after="0"/>
        <w:tabs>
          <w:tab w:leader="none" w:pos="940" w:val="left"/>
        </w:tabs>
        <w:numPr>
          <w:ilvl w:val="0"/>
          <w:numId w:val="6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F-3 No. 333-255390) of Melco Resorts &amp; Entertainment Limited,</w:t>
      </w:r>
    </w:p>
    <w:p>
      <w:pPr>
        <w:spacing w:after="0" w:line="131" w:lineRule="exact"/>
        <w:rPr>
          <w:rFonts w:ascii="Times New Roman" w:cs="Times New Roman" w:eastAsia="Times New Roman" w:hAnsi="Times New Roman"/>
          <w:sz w:val="17"/>
          <w:szCs w:val="17"/>
          <w:color w:val="auto"/>
        </w:rPr>
      </w:pPr>
    </w:p>
    <w:p>
      <w:pPr>
        <w:ind w:left="940" w:right="620" w:hanging="530"/>
        <w:spacing w:after="0" w:line="295" w:lineRule="auto"/>
        <w:tabs>
          <w:tab w:leader="none" w:pos="940" w:val="left"/>
        </w:tabs>
        <w:numPr>
          <w:ilvl w:val="0"/>
          <w:numId w:val="6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333-185477) pertaining to the 2011 Share Incentive Plan of Melco Resorts &amp; Entertainment Limited, and</w:t>
      </w:r>
    </w:p>
    <w:p>
      <w:pPr>
        <w:spacing w:after="0" w:line="55" w:lineRule="exact"/>
        <w:rPr>
          <w:rFonts w:ascii="Times New Roman" w:cs="Times New Roman" w:eastAsia="Times New Roman" w:hAnsi="Times New Roman"/>
          <w:sz w:val="17"/>
          <w:szCs w:val="17"/>
          <w:color w:val="auto"/>
        </w:rPr>
      </w:pPr>
    </w:p>
    <w:p>
      <w:pPr>
        <w:ind w:left="940" w:right="620" w:hanging="530"/>
        <w:spacing w:after="0" w:line="295" w:lineRule="auto"/>
        <w:tabs>
          <w:tab w:leader="none" w:pos="940" w:val="left"/>
        </w:tabs>
        <w:numPr>
          <w:ilvl w:val="0"/>
          <w:numId w:val="6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333-261554) pertaining to the 2021 Share Incentive Plan of Melco Resorts &amp; Entertainment Limited;</w:t>
      </w:r>
    </w:p>
    <w:p>
      <w:pPr>
        <w:spacing w:after="0" w:line="14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of our reports dated March 22, 2024, with respect to the consolidated financial statements of Melco Resorts &amp; Entertainment Limited and the effectiveness of internal control over financial reporting of Melco Resorts &amp; Entertainment Limited included in this Annual Report (Form 20-F) of Melco Resorts &amp; Entertainment Limited for the year ended December 31, 2023, and the financial statement schedule of Melco Resorts &amp; Entertainment Limited included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22, 2024</w:t>
      </w:r>
    </w:p>
    <w:p>
      <w:pPr>
        <w:sectPr>
          <w:pgSz w:w="11900" w:h="16838" w:orient="portrait"/>
          <w:cols w:equalWidth="0" w:num="1">
            <w:col w:w="10660"/>
          </w:cols>
          <w:pgMar w:left="620" w:top="119" w:right="619" w:bottom="1440" w:gutter="0" w:footer="0" w:header="0"/>
        </w:sectPr>
      </w:pPr>
    </w:p>
    <w:bookmarkStart w:id="479" w:name="page480"/>
    <w:bookmarkEnd w:id="479"/>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917065" cy="5226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2">
                      <a:extLst>
                        <a:ext uri="{28A0092B-C50C-407E-A947-70E740481C1C}"/>
                      </a:extLst>
                    </a:blip>
                    <a:srcRect/>
                    <a:stretch>
                      <a:fillRect/>
                    </a:stretch>
                  </pic:blipFill>
                  <pic:spPr bwMode="auto">
                    <a:xfrm>
                      <a:off x="0" y="0"/>
                      <a:ext cx="191706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249" w:lineRule="exact"/>
        <w:rPr>
          <w:sz w:val="20"/>
          <w:szCs w:val="20"/>
          <w:color w:val="auto"/>
        </w:rPr>
      </w:pPr>
    </w:p>
    <w:p>
      <w:pPr>
        <w:ind w:left="428" w:hanging="428"/>
        <w:spacing w:after="0"/>
        <w:tabs>
          <w:tab w:leader="none" w:pos="428" w:val="left"/>
        </w:tabs>
        <w:numPr>
          <w:ilvl w:val="0"/>
          <w:numId w:val="6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116" w:lineRule="exact"/>
        <w:rPr>
          <w:sz w:val="20"/>
          <w:szCs w:val="20"/>
          <w:color w:val="auto"/>
        </w:rPr>
      </w:pPr>
    </w:p>
    <w:p>
      <w:pPr>
        <w:ind w:left="8" w:right="20" w:firstLine="426"/>
        <w:spacing w:after="0" w:line="278" w:lineRule="auto"/>
        <w:rPr>
          <w:sz w:val="20"/>
          <w:szCs w:val="20"/>
          <w:color w:val="auto"/>
        </w:rPr>
      </w:pPr>
      <w:r>
        <w:rPr>
          <w:rFonts w:ascii="Times New Roman" w:cs="Times New Roman" w:eastAsia="Times New Roman" w:hAnsi="Times New Roman"/>
          <w:sz w:val="17"/>
          <w:szCs w:val="17"/>
          <w:color w:val="auto"/>
        </w:rPr>
        <w:t>Melco Resorts &amp; Entertainment Limited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Melco</w:t>
      </w:r>
      <w:r>
        <w:rPr>
          <w:rFonts w:ascii="Times New Roman" w:cs="Times New Roman" w:eastAsia="Times New Roman" w:hAnsi="Times New Roman"/>
          <w:sz w:val="17"/>
          <w:szCs w:val="17"/>
          <w:color w:val="auto"/>
        </w:rPr>
        <w:t>”) has adopted this Compensation Recovery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effective as of the effective date of Nasdaq Stock Market Rule 5608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Capitalized terms used in this Policy but not otherwise defined herein are defined in Section II.J.</w:t>
      </w:r>
    </w:p>
    <w:p>
      <w:pPr>
        <w:spacing w:after="0" w:line="159" w:lineRule="exact"/>
        <w:rPr>
          <w:sz w:val="20"/>
          <w:szCs w:val="20"/>
          <w:color w:val="auto"/>
        </w:rPr>
      </w:pPr>
    </w:p>
    <w:p>
      <w:pPr>
        <w:ind w:left="8" w:right="40" w:firstLine="426"/>
        <w:spacing w:after="0" w:line="270" w:lineRule="auto"/>
        <w:rPr>
          <w:sz w:val="20"/>
          <w:szCs w:val="20"/>
          <w:color w:val="auto"/>
        </w:rPr>
      </w:pPr>
      <w:r>
        <w:rPr>
          <w:rFonts w:ascii="Times New Roman" w:cs="Times New Roman" w:eastAsia="Times New Roman" w:hAnsi="Times New Roman"/>
          <w:sz w:val="17"/>
          <w:szCs w:val="17"/>
          <w:color w:val="auto"/>
        </w:rPr>
        <w:t xml:space="preserve">To the extent that a subsidiary of Melco is separately listed on a stock exchange (a “Listed </w:t>
      </w:r>
      <w:r>
        <w:rPr>
          <w:rFonts w:ascii="Times New Roman" w:cs="Times New Roman" w:eastAsia="Times New Roman" w:hAnsi="Times New Roman"/>
          <w:sz w:val="17"/>
          <w:szCs w:val="17"/>
          <w:b w:val="1"/>
          <w:bCs w:val="1"/>
          <w:color w:val="auto"/>
        </w:rPr>
        <w:t>Sub”)</w:t>
      </w:r>
      <w:r>
        <w:rPr>
          <w:rFonts w:ascii="Times New Roman" w:cs="Times New Roman" w:eastAsia="Times New Roman" w:hAnsi="Times New Roman"/>
          <w:sz w:val="17"/>
          <w:szCs w:val="17"/>
          <w:color w:val="auto"/>
        </w:rPr>
        <w:t xml:space="preserve"> and has its own Compensation Recovery Policy in effect as approved by its board of directors, the relevant persons of the Listed Sub and its subsidiaries (who are not otherwise directors (or their associates), officers and employees of Melco) should be subject to the Listed Sub’s policy in addition to this Policy, unless otherwise required by Melco, the Listed Sub or applicable law.</w:t>
      </w:r>
    </w:p>
    <w:p>
      <w:pPr>
        <w:spacing w:after="0" w:line="310" w:lineRule="exact"/>
        <w:rPr>
          <w:sz w:val="20"/>
          <w:szCs w:val="20"/>
          <w:color w:val="auto"/>
        </w:rPr>
      </w:pPr>
    </w:p>
    <w:p>
      <w:pPr>
        <w:ind w:left="428" w:hanging="428"/>
        <w:spacing w:after="0"/>
        <w:tabs>
          <w:tab w:leader="none" w:pos="428" w:val="left"/>
        </w:tabs>
        <w:numPr>
          <w:ilvl w:val="0"/>
          <w:numId w:val="6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Scope, Application and Administration</w:t>
      </w:r>
    </w:p>
    <w:p>
      <w:pPr>
        <w:spacing w:after="0" w:line="131" w:lineRule="exact"/>
        <w:rPr>
          <w:sz w:val="20"/>
          <w:szCs w:val="20"/>
          <w:color w:val="auto"/>
        </w:rPr>
      </w:pPr>
    </w:p>
    <w:p>
      <w:pPr>
        <w:ind w:left="948" w:hanging="530"/>
        <w:spacing w:after="0"/>
        <w:tabs>
          <w:tab w:leader="none" w:pos="948" w:val="left"/>
        </w:tabs>
        <w:numPr>
          <w:ilvl w:val="0"/>
          <w:numId w:val="67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Persons Subject to Policy</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This Policy shall apply to current and former Officers.</w:t>
      </w:r>
    </w:p>
    <w:p>
      <w:pPr>
        <w:spacing w:after="0" w:line="364" w:lineRule="exact"/>
        <w:rPr>
          <w:sz w:val="20"/>
          <w:szCs w:val="20"/>
          <w:color w:val="auto"/>
        </w:rPr>
      </w:pPr>
    </w:p>
    <w:p>
      <w:pPr>
        <w:ind w:left="948" w:hanging="530"/>
        <w:spacing w:after="0"/>
        <w:tabs>
          <w:tab w:leader="none" w:pos="948" w:val="left"/>
        </w:tabs>
        <w:numPr>
          <w:ilvl w:val="0"/>
          <w:numId w:val="67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Compensation Subject to Policy</w:t>
      </w:r>
    </w:p>
    <w:p>
      <w:pPr>
        <w:spacing w:after="0" w:line="120" w:lineRule="exact"/>
        <w:rPr>
          <w:sz w:val="20"/>
          <w:szCs w:val="20"/>
          <w:color w:val="auto"/>
        </w:rPr>
      </w:pPr>
    </w:p>
    <w:p>
      <w:pPr>
        <w:ind w:left="8" w:right="260" w:firstLine="426"/>
        <w:spacing w:after="0" w:line="269" w:lineRule="auto"/>
        <w:rPr>
          <w:sz w:val="20"/>
          <w:szCs w:val="20"/>
          <w:color w:val="auto"/>
        </w:rPr>
      </w:pPr>
      <w:r>
        <w:rPr>
          <w:rFonts w:ascii="Times New Roman" w:cs="Times New Roman" w:eastAsia="Times New Roman" w:hAnsi="Times New Roman"/>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311" w:lineRule="exact"/>
        <w:rPr>
          <w:sz w:val="20"/>
          <w:szCs w:val="20"/>
          <w:color w:val="auto"/>
        </w:rPr>
      </w:pPr>
    </w:p>
    <w:p>
      <w:pPr>
        <w:ind w:left="948" w:hanging="530"/>
        <w:spacing w:after="0"/>
        <w:tabs>
          <w:tab w:leader="none" w:pos="948" w:val="left"/>
        </w:tabs>
        <w:numPr>
          <w:ilvl w:val="0"/>
          <w:numId w:val="67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Recovery of Compensation</w:t>
      </w:r>
    </w:p>
    <w:p>
      <w:pPr>
        <w:spacing w:after="0" w:line="120" w:lineRule="exact"/>
        <w:rPr>
          <w:sz w:val="20"/>
          <w:szCs w:val="20"/>
          <w:color w:val="auto"/>
        </w:rPr>
      </w:pPr>
    </w:p>
    <w:p>
      <w:pPr>
        <w:ind w:left="8" w:right="20" w:firstLine="426"/>
        <w:spacing w:after="0" w:line="263" w:lineRule="auto"/>
        <w:rPr>
          <w:sz w:val="20"/>
          <w:szCs w:val="20"/>
          <w:color w:val="auto"/>
        </w:rPr>
      </w:pPr>
      <w:r>
        <w:rPr>
          <w:rFonts w:ascii="Times New Roman" w:cs="Times New Roman" w:eastAsia="Times New Roman" w:hAnsi="Times New Roman"/>
          <w:sz w:val="17"/>
          <w:szCs w:val="17"/>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Melco – Compensation Recovery Policy</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Issue No. 1 Approved on 5 September 2023</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119" w:right="619" w:bottom="1440" w:gutter="0" w:footer="0" w:header="0"/>
        </w:sectPr>
      </w:pPr>
    </w:p>
    <w:bookmarkStart w:id="480" w:name="page481"/>
    <w:bookmarkEnd w:id="480"/>
    <w:p>
      <w:pPr>
        <w:ind w:left="940" w:hanging="530"/>
        <w:spacing w:after="0"/>
        <w:tabs>
          <w:tab w:leader="none" w:pos="940" w:val="left"/>
        </w:tabs>
        <w:numPr>
          <w:ilvl w:val="0"/>
          <w:numId w:val="67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Manner of Recovery; Limitation on Duplicative Recovery</w:t>
      </w:r>
    </w:p>
    <w:p>
      <w:pPr>
        <w:spacing w:after="0" w:line="120"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Sarbanes-Oxley Act Section 304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00" w:lineRule="exact"/>
        <w:rPr>
          <w:sz w:val="20"/>
          <w:szCs w:val="20"/>
          <w:color w:val="auto"/>
        </w:rPr>
      </w:pPr>
    </w:p>
    <w:p>
      <w:pPr>
        <w:spacing w:after="0" w:line="332" w:lineRule="exact"/>
        <w:rPr>
          <w:sz w:val="20"/>
          <w:szCs w:val="20"/>
          <w:color w:val="auto"/>
        </w:rPr>
      </w:pPr>
    </w:p>
    <w:p>
      <w:pPr>
        <w:ind w:left="940" w:hanging="530"/>
        <w:spacing w:after="0"/>
        <w:tabs>
          <w:tab w:leader="none" w:pos="940" w:val="left"/>
        </w:tabs>
        <w:numPr>
          <w:ilvl w:val="0"/>
          <w:numId w:val="67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Administration</w:t>
      </w:r>
    </w:p>
    <w:p>
      <w:pPr>
        <w:spacing w:after="0" w:line="120" w:lineRule="exact"/>
        <w:rPr>
          <w:sz w:val="20"/>
          <w:szCs w:val="20"/>
          <w:color w:val="auto"/>
        </w:rPr>
      </w:pPr>
    </w:p>
    <w:p>
      <w:pPr>
        <w:ind w:right="60" w:firstLine="426"/>
        <w:spacing w:after="0" w:line="263"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spacing w:after="0" w:line="315" w:lineRule="exact"/>
        <w:rPr>
          <w:sz w:val="20"/>
          <w:szCs w:val="20"/>
          <w:color w:val="auto"/>
        </w:rPr>
      </w:pPr>
    </w:p>
    <w:p>
      <w:pPr>
        <w:ind w:left="940" w:hanging="530"/>
        <w:spacing w:after="0"/>
        <w:tabs>
          <w:tab w:leader="none" w:pos="940" w:val="left"/>
        </w:tabs>
        <w:numPr>
          <w:ilvl w:val="0"/>
          <w:numId w:val="6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Interpretation</w:t>
      </w:r>
    </w:p>
    <w:p>
      <w:pPr>
        <w:spacing w:after="0" w:line="120"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288" w:lineRule="exact"/>
        <w:rPr>
          <w:sz w:val="20"/>
          <w:szCs w:val="20"/>
          <w:color w:val="auto"/>
        </w:rPr>
      </w:pPr>
    </w:p>
    <w:p>
      <w:pPr>
        <w:ind w:left="940" w:hanging="530"/>
        <w:spacing w:after="0"/>
        <w:tabs>
          <w:tab w:leader="none" w:pos="940" w:val="left"/>
        </w:tabs>
        <w:numPr>
          <w:ilvl w:val="0"/>
          <w:numId w:val="68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Indemnification; No Liability</w:t>
      </w:r>
    </w:p>
    <w:p>
      <w:pPr>
        <w:spacing w:after="0" w:line="120" w:lineRule="exact"/>
        <w:rPr>
          <w:sz w:val="20"/>
          <w:szCs w:val="20"/>
          <w:color w:val="auto"/>
        </w:rPr>
      </w:pPr>
    </w:p>
    <w:p>
      <w:pPr>
        <w:ind w:right="160" w:firstLine="426"/>
        <w:spacing w:after="0" w:line="269" w:lineRule="auto"/>
        <w:rPr>
          <w:sz w:val="20"/>
          <w:szCs w:val="20"/>
          <w:color w:val="auto"/>
        </w:rPr>
      </w:pPr>
      <w:r>
        <w:rPr>
          <w:rFonts w:ascii="Times New Roman" w:cs="Times New Roman" w:eastAsia="Times New Roman" w:hAnsi="Times New Roman"/>
          <w:sz w:val="17"/>
          <w:szCs w:val="17"/>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5 September 2023</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620" w:top="262" w:right="639" w:bottom="1440" w:gutter="0" w:footer="0" w:header="0"/>
        </w:sectPr>
      </w:pPr>
    </w:p>
    <w:bookmarkStart w:id="481" w:name="page482"/>
    <w:bookmarkEnd w:id="481"/>
    <w:p>
      <w:pPr>
        <w:ind w:left="940" w:hanging="530"/>
        <w:spacing w:after="0"/>
        <w:tabs>
          <w:tab w:leader="none" w:pos="940" w:val="left"/>
        </w:tabs>
        <w:numPr>
          <w:ilvl w:val="0"/>
          <w:numId w:val="68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Application; Enforceability</w:t>
      </w:r>
    </w:p>
    <w:p>
      <w:pPr>
        <w:spacing w:after="0" w:line="120" w:lineRule="exact"/>
        <w:rPr>
          <w:sz w:val="20"/>
          <w:szCs w:val="20"/>
          <w:color w:val="auto"/>
        </w:rPr>
      </w:pPr>
    </w:p>
    <w:p>
      <w:pPr>
        <w:ind w:right="60" w:firstLine="426"/>
        <w:spacing w:after="0" w:line="264" w:lineRule="auto"/>
        <w:rPr>
          <w:sz w:val="20"/>
          <w:szCs w:val="20"/>
          <w:color w:val="auto"/>
        </w:rPr>
      </w:pPr>
      <w:r>
        <w:rPr>
          <w:rFonts w:ascii="Times New Roman" w:cs="Times New Roman" w:eastAsia="Times New Roman" w:hAnsi="Times New Roman"/>
          <w:sz w:val="17"/>
          <w:szCs w:val="17"/>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7"/>
          <w:szCs w:val="17"/>
          <w:b w:val="1"/>
          <w:bCs w:val="1"/>
          <w:i w:val="1"/>
          <w:iCs w:val="1"/>
          <w:color w:val="auto"/>
        </w:rPr>
        <w:t>Other Recovery Arrangements</w:t>
      </w:r>
      <w:r>
        <w:rPr>
          <w:rFonts w:ascii="Times New Roman" w:cs="Times New Roman" w:eastAsia="Times New Roman" w:hAnsi="Times New Roman"/>
          <w:sz w:val="17"/>
          <w:szCs w:val="17"/>
          <w:color w:val="auto"/>
        </w:rPr>
        <w:t>”). The remedy specified in this Policy shall not be exclusive and shall be in addition to every other right or remedy at law or in equity that may be available to the Company or an affiliate of the Company.</w:t>
      </w:r>
    </w:p>
    <w:p>
      <w:pPr>
        <w:spacing w:after="0" w:line="315" w:lineRule="exact"/>
        <w:rPr>
          <w:sz w:val="20"/>
          <w:szCs w:val="20"/>
          <w:color w:val="auto"/>
        </w:rPr>
      </w:pPr>
    </w:p>
    <w:p>
      <w:pPr>
        <w:ind w:left="940" w:hanging="530"/>
        <w:spacing w:after="0"/>
        <w:tabs>
          <w:tab w:leader="none" w:pos="940" w:val="left"/>
        </w:tabs>
        <w:numPr>
          <w:ilvl w:val="0"/>
          <w:numId w:val="68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Severability</w:t>
      </w:r>
    </w:p>
    <w:p>
      <w:pPr>
        <w:spacing w:after="0" w:line="120" w:lineRule="exact"/>
        <w:rPr>
          <w:sz w:val="20"/>
          <w:szCs w:val="20"/>
          <w:color w:val="auto"/>
        </w:rPr>
      </w:pPr>
    </w:p>
    <w:p>
      <w:pPr>
        <w:ind w:right="140" w:firstLine="426"/>
        <w:spacing w:after="0" w:line="269"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311" w:lineRule="exact"/>
        <w:rPr>
          <w:sz w:val="20"/>
          <w:szCs w:val="20"/>
          <w:color w:val="auto"/>
        </w:rPr>
      </w:pPr>
    </w:p>
    <w:p>
      <w:pPr>
        <w:ind w:left="940" w:hanging="530"/>
        <w:spacing w:after="0"/>
        <w:tabs>
          <w:tab w:leader="none" w:pos="940" w:val="left"/>
        </w:tabs>
        <w:numPr>
          <w:ilvl w:val="0"/>
          <w:numId w:val="6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Definitions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ADS</w:t>
      </w:r>
      <w:r>
        <w:rPr>
          <w:rFonts w:ascii="Times New Roman" w:cs="Times New Roman" w:eastAsia="Times New Roman" w:hAnsi="Times New Roman"/>
          <w:sz w:val="17"/>
          <w:szCs w:val="17"/>
          <w:color w:val="auto"/>
        </w:rPr>
        <w:t>” means the American depositary shares of the Company, which each representing three ordinary shares of the Company.</w:t>
      </w:r>
    </w:p>
    <w:p>
      <w:pPr>
        <w:spacing w:after="0" w:line="223" w:lineRule="exact"/>
        <w:rPr>
          <w:sz w:val="20"/>
          <w:szCs w:val="20"/>
          <w:color w:val="auto"/>
        </w:rPr>
      </w:pPr>
    </w:p>
    <w:p>
      <w:pPr>
        <w:ind w:right="22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Rule 10D-1 promulgated thereunder, the listing rules of the national securities exchange or association on which the Company’s ADSs are listed, and any applicable rules, standards or other guidance adopted by the Securities and Exchange Commission or any national securities exchange or association on which the Company’s ADSs are listed.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3" w:lineRule="exact"/>
        <w:rPr>
          <w:sz w:val="20"/>
          <w:szCs w:val="20"/>
          <w:color w:val="auto"/>
        </w:rPr>
      </w:pPr>
    </w:p>
    <w:p>
      <w:pPr>
        <w:jc w:val="both"/>
        <w:ind w:right="60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committee of the Board responsive for executive compensation decisions, or a subcommittee of such committee, comprised solely of independent directors (as determined under the Applicable Rules) or, in the absence of such a committee or subcommittee, a majority of the independent directors serving on the Board.</w:t>
      </w:r>
    </w:p>
    <w:p>
      <w:pPr>
        <w:spacing w:after="0" w:line="157" w:lineRule="exact"/>
        <w:rPr>
          <w:sz w:val="20"/>
          <w:szCs w:val="20"/>
          <w:color w:val="auto"/>
        </w:rPr>
      </w:pPr>
    </w:p>
    <w:p>
      <w:pPr>
        <w:jc w:val="both"/>
        <w:ind w:right="6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23" w:lineRule="exact"/>
        <w:rPr>
          <w:sz w:val="20"/>
          <w:szCs w:val="20"/>
          <w:color w:val="auto"/>
        </w:rPr>
      </w:pPr>
    </w:p>
    <w:p>
      <w:pPr>
        <w:jc w:val="both"/>
        <w:ind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ADS or ordinary share price and total shareholder return.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5 September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60"/>
          </w:cols>
          <w:pgMar w:left="620" w:top="263" w:right="619" w:bottom="1440" w:gutter="0" w:footer="0" w:header="0"/>
        </w:sectPr>
      </w:pPr>
    </w:p>
    <w:bookmarkStart w:id="482" w:name="page483"/>
    <w:bookmarkEnd w:id="482"/>
    <w:p>
      <w:pPr>
        <w:ind w:left="42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IFRS</w:t>
      </w:r>
      <w:r>
        <w:rPr>
          <w:rFonts w:ascii="Times New Roman" w:cs="Times New Roman" w:eastAsia="Times New Roman" w:hAnsi="Times New Roman"/>
          <w:sz w:val="17"/>
          <w:szCs w:val="17"/>
          <w:color w:val="auto"/>
        </w:rPr>
        <w:t>” means international financial reporting standards as adopted by the International Accounting Standards Board.</w:t>
      </w:r>
    </w:p>
    <w:p>
      <w:pPr>
        <w:spacing w:after="0" w:line="223" w:lineRule="exact"/>
        <w:rPr>
          <w:sz w:val="20"/>
          <w:szCs w:val="20"/>
          <w:color w:val="auto"/>
        </w:rPr>
      </w:pPr>
    </w:p>
    <w:p>
      <w:pPr>
        <w:ind w:left="8" w:right="40" w:firstLine="42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Impracticable</w:t>
      </w:r>
      <w:r>
        <w:rPr>
          <w:rFonts w:ascii="Times New Roman" w:cs="Times New Roman" w:eastAsia="Times New Roman" w:hAnsi="Times New Roman"/>
          <w:sz w:val="17"/>
          <w:szCs w:val="17"/>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w:t>
      </w:r>
    </w:p>
    <w:p>
      <w:pPr>
        <w:spacing w:after="0" w:line="1" w:lineRule="exact"/>
        <w:rPr>
          <w:sz w:val="20"/>
          <w:szCs w:val="20"/>
          <w:color w:val="auto"/>
        </w:rPr>
      </w:pPr>
    </w:p>
    <w:p>
      <w:pPr>
        <w:jc w:val="both"/>
        <w:ind w:left="8" w:right="120" w:hanging="8"/>
        <w:spacing w:after="0" w:line="265" w:lineRule="auto"/>
        <w:tabs>
          <w:tab w:leader="none" w:pos="264" w:val="left"/>
        </w:tabs>
        <w:numPr>
          <w:ilvl w:val="0"/>
          <w:numId w:val="6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67" w:lineRule="exact"/>
        <w:rPr>
          <w:sz w:val="20"/>
          <w:szCs w:val="20"/>
          <w:color w:val="auto"/>
        </w:rPr>
      </w:pPr>
    </w:p>
    <w:p>
      <w:pPr>
        <w:ind w:left="8" w:right="100" w:firstLine="42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with respect to a Restatement, any compensation that is granted, earned, or vested based wholly or in part upon the attainment of one or more Financial Reporting Measures and received (as determined by the Applicable Rules)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63" w:lineRule="exact"/>
        <w:rPr>
          <w:sz w:val="20"/>
          <w:szCs w:val="20"/>
          <w:color w:val="auto"/>
        </w:rPr>
      </w:pPr>
    </w:p>
    <w:p>
      <w:pPr>
        <w:ind w:left="8" w:right="100" w:firstLine="426"/>
        <w:spacing w:after="0" w:line="30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each person who the Company determines serves as a Company officer, as defined in Section 16 of the Securities Exchange Act of 1934, as amended.</w:t>
      </w:r>
    </w:p>
    <w:p>
      <w:pPr>
        <w:spacing w:after="0" w:line="139" w:lineRule="exact"/>
        <w:rPr>
          <w:sz w:val="20"/>
          <w:szCs w:val="20"/>
          <w:color w:val="auto"/>
        </w:rPr>
      </w:pPr>
    </w:p>
    <w:p>
      <w:pPr>
        <w:jc w:val="both"/>
        <w:ind w:left="8"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57" w:lineRule="exact"/>
        <w:rPr>
          <w:sz w:val="20"/>
          <w:szCs w:val="20"/>
          <w:color w:val="auto"/>
        </w:rPr>
      </w:pPr>
    </w:p>
    <w:p>
      <w:pPr>
        <w:ind w:left="8" w:firstLine="42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Three-Year Period</w:t>
      </w:r>
      <w:r>
        <w:rPr>
          <w:rFonts w:ascii="Times New Roman" w:cs="Times New Roman" w:eastAsia="Times New Roman" w:hAnsi="Times New Roman"/>
          <w:sz w:val="17"/>
          <w:szCs w:val="17"/>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Melco – Compensation Recovery Policy</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Issue No. 1 Approved on 5 September 2023</w:t>
      </w:r>
    </w:p>
    <w:p>
      <w:pPr>
        <w:spacing w:after="0" w:line="13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48"/>
          </w:cols>
          <w:pgMar w:left="612" w:top="261" w:right="6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III. Policy Review</w:t>
      </w:r>
    </w:p>
    <w:p>
      <w:pPr>
        <w:spacing w:after="0" w:line="120" w:lineRule="exact"/>
        <w:rPr>
          <w:sz w:val="20"/>
          <w:szCs w:val="20"/>
          <w:color w:val="auto"/>
        </w:rPr>
      </w:pPr>
    </w:p>
    <w:p>
      <w:pPr>
        <w:ind w:firstLine="426"/>
        <w:spacing w:after="0" w:line="276" w:lineRule="auto"/>
        <w:rPr>
          <w:sz w:val="20"/>
          <w:szCs w:val="20"/>
          <w:color w:val="auto"/>
        </w:rPr>
      </w:pPr>
      <w:r>
        <w:rPr>
          <w:rFonts w:ascii="Times New Roman" w:cs="Times New Roman" w:eastAsia="Times New Roman" w:hAnsi="Times New Roman"/>
          <w:sz w:val="17"/>
          <w:szCs w:val="17"/>
          <w:color w:val="auto"/>
        </w:rPr>
        <w:t>After the initial approval of this Policy by the Board, Committee has been delegated authority and responsibility from the Board to review and approve amendments to this Policy, when and where appropriate, in order to ensure its effectiveness. Upon any approval of an amendment of this Code, the Committee shall report such approval and amendment to the Board.</w:t>
      </w:r>
    </w:p>
    <w:p>
      <w:pPr>
        <w:spacing w:after="0" w:line="162" w:lineRule="exact"/>
        <w:rPr>
          <w:sz w:val="20"/>
          <w:szCs w:val="20"/>
          <w:color w:val="auto"/>
        </w:rPr>
      </w:pPr>
    </w:p>
    <w:p>
      <w:pPr>
        <w:ind w:right="600" w:firstLine="426"/>
        <w:spacing w:after="0" w:line="295" w:lineRule="auto"/>
        <w:rPr>
          <w:sz w:val="20"/>
          <w:szCs w:val="20"/>
          <w:color w:val="auto"/>
        </w:rPr>
      </w:pPr>
      <w:r>
        <w:rPr>
          <w:rFonts w:ascii="Times New Roman" w:cs="Times New Roman" w:eastAsia="Times New Roman" w:hAnsi="Times New Roman"/>
          <w:sz w:val="17"/>
          <w:szCs w:val="17"/>
          <w:color w:val="auto"/>
        </w:rPr>
        <w:t>This Policy will terminate automatically when the Company does not have a class of securities listed on a national securities exchange or association.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Approved by the Board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Approval Date: 5 September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to be a true copy by Senior Vice President, Group Corporate General Counsel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Signature : </w:t>
      </w:r>
      <w:r>
        <w:rPr>
          <w:rFonts w:ascii="Times New Roman" w:cs="Times New Roman" w:eastAsia="Times New Roman" w:hAnsi="Times New Roman"/>
          <w:sz w:val="17"/>
          <w:szCs w:val="17"/>
          <w:u w:val="single" w:color="auto"/>
          <w:color w:val="auto"/>
        </w:rPr>
        <w:t>  [Signed by Tim Sung]</w:t>
      </w:r>
      <w:r>
        <w:rPr>
          <w:rFonts w:ascii="Times New Roman" w:cs="Times New Roman" w:eastAsia="Times New Roman" w:hAnsi="Times New Roman"/>
          <w:sz w:val="17"/>
          <w:szCs w:val="17"/>
          <w:color w:val="auto"/>
        </w:rPr>
        <w:t xml:space="preserve">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REVISION HISTORY</w:t>
      </w:r>
    </w:p>
    <w:p>
      <w:pPr>
        <w:sectPr>
          <w:pgSz w:w="11900" w:h="16838" w:orient="portrait"/>
          <w:cols w:equalWidth="0" w:num="1">
            <w:col w:w="10580"/>
          </w:cols>
          <w:pgMar w:left="620" w:top="263" w:right="6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ISSUE</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APPROVED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APPROVED BY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REVISED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WORD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PDF</w:t>
      </w:r>
    </w:p>
    <w:p>
      <w:pPr>
        <w:spacing w:after="0" w:line="93" w:lineRule="exact"/>
        <w:rPr>
          <w:sz w:val="20"/>
          <w:szCs w:val="20"/>
          <w:color w:val="auto"/>
        </w:rPr>
      </w:pPr>
    </w:p>
    <w:p>
      <w:pPr>
        <w:sectPr>
          <w:pgSz w:w="11900" w:h="16838" w:orient="portrait"/>
          <w:cols w:equalWidth="0" w:num="6">
            <w:col w:w="500" w:space="540"/>
            <w:col w:w="1440" w:space="720"/>
            <w:col w:w="1080" w:space="720"/>
            <w:col w:w="620" w:space="660"/>
            <w:col w:w="1700" w:space="720"/>
            <w:col w:w="1880"/>
          </w:cols>
          <w:pgMar w:left="620" w:top="263" w:right="69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 September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7"/>
          <w:szCs w:val="17"/>
          <w:color w:val="auto"/>
        </w:rPr>
        <w:t>3440-1995-9844, v.5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3467-5482-5766 v.4</w:t>
      </w:r>
    </w:p>
    <w:p>
      <w:pPr>
        <w:spacing w:after="0" w:line="200" w:lineRule="exact"/>
        <w:rPr>
          <w:sz w:val="20"/>
          <w:szCs w:val="20"/>
          <w:color w:val="auto"/>
        </w:rPr>
      </w:pPr>
    </w:p>
    <w:p>
      <w:pPr>
        <w:sectPr>
          <w:pgSz w:w="11900" w:h="16838" w:orient="portrait"/>
          <w:cols w:equalWidth="0" w:num="6">
            <w:col w:w="340" w:space="700"/>
            <w:col w:w="1440" w:space="720"/>
            <w:col w:w="1080" w:space="720"/>
            <w:col w:w="560" w:space="720"/>
            <w:col w:w="1700" w:space="720"/>
            <w:col w:w="1880"/>
          </w:cols>
          <w:pgMar w:left="620" w:top="263" w:right="69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5 September 2023</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sectPr>
      <w:pgSz w:w="11900" w:h="16838" w:orient="portrait"/>
      <w:cols w:equalWidth="0" w:num="1">
        <w:col w:w="10580"/>
      </w:cols>
      <w:pgMar w:left="620" w:top="263"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D7A3E"/>
    <w:multiLevelType w:val="hybridMultilevel"/>
    <w:lvl w:ilvl="0">
      <w:lvlJc w:val="left"/>
      <w:lvlText w:val="☐"/>
      <w:numFmt w:val="bullet"/>
      <w:start w:val="1"/>
    </w:lvl>
  </w:abstractNum>
  <w:abstractNum w:abstractNumId="1">
    <w:nsid w:val="490B7C5"/>
    <w:multiLevelType w:val="hybridMultilevel"/>
    <w:lvl w:ilvl="0">
      <w:lvlJc w:val="left"/>
      <w:lvlText w:val="☒"/>
      <w:numFmt w:val="bullet"/>
      <w:start w:val="1"/>
    </w:lvl>
  </w:abstractNum>
  <w:abstractNum w:abstractNumId="2">
    <w:nsid w:val="4303A216"/>
    <w:multiLevelType w:val="hybridMultilevel"/>
    <w:lvl w:ilvl="0">
      <w:lvlJc w:val="left"/>
      <w:lvlText w:val="☐"/>
      <w:numFmt w:val="bullet"/>
      <w:start w:val="1"/>
    </w:lvl>
  </w:abstractNum>
  <w:abstractNum w:abstractNumId="3">
    <w:nsid w:val="19B8A08E"/>
    <w:multiLevelType w:val="hybridMultilevel"/>
    <w:lvl w:ilvl="0">
      <w:lvlJc w:val="left"/>
      <w:lvlText w:val="☐"/>
      <w:numFmt w:val="bullet"/>
      <w:start w:val="1"/>
    </w:lvl>
  </w:abstractNum>
  <w:abstractNum w:abstractNumId="4">
    <w:nsid w:val="54B59621"/>
    <w:multiLevelType w:val="hybridMultilevel"/>
    <w:lvl w:ilvl="0">
      <w:lvlJc w:val="left"/>
      <w:lvlText w:val="•"/>
      <w:numFmt w:val="bullet"/>
      <w:start w:val="1"/>
    </w:lvl>
  </w:abstractNum>
  <w:abstractNum w:abstractNumId="5">
    <w:nsid w:val="5992A02E"/>
    <w:multiLevelType w:val="hybridMultilevel"/>
    <w:lvl w:ilvl="0">
      <w:lvlJc w:val="left"/>
      <w:lvlText w:val="•"/>
      <w:numFmt w:val="bullet"/>
      <w:start w:val="1"/>
    </w:lvl>
  </w:abstractNum>
  <w:abstractNum w:abstractNumId="6">
    <w:nsid w:val="29EF532D"/>
    <w:multiLevelType w:val="hybridMultilevel"/>
    <w:lvl w:ilvl="0">
      <w:lvlJc w:val="left"/>
      <w:lvlText w:val="•"/>
      <w:numFmt w:val="bullet"/>
      <w:start w:val="1"/>
    </w:lvl>
  </w:abstractNum>
  <w:abstractNum w:abstractNumId="7">
    <w:nsid w:val="71D601AF"/>
    <w:multiLevelType w:val="hybridMultilevel"/>
    <w:lvl w:ilvl="0">
      <w:lvlJc w:val="left"/>
      <w:lvlText w:val="•"/>
      <w:numFmt w:val="bullet"/>
      <w:start w:val="1"/>
    </w:lvl>
  </w:abstractNum>
  <w:abstractNum w:abstractNumId="8">
    <w:nsid w:val="52C77402"/>
    <w:multiLevelType w:val="hybridMultilevel"/>
    <w:lvl w:ilvl="0">
      <w:lvlJc w:val="left"/>
      <w:lvlText w:val="•"/>
      <w:numFmt w:val="bullet"/>
      <w:start w:val="1"/>
    </w:lvl>
  </w:abstractNum>
  <w:abstractNum w:abstractNumId="9">
    <w:nsid w:val="2BB5B1C6"/>
    <w:multiLevelType w:val="hybridMultilevel"/>
    <w:lvl w:ilvl="0">
      <w:lvlJc w:val="left"/>
      <w:lvlText w:val="•"/>
      <w:numFmt w:val="bullet"/>
      <w:start w:val="1"/>
    </w:lvl>
  </w:abstractNum>
  <w:abstractNum w:abstractNumId="10">
    <w:nsid w:val="66BE6B9"/>
    <w:multiLevelType w:val="hybridMultilevel"/>
    <w:lvl w:ilvl="0">
      <w:lvlJc w:val="left"/>
      <w:lvlText w:val="•"/>
      <w:numFmt w:val="bullet"/>
      <w:start w:val="1"/>
    </w:lvl>
  </w:abstractNum>
  <w:abstractNum w:abstractNumId="11">
    <w:nsid w:val="62234363"/>
    <w:multiLevelType w:val="hybridMultilevel"/>
    <w:lvl w:ilvl="0">
      <w:lvlJc w:val="left"/>
      <w:lvlText w:val="•"/>
      <w:numFmt w:val="bullet"/>
      <w:start w:val="1"/>
    </w:lvl>
  </w:abstractNum>
  <w:abstractNum w:abstractNumId="12">
    <w:nsid w:val="66D385C9"/>
    <w:multiLevelType w:val="hybridMultilevel"/>
    <w:lvl w:ilvl="0">
      <w:lvlJc w:val="left"/>
      <w:lvlText w:val="•"/>
      <w:numFmt w:val="bullet"/>
      <w:start w:val="1"/>
    </w:lvl>
  </w:abstractNum>
  <w:abstractNum w:abstractNumId="13">
    <w:nsid w:val="596F6D8A"/>
    <w:multiLevelType w:val="hybridMultilevel"/>
    <w:lvl w:ilvl="0">
      <w:lvlJc w:val="left"/>
      <w:lvlText w:val="•"/>
      <w:numFmt w:val="bullet"/>
      <w:start w:val="1"/>
    </w:lvl>
  </w:abstractNum>
  <w:abstractNum w:abstractNumId="14">
    <w:nsid w:val="5749361F"/>
    <w:multiLevelType w:val="hybridMultilevel"/>
    <w:lvl w:ilvl="0">
      <w:lvlJc w:val="left"/>
      <w:lvlText w:val="•"/>
      <w:numFmt w:val="bullet"/>
      <w:start w:val="1"/>
    </w:lvl>
  </w:abstractNum>
  <w:abstractNum w:abstractNumId="15">
    <w:nsid w:val="73BC6770"/>
    <w:multiLevelType w:val="hybridMultilevel"/>
    <w:lvl w:ilvl="0">
      <w:lvlJc w:val="left"/>
      <w:lvlText w:val="•"/>
      <w:numFmt w:val="bullet"/>
      <w:start w:val="1"/>
    </w:lvl>
  </w:abstractNum>
  <w:abstractNum w:abstractNumId="16">
    <w:nsid w:val="280E6897"/>
    <w:multiLevelType w:val="hybridMultilevel"/>
    <w:lvl w:ilvl="0">
      <w:lvlJc w:val="left"/>
      <w:lvlText w:val="•"/>
      <w:numFmt w:val="bullet"/>
      <w:start w:val="1"/>
    </w:lvl>
  </w:abstractNum>
  <w:abstractNum w:abstractNumId="17">
    <w:nsid w:val="605138DE"/>
    <w:multiLevelType w:val="hybridMultilevel"/>
    <w:lvl w:ilvl="0">
      <w:lvlJc w:val="left"/>
      <w:lvlText w:val="•"/>
      <w:numFmt w:val="bullet"/>
      <w:start w:val="1"/>
    </w:lvl>
  </w:abstractNum>
  <w:abstractNum w:abstractNumId="18">
    <w:nsid w:val="2622AD0C"/>
    <w:multiLevelType w:val="hybridMultilevel"/>
    <w:lvl w:ilvl="0">
      <w:lvlJc w:val="left"/>
      <w:lvlText w:val="•"/>
      <w:numFmt w:val="bullet"/>
      <w:start w:val="1"/>
    </w:lvl>
  </w:abstractNum>
  <w:abstractNum w:abstractNumId="19">
    <w:nsid w:val="67997556"/>
    <w:multiLevelType w:val="hybridMultilevel"/>
    <w:lvl w:ilvl="0">
      <w:lvlJc w:val="left"/>
      <w:lvlText w:val="•"/>
      <w:numFmt w:val="bullet"/>
      <w:start w:val="1"/>
    </w:lvl>
  </w:abstractNum>
  <w:abstractNum w:abstractNumId="20">
    <w:nsid w:val="18333C89"/>
    <w:multiLevelType w:val="hybridMultilevel"/>
    <w:lvl w:ilvl="0">
      <w:lvlJc w:val="left"/>
      <w:lvlText w:val="•"/>
      <w:numFmt w:val="bullet"/>
      <w:start w:val="1"/>
    </w:lvl>
  </w:abstractNum>
  <w:abstractNum w:abstractNumId="21">
    <w:nsid w:val="4BA9831A"/>
    <w:multiLevelType w:val="hybridMultilevel"/>
    <w:lvl w:ilvl="0">
      <w:lvlJc w:val="left"/>
      <w:lvlText w:val="•"/>
      <w:numFmt w:val="bullet"/>
      <w:start w:val="1"/>
    </w:lvl>
  </w:abstractNum>
  <w:abstractNum w:abstractNumId="22">
    <w:nsid w:val="6D71A2B"/>
    <w:multiLevelType w:val="hybridMultilevel"/>
    <w:lvl w:ilvl="0">
      <w:lvlJc w:val="left"/>
      <w:lvlText w:val="•"/>
      <w:numFmt w:val="bullet"/>
      <w:start w:val="1"/>
    </w:lvl>
  </w:abstractNum>
  <w:abstractNum w:abstractNumId="23">
    <w:nsid w:val="CFC7321"/>
    <w:multiLevelType w:val="hybridMultilevel"/>
    <w:lvl w:ilvl="0">
      <w:lvlJc w:val="left"/>
      <w:lvlText w:val="•"/>
      <w:numFmt w:val="bullet"/>
      <w:start w:val="1"/>
    </w:lvl>
  </w:abstractNum>
  <w:abstractNum w:abstractNumId="24">
    <w:nsid w:val="1421971B"/>
    <w:multiLevelType w:val="hybridMultilevel"/>
    <w:lvl w:ilvl="0">
      <w:lvlJc w:val="left"/>
      <w:lvlText w:val="(%1)"/>
      <w:numFmt w:val="lowerRoman"/>
      <w:start w:val="2"/>
    </w:lvl>
  </w:abstractNum>
  <w:abstractNum w:abstractNumId="25">
    <w:nsid w:val="1F404301"/>
    <w:multiLevelType w:val="hybridMultilevel"/>
    <w:lvl w:ilvl="0">
      <w:lvlJc w:val="left"/>
      <w:lvlText w:val="•"/>
      <w:numFmt w:val="bullet"/>
      <w:start w:val="1"/>
    </w:lvl>
  </w:abstractNum>
  <w:abstractNum w:abstractNumId="26">
    <w:nsid w:val="116E0907"/>
    <w:multiLevelType w:val="hybridMultilevel"/>
    <w:lvl w:ilvl="0">
      <w:lvlJc w:val="left"/>
      <w:lvlText w:val="•"/>
      <w:numFmt w:val="bullet"/>
      <w:start w:val="1"/>
    </w:lvl>
  </w:abstractNum>
  <w:abstractNum w:abstractNumId="27">
    <w:nsid w:val="4B683D0D"/>
    <w:multiLevelType w:val="hybridMultilevel"/>
    <w:lvl w:ilvl="0">
      <w:lvlJc w:val="left"/>
      <w:lvlText w:val="(%1)"/>
      <w:numFmt w:val="lowerRoman"/>
      <w:start w:val="1"/>
    </w:lvl>
  </w:abstractNum>
  <w:abstractNum w:abstractNumId="28">
    <w:nsid w:val="76E41D8"/>
    <w:multiLevelType w:val="hybridMultilevel"/>
    <w:lvl w:ilvl="0">
      <w:lvlJc w:val="left"/>
      <w:lvlText w:val="•"/>
      <w:numFmt w:val="bullet"/>
      <w:start w:val="1"/>
    </w:lvl>
  </w:abstractNum>
  <w:abstractNum w:abstractNumId="29">
    <w:nsid w:val="71DCE0FD"/>
    <w:multiLevelType w:val="hybridMultilevel"/>
    <w:lvl w:ilvl="0">
      <w:lvlJc w:val="left"/>
      <w:lvlText w:val="•"/>
      <w:numFmt w:val="bullet"/>
      <w:start w:val="1"/>
    </w:lvl>
  </w:abstractNum>
  <w:abstractNum w:abstractNumId="30">
    <w:nsid w:val="7906328B"/>
    <w:multiLevelType w:val="hybridMultilevel"/>
    <w:lvl w:ilvl="0">
      <w:lvlJc w:val="left"/>
      <w:lvlText w:val="•"/>
      <w:numFmt w:val="bullet"/>
      <w:start w:val="1"/>
    </w:lvl>
  </w:abstractNum>
  <w:abstractNum w:abstractNumId="31">
    <w:nsid w:val="72BBC16"/>
    <w:multiLevelType w:val="hybridMultilevel"/>
    <w:lvl w:ilvl="0">
      <w:lvlJc w:val="left"/>
      <w:lvlText w:val="•"/>
      <w:numFmt w:val="bullet"/>
      <w:start w:val="1"/>
    </w:lvl>
  </w:abstractNum>
  <w:abstractNum w:abstractNumId="32">
    <w:nsid w:val="766D98C2"/>
    <w:multiLevelType w:val="hybridMultilevel"/>
    <w:lvl w:ilvl="0">
      <w:lvlJc w:val="left"/>
      <w:lvlText w:val="•"/>
      <w:numFmt w:val="bullet"/>
      <w:start w:val="1"/>
    </w:lvl>
  </w:abstractNum>
  <w:abstractNum w:abstractNumId="33">
    <w:nsid w:val="3C09D4A1"/>
    <w:multiLevelType w:val="hybridMultilevel"/>
    <w:lvl w:ilvl="0">
      <w:lvlJc w:val="left"/>
      <w:lvlText w:val="•"/>
      <w:numFmt w:val="bullet"/>
      <w:start w:val="1"/>
    </w:lvl>
  </w:abstractNum>
  <w:abstractNum w:abstractNumId="34">
    <w:nsid w:val="20E45CA4"/>
    <w:multiLevelType w:val="hybridMultilevel"/>
    <w:lvl w:ilvl="0">
      <w:lvlJc w:val="left"/>
      <w:lvlText w:val="•"/>
      <w:numFmt w:val="bullet"/>
      <w:start w:val="1"/>
    </w:lvl>
  </w:abstractNum>
  <w:abstractNum w:abstractNumId="35">
    <w:nsid w:val="4B232EE3"/>
    <w:multiLevelType w:val="hybridMultilevel"/>
    <w:lvl w:ilvl="0">
      <w:lvlJc w:val="left"/>
      <w:lvlText w:val="•"/>
      <w:numFmt w:val="bullet"/>
      <w:start w:val="1"/>
    </w:lvl>
  </w:abstractNum>
  <w:abstractNum w:abstractNumId="36">
    <w:nsid w:val="159C74CF"/>
    <w:multiLevelType w:val="hybridMultilevel"/>
    <w:lvl w:ilvl="0">
      <w:lvlJc w:val="left"/>
      <w:lvlText w:val="•"/>
      <w:numFmt w:val="bullet"/>
      <w:start w:val="1"/>
    </w:lvl>
  </w:abstractNum>
  <w:abstractNum w:abstractNumId="37">
    <w:nsid w:val="4AD3AFD2"/>
    <w:multiLevelType w:val="hybridMultilevel"/>
    <w:lvl w:ilvl="0">
      <w:lvlJc w:val="left"/>
      <w:lvlText w:val="\emdash "/>
      <w:numFmt w:val="bullet"/>
      <w:start w:val="1"/>
    </w:lvl>
  </w:abstractNum>
  <w:abstractNum w:abstractNumId="38">
    <w:nsid w:val="3CF93092"/>
    <w:multiLevelType w:val="hybridMultilevel"/>
    <w:lvl w:ilvl="0">
      <w:lvlJc w:val="left"/>
      <w:lvlText w:val="•"/>
      <w:numFmt w:val="bullet"/>
      <w:start w:val="1"/>
    </w:lvl>
  </w:abstractNum>
  <w:abstractNum w:abstractNumId="39">
    <w:nsid w:val="6863E8D2"/>
    <w:multiLevelType w:val="hybridMultilevel"/>
    <w:lvl w:ilvl="0">
      <w:lvlJc w:val="left"/>
      <w:lvlText w:val="•"/>
      <w:numFmt w:val="bullet"/>
      <w:start w:val="1"/>
    </w:lvl>
    <w:lvl w:ilvl="1">
      <w:lvlJc w:val="left"/>
      <w:lvlText w:val="•"/>
      <w:numFmt w:val="bullet"/>
      <w:start w:val="1"/>
    </w:lvl>
  </w:abstractNum>
  <w:abstractNum w:abstractNumId="40">
    <w:nsid w:val="76896198"/>
    <w:multiLevelType w:val="hybridMultilevel"/>
    <w:lvl w:ilvl="0">
      <w:lvlJc w:val="left"/>
      <w:lvlText w:val="•"/>
      <w:numFmt w:val="bullet"/>
      <w:start w:val="1"/>
    </w:lvl>
  </w:abstractNum>
  <w:abstractNum w:abstractNumId="41">
    <w:nsid w:val="4365174B"/>
    <w:multiLevelType w:val="hybridMultilevel"/>
    <w:lvl w:ilvl="0">
      <w:lvlJc w:val="left"/>
      <w:lvlText w:val="•"/>
      <w:numFmt w:val="bullet"/>
      <w:start w:val="1"/>
    </w:lvl>
  </w:abstractNum>
  <w:abstractNum w:abstractNumId="42">
    <w:nsid w:val="4A872C35"/>
    <w:multiLevelType w:val="hybridMultilevel"/>
    <w:lvl w:ilvl="0">
      <w:lvlJc w:val="left"/>
      <w:lvlText w:val="•"/>
      <w:numFmt w:val="bullet"/>
      <w:start w:val="1"/>
    </w:lvl>
  </w:abstractNum>
  <w:abstractNum w:abstractNumId="43">
    <w:nsid w:val="5D5CE761"/>
    <w:multiLevelType w:val="hybridMultilevel"/>
    <w:lvl w:ilvl="0">
      <w:lvlJc w:val="left"/>
      <w:lvlText w:val="•"/>
      <w:numFmt w:val="bullet"/>
      <w:start w:val="1"/>
    </w:lvl>
  </w:abstractNum>
  <w:abstractNum w:abstractNumId="44">
    <w:nsid w:val="1CD484D5"/>
    <w:multiLevelType w:val="hybridMultilevel"/>
    <w:lvl w:ilvl="0">
      <w:lvlJc w:val="left"/>
      <w:lvlText w:val="•"/>
      <w:numFmt w:val="bullet"/>
      <w:start w:val="1"/>
    </w:lvl>
  </w:abstractNum>
  <w:abstractNum w:abstractNumId="45">
    <w:nsid w:val="21D06255"/>
    <w:multiLevelType w:val="hybridMultilevel"/>
    <w:lvl w:ilvl="0">
      <w:lvlJc w:val="left"/>
      <w:lvlText w:val="•"/>
      <w:numFmt w:val="bullet"/>
      <w:start w:val="1"/>
    </w:lvl>
  </w:abstractNum>
  <w:abstractNum w:abstractNumId="46">
    <w:nsid w:val="51194ED1"/>
    <w:multiLevelType w:val="hybridMultilevel"/>
    <w:lvl w:ilvl="0">
      <w:lvlJc w:val="left"/>
      <w:lvlText w:val="•"/>
      <w:numFmt w:val="bullet"/>
      <w:start w:val="1"/>
    </w:lvl>
  </w:abstractNum>
  <w:abstractNum w:abstractNumId="47">
    <w:nsid w:val="44E2ED6C"/>
    <w:multiLevelType w:val="hybridMultilevel"/>
    <w:lvl w:ilvl="0">
      <w:lvlJc w:val="left"/>
      <w:lvlText w:val="•"/>
      <w:numFmt w:val="bullet"/>
      <w:start w:val="1"/>
    </w:lvl>
  </w:abstractNum>
  <w:abstractNum w:abstractNumId="48">
    <w:nsid w:val="2219B33"/>
    <w:multiLevelType w:val="hybridMultilevel"/>
    <w:lvl w:ilvl="0">
      <w:lvlJc w:val="left"/>
      <w:lvlText w:val="•"/>
      <w:numFmt w:val="bullet"/>
      <w:start w:val="1"/>
    </w:lvl>
    <w:lvl w:ilvl="1">
      <w:lvlJc w:val="left"/>
      <w:lvlText w:val="•"/>
      <w:numFmt w:val="bullet"/>
      <w:start w:val="1"/>
    </w:lvl>
  </w:abstractNum>
  <w:abstractNum w:abstractNumId="49">
    <w:nsid w:val="773BFBDD"/>
    <w:multiLevelType w:val="hybridMultilevel"/>
    <w:lvl w:ilvl="0">
      <w:lvlJc w:val="left"/>
      <w:lvlText w:val="•"/>
      <w:numFmt w:val="bullet"/>
      <w:start w:val="1"/>
    </w:lvl>
  </w:abstractNum>
  <w:abstractNum w:abstractNumId="50">
    <w:nsid w:val="2C7C62C2"/>
    <w:multiLevelType w:val="hybridMultilevel"/>
    <w:lvl w:ilvl="0">
      <w:lvlJc w:val="left"/>
      <w:lvlText w:val="•"/>
      <w:numFmt w:val="bullet"/>
      <w:start w:val="1"/>
    </w:lvl>
  </w:abstractNum>
  <w:abstractNum w:abstractNumId="51">
    <w:nsid w:val="1A54D7BC"/>
    <w:multiLevelType w:val="hybridMultilevel"/>
    <w:lvl w:ilvl="0">
      <w:lvlJc w:val="left"/>
      <w:lvlText w:val="•"/>
      <w:numFmt w:val="bullet"/>
      <w:start w:val="1"/>
    </w:lvl>
  </w:abstractNum>
  <w:abstractNum w:abstractNumId="52">
    <w:nsid w:val="42E57EF7"/>
    <w:multiLevelType w:val="hybridMultilevel"/>
    <w:lvl w:ilvl="0">
      <w:lvlJc w:val="left"/>
      <w:lvlText w:val="•"/>
      <w:numFmt w:val="bullet"/>
      <w:start w:val="1"/>
    </w:lvl>
  </w:abstractNum>
  <w:abstractNum w:abstractNumId="53">
    <w:nsid w:val="33537CED"/>
    <w:multiLevelType w:val="hybridMultilevel"/>
    <w:lvl w:ilvl="0">
      <w:lvlJc w:val="left"/>
      <w:lvlText w:val="(%1)"/>
      <w:numFmt w:val="lowerRoman"/>
      <w:start w:val="2"/>
    </w:lvl>
  </w:abstractNum>
  <w:abstractNum w:abstractNumId="54">
    <w:nsid w:val="27514ADE"/>
    <w:multiLevelType w:val="hybridMultilevel"/>
    <w:lvl w:ilvl="0">
      <w:lvlJc w:val="left"/>
      <w:lvlText w:val="•"/>
      <w:numFmt w:val="bullet"/>
      <w:start w:val="1"/>
    </w:lvl>
  </w:abstractNum>
  <w:abstractNum w:abstractNumId="55">
    <w:nsid w:val="57071613"/>
    <w:multiLevelType w:val="hybridMultilevel"/>
    <w:lvl w:ilvl="0">
      <w:lvlJc w:val="left"/>
      <w:lvlText w:val="•"/>
      <w:numFmt w:val="bullet"/>
      <w:start w:val="1"/>
    </w:lvl>
  </w:abstractNum>
  <w:abstractNum w:abstractNumId="56">
    <w:nsid w:val="5293BFEF"/>
    <w:multiLevelType w:val="hybridMultilevel"/>
    <w:lvl w:ilvl="0">
      <w:lvlJc w:val="left"/>
      <w:lvlText w:val="•"/>
      <w:numFmt w:val="bullet"/>
      <w:start w:val="1"/>
    </w:lvl>
  </w:abstractNum>
  <w:abstractNum w:abstractNumId="57">
    <w:nsid w:val="38BF53E5"/>
    <w:multiLevelType w:val="hybridMultilevel"/>
    <w:lvl w:ilvl="0">
      <w:lvlJc w:val="left"/>
      <w:lvlText w:val="•"/>
      <w:numFmt w:val="bullet"/>
      <w:start w:val="1"/>
    </w:lvl>
  </w:abstractNum>
  <w:abstractNum w:abstractNumId="58">
    <w:nsid w:val="226F5320"/>
    <w:multiLevelType w:val="hybridMultilevel"/>
    <w:lvl w:ilvl="0">
      <w:lvlJc w:val="left"/>
      <w:lvlText w:val="•"/>
      <w:numFmt w:val="bullet"/>
      <w:start w:val="1"/>
    </w:lvl>
  </w:abstractNum>
  <w:abstractNum w:abstractNumId="59">
    <w:nsid w:val="5A0201C7"/>
    <w:multiLevelType w:val="hybridMultilevel"/>
    <w:lvl w:ilvl="0">
      <w:lvlJc w:val="left"/>
      <w:lvlText w:val="•"/>
      <w:numFmt w:val="bullet"/>
      <w:start w:val="1"/>
    </w:lvl>
  </w:abstractNum>
  <w:abstractNum w:abstractNumId="60">
    <w:nsid w:val="2A9C34E2"/>
    <w:multiLevelType w:val="hybridMultilevel"/>
    <w:lvl w:ilvl="0">
      <w:lvlJc w:val="left"/>
      <w:lvlText w:val="•"/>
      <w:numFmt w:val="bullet"/>
      <w:start w:val="1"/>
    </w:lvl>
  </w:abstractNum>
  <w:abstractNum w:abstractNumId="61">
    <w:nsid w:val="1B7585AB"/>
    <w:multiLevelType w:val="hybridMultilevel"/>
    <w:lvl w:ilvl="0">
      <w:lvlJc w:val="left"/>
      <w:lvlText w:val="(%1)"/>
      <w:numFmt w:val="decimal"/>
      <w:start w:val="1"/>
    </w:lvl>
  </w:abstractNum>
  <w:abstractNum w:abstractNumId="62">
    <w:nsid w:val="612DBDDD"/>
    <w:multiLevelType w:val="hybridMultilevel"/>
    <w:lvl w:ilvl="0">
      <w:lvlJc w:val="left"/>
      <w:lvlText w:val="(%1)"/>
      <w:numFmt w:val="decimal"/>
      <w:start w:val="4"/>
    </w:lvl>
  </w:abstractNum>
  <w:abstractNum w:abstractNumId="63">
    <w:nsid w:val="2109CDA4"/>
    <w:multiLevelType w:val="hybridMultilevel"/>
    <w:lvl w:ilvl="0">
      <w:lvlJc w:val="left"/>
      <w:lvlText w:val="•"/>
      <w:numFmt w:val="bullet"/>
      <w:start w:val="1"/>
    </w:lvl>
  </w:abstractNum>
  <w:abstractNum w:abstractNumId="64">
    <w:nsid w:val="577F5A4D"/>
    <w:multiLevelType w:val="hybridMultilevel"/>
    <w:lvl w:ilvl="0">
      <w:lvlJc w:val="left"/>
      <w:lvlText w:val="•"/>
      <w:numFmt w:val="bullet"/>
      <w:start w:val="1"/>
    </w:lvl>
  </w:abstractNum>
  <w:abstractNum w:abstractNumId="65">
    <w:nsid w:val="2121A81"/>
    <w:multiLevelType w:val="hybridMultilevel"/>
    <w:lvl w:ilvl="0">
      <w:lvlJc w:val="left"/>
      <w:lvlText w:val="•"/>
      <w:numFmt w:val="bullet"/>
      <w:start w:val="1"/>
    </w:lvl>
  </w:abstractNum>
  <w:abstractNum w:abstractNumId="66">
    <w:nsid w:val="6C2CFC88"/>
    <w:multiLevelType w:val="hybridMultilevel"/>
    <w:lvl w:ilvl="0">
      <w:lvlJc w:val="left"/>
      <w:lvlText w:val="•"/>
      <w:numFmt w:val="bullet"/>
      <w:start w:val="1"/>
    </w:lvl>
  </w:abstractNum>
  <w:abstractNum w:abstractNumId="67">
    <w:nsid w:val="6D1BCF1C"/>
    <w:multiLevelType w:val="hybridMultilevel"/>
    <w:lvl w:ilvl="0">
      <w:lvlJc w:val="left"/>
      <w:lvlText w:val="•"/>
      <w:numFmt w:val="bullet"/>
      <w:start w:val="1"/>
    </w:lvl>
  </w:abstractNum>
  <w:abstractNum w:abstractNumId="68">
    <w:nsid w:val="4CE5CA53"/>
    <w:multiLevelType w:val="hybridMultilevel"/>
    <w:lvl w:ilvl="0">
      <w:lvlJc w:val="left"/>
      <w:lvlText w:val="(%1)"/>
      <w:numFmt w:val="decimal"/>
      <w:start w:val="1"/>
    </w:lvl>
  </w:abstractNum>
  <w:abstractNum w:abstractNumId="69">
    <w:nsid w:val="29262D1A"/>
    <w:multiLevelType w:val="hybridMultilevel"/>
    <w:lvl w:ilvl="0">
      <w:lvlJc w:val="left"/>
      <w:lvlText w:val="(%1)"/>
      <w:numFmt w:val="decimal"/>
      <w:start w:val="2"/>
    </w:lvl>
  </w:abstractNum>
  <w:abstractNum w:abstractNumId="70">
    <w:nsid w:val="557FB7EE"/>
    <w:multiLevelType w:val="hybridMultilevel"/>
    <w:lvl w:ilvl="0">
      <w:lvlJc w:val="left"/>
      <w:lvlText w:val="•"/>
      <w:numFmt w:val="bullet"/>
      <w:start w:val="1"/>
    </w:lvl>
  </w:abstractNum>
  <w:abstractNum w:abstractNumId="71">
    <w:nsid w:val="436F2BEB"/>
    <w:multiLevelType w:val="hybridMultilevel"/>
    <w:lvl w:ilvl="0">
      <w:lvlJc w:val="left"/>
      <w:lvlText w:val="•"/>
      <w:numFmt w:val="bullet"/>
      <w:start w:val="1"/>
    </w:lvl>
  </w:abstractNum>
  <w:abstractNum w:abstractNumId="72">
    <w:nsid w:val="6C8B4466"/>
    <w:multiLevelType w:val="hybridMultilevel"/>
    <w:lvl w:ilvl="0">
      <w:lvlJc w:val="left"/>
      <w:lvlText w:val="•"/>
      <w:numFmt w:val="bullet"/>
      <w:start w:val="1"/>
    </w:lvl>
  </w:abstractNum>
  <w:abstractNum w:abstractNumId="73">
    <w:nsid w:val="2006E424"/>
    <w:multiLevelType w:val="hybridMultilevel"/>
    <w:lvl w:ilvl="0">
      <w:lvlJc w:val="left"/>
      <w:lvlText w:val="•"/>
      <w:numFmt w:val="bullet"/>
      <w:start w:val="1"/>
    </w:lvl>
  </w:abstractNum>
  <w:abstractNum w:abstractNumId="74">
    <w:nsid w:val="20CC134C"/>
    <w:multiLevelType w:val="hybridMultilevel"/>
    <w:lvl w:ilvl="0">
      <w:lvlJc w:val="left"/>
      <w:lvlText w:val="•"/>
      <w:numFmt w:val="bullet"/>
      <w:start w:val="1"/>
    </w:lvl>
  </w:abstractNum>
  <w:abstractNum w:abstractNumId="75">
    <w:nsid w:val="95FC93B"/>
    <w:multiLevelType w:val="hybridMultilevel"/>
    <w:lvl w:ilvl="0">
      <w:lvlJc w:val="left"/>
      <w:lvlText w:val="•"/>
      <w:numFmt w:val="bullet"/>
      <w:start w:val="1"/>
    </w:lvl>
  </w:abstractNum>
  <w:abstractNum w:abstractNumId="76">
    <w:nsid w:val="41D74679"/>
    <w:multiLevelType w:val="hybridMultilevel"/>
    <w:lvl w:ilvl="0">
      <w:lvlJc w:val="left"/>
      <w:lvlText w:val="•"/>
      <w:numFmt w:val="bullet"/>
      <w:start w:val="1"/>
    </w:lvl>
  </w:abstractNum>
  <w:abstractNum w:abstractNumId="77">
    <w:nsid w:val="71E5621E"/>
    <w:multiLevelType w:val="hybridMultilevel"/>
    <w:lvl w:ilvl="0">
      <w:lvlJc w:val="left"/>
      <w:lvlText w:val="•"/>
      <w:numFmt w:val="bullet"/>
      <w:start w:val="1"/>
    </w:lvl>
  </w:abstractNum>
  <w:abstractNum w:abstractNumId="78">
    <w:nsid w:val="4E42B6A8"/>
    <w:multiLevelType w:val="hybridMultilevel"/>
    <w:lvl w:ilvl="0">
      <w:lvlJc w:val="left"/>
      <w:lvlText w:val="(%1)"/>
      <w:numFmt w:val="lowerRoman"/>
      <w:start w:val="1"/>
    </w:lvl>
  </w:abstractNum>
  <w:abstractNum w:abstractNumId="79">
    <w:nsid w:val="43F8E1AC"/>
    <w:multiLevelType w:val="hybridMultilevel"/>
    <w:lvl w:ilvl="0">
      <w:lvlJc w:val="left"/>
      <w:lvlText w:val="(%1)"/>
      <w:numFmt w:val="decimal"/>
      <w:start w:val="1"/>
    </w:lvl>
  </w:abstractNum>
  <w:abstractNum w:abstractNumId="80">
    <w:nsid w:val="69215DFB"/>
    <w:multiLevelType w:val="hybridMultilevel"/>
    <w:lvl w:ilvl="0">
      <w:lvlJc w:val="left"/>
      <w:lvlText w:val="*"/>
      <w:numFmt w:val="bullet"/>
      <w:start w:val="1"/>
    </w:lvl>
  </w:abstractNum>
  <w:abstractNum w:abstractNumId="81">
    <w:nsid w:val="7ABF196A"/>
    <w:multiLevelType w:val="hybridMultilevel"/>
    <w:lvl w:ilvl="0">
      <w:lvlJc w:val="left"/>
      <w:lvlText w:val="(%1)"/>
      <w:numFmt w:val="decimal"/>
      <w:start w:val="1"/>
    </w:lvl>
  </w:abstractNum>
  <w:abstractNum w:abstractNumId="82">
    <w:nsid w:val="5E4DB968"/>
    <w:multiLevelType w:val="hybridMultilevel"/>
    <w:lvl w:ilvl="0">
      <w:lvlJc w:val="left"/>
      <w:lvlText w:val="(%1)"/>
      <w:numFmt w:val="lowerLetter"/>
      <w:start w:val="4"/>
    </w:lvl>
  </w:abstractNum>
  <w:abstractNum w:abstractNumId="83">
    <w:nsid w:val="2C06DCF3"/>
    <w:multiLevelType w:val="hybridMultilevel"/>
    <w:lvl w:ilvl="0">
      <w:lvlJc w:val="left"/>
      <w:lvlText w:val="(%1)"/>
      <w:numFmt w:val="lowerLetter"/>
      <w:start w:val="4"/>
    </w:lvl>
  </w:abstractNum>
  <w:abstractNum w:abstractNumId="84">
    <w:nsid w:val="2E129658"/>
    <w:multiLevelType w:val="hybridMultilevel"/>
    <w:lvl w:ilvl="0">
      <w:lvlJc w:val="left"/>
      <w:lvlText w:val="(%1)"/>
      <w:numFmt w:val="decimal"/>
      <w:start w:val="1"/>
    </w:lvl>
  </w:abstractNum>
  <w:abstractNum w:abstractNumId="85">
    <w:nsid w:val="59F0446"/>
    <w:multiLevelType w:val="hybridMultilevel"/>
    <w:lvl w:ilvl="0">
      <w:lvlJc w:val="left"/>
      <w:lvlText w:val="(%1)"/>
      <w:numFmt w:val="decimal"/>
      <w:start w:val="2"/>
    </w:lvl>
  </w:abstractNum>
  <w:abstractNum w:abstractNumId="86">
    <w:nsid w:val="30DF306"/>
    <w:multiLevelType w:val="hybridMultilevel"/>
    <w:lvl w:ilvl="0">
      <w:lvlJc w:val="left"/>
      <w:lvlText w:val="•"/>
      <w:numFmt w:val="bullet"/>
      <w:start w:val="1"/>
    </w:lvl>
  </w:abstractNum>
  <w:abstractNum w:abstractNumId="87">
    <w:nsid w:val="A65647"/>
    <w:multiLevelType w:val="hybridMultilevel"/>
    <w:lvl w:ilvl="0">
      <w:lvlJc w:val="left"/>
      <w:lvlText w:val="•"/>
      <w:numFmt w:val="bullet"/>
      <w:start w:val="1"/>
    </w:lvl>
  </w:abstractNum>
  <w:abstractNum w:abstractNumId="88">
    <w:nsid w:val="3E5E582B"/>
    <w:multiLevelType w:val="hybridMultilevel"/>
    <w:lvl w:ilvl="0">
      <w:lvlJc w:val="left"/>
      <w:lvlText w:val="•"/>
      <w:numFmt w:val="bullet"/>
      <w:start w:val="1"/>
    </w:lvl>
  </w:abstractNum>
  <w:abstractNum w:abstractNumId="89">
    <w:nsid w:val="257D4626"/>
    <w:multiLevelType w:val="hybridMultilevel"/>
    <w:lvl w:ilvl="0">
      <w:lvlJc w:val="left"/>
      <w:lvlText w:val="•"/>
      <w:numFmt w:val="bullet"/>
      <w:start w:val="1"/>
    </w:lvl>
  </w:abstractNum>
  <w:abstractNum w:abstractNumId="90">
    <w:nsid w:val="5AA8580E"/>
    <w:multiLevelType w:val="hybridMultilevel"/>
    <w:lvl w:ilvl="0">
      <w:lvlJc w:val="left"/>
      <w:lvlText w:val="•"/>
      <w:numFmt w:val="bullet"/>
      <w:start w:val="1"/>
    </w:lvl>
  </w:abstractNum>
  <w:abstractNum w:abstractNumId="91">
    <w:nsid w:val="68FA8D0D"/>
    <w:multiLevelType w:val="hybridMultilevel"/>
    <w:lvl w:ilvl="0">
      <w:lvlJc w:val="left"/>
      <w:lvlText w:val="•"/>
      <w:numFmt w:val="bullet"/>
      <w:start w:val="1"/>
    </w:lvl>
  </w:abstractNum>
  <w:abstractNum w:abstractNumId="92">
    <w:nsid w:val="40F2CBD2"/>
    <w:multiLevelType w:val="hybridMultilevel"/>
    <w:lvl w:ilvl="0">
      <w:lvlJc w:val="left"/>
      <w:lvlText w:val="•"/>
      <w:numFmt w:val="bullet"/>
      <w:start w:val="1"/>
    </w:lvl>
  </w:abstractNum>
  <w:abstractNum w:abstractNumId="93">
    <w:nsid w:val="3BD615EB"/>
    <w:multiLevelType w:val="hybridMultilevel"/>
    <w:lvl w:ilvl="0">
      <w:lvlJc w:val="left"/>
      <w:lvlText w:val="•"/>
      <w:numFmt w:val="bullet"/>
      <w:start w:val="1"/>
    </w:lvl>
  </w:abstractNum>
  <w:abstractNum w:abstractNumId="94">
    <w:nsid w:val="A045AB2"/>
    <w:multiLevelType w:val="hybridMultilevel"/>
    <w:lvl w:ilvl="0">
      <w:lvlJc w:val="left"/>
      <w:lvlText w:val="•"/>
      <w:numFmt w:val="bullet"/>
      <w:start w:val="1"/>
    </w:lvl>
  </w:abstractNum>
  <w:abstractNum w:abstractNumId="95">
    <w:nsid w:val="1872261F"/>
    <w:multiLevelType w:val="hybridMultilevel"/>
    <w:lvl w:ilvl="0">
      <w:lvlJc w:val="left"/>
      <w:lvlText w:val="•"/>
      <w:numFmt w:val="bullet"/>
      <w:start w:val="1"/>
    </w:lvl>
  </w:abstractNum>
  <w:abstractNum w:abstractNumId="96">
    <w:nsid w:val="3DE8306C"/>
    <w:multiLevelType w:val="hybridMultilevel"/>
    <w:lvl w:ilvl="0">
      <w:lvlJc w:val="left"/>
      <w:lvlText w:val="•"/>
      <w:numFmt w:val="bullet"/>
      <w:start w:val="1"/>
    </w:lvl>
  </w:abstractNum>
  <w:abstractNum w:abstractNumId="97">
    <w:nsid w:val="7631573A"/>
    <w:multiLevelType w:val="hybridMultilevel"/>
    <w:lvl w:ilvl="0">
      <w:lvlJc w:val="left"/>
      <w:lvlText w:val="•"/>
      <w:numFmt w:val="bullet"/>
      <w:start w:val="1"/>
    </w:lvl>
  </w:abstractNum>
  <w:abstractNum w:abstractNumId="98">
    <w:nsid w:val="58DF53B"/>
    <w:multiLevelType w:val="hybridMultilevel"/>
    <w:lvl w:ilvl="0">
      <w:lvlJc w:val="left"/>
      <w:lvlText w:val="•"/>
      <w:numFmt w:val="bullet"/>
      <w:start w:val="1"/>
    </w:lvl>
  </w:abstractNum>
  <w:abstractNum w:abstractNumId="99">
    <w:nsid w:val="ACDFAC0"/>
    <w:multiLevelType w:val="hybridMultilevel"/>
    <w:lvl w:ilvl="0">
      <w:lvlJc w:val="left"/>
      <w:lvlText w:val="•"/>
      <w:numFmt w:val="bullet"/>
      <w:start w:val="1"/>
    </w:lvl>
  </w:abstractNum>
  <w:abstractNum w:abstractNumId="100">
    <w:nsid w:val="1F578454"/>
    <w:multiLevelType w:val="hybridMultilevel"/>
    <w:lvl w:ilvl="0">
      <w:lvlJc w:val="left"/>
      <w:lvlText w:val="(%1)"/>
      <w:numFmt w:val="lowerRoman"/>
      <w:start w:val="1"/>
    </w:lvl>
  </w:abstractNum>
  <w:abstractNum w:abstractNumId="101">
    <w:nsid w:val="5B0DAD2A"/>
    <w:multiLevelType w:val="hybridMultilevel"/>
    <w:lvl w:ilvl="0">
      <w:lvlJc w:val="left"/>
      <w:lvlText w:val="•"/>
      <w:numFmt w:val="bullet"/>
      <w:start w:val="1"/>
    </w:lvl>
  </w:abstractNum>
  <w:abstractNum w:abstractNumId="102">
    <w:nsid w:val="4E3D26AB"/>
    <w:multiLevelType w:val="hybridMultilevel"/>
    <w:lvl w:ilvl="0">
      <w:lvlJc w:val="left"/>
      <w:lvlText w:val="•"/>
      <w:numFmt w:val="bullet"/>
      <w:start w:val="1"/>
    </w:lvl>
  </w:abstractNum>
  <w:abstractNum w:abstractNumId="103">
    <w:nsid w:val="BE2C8BA"/>
    <w:multiLevelType w:val="hybridMultilevel"/>
    <w:lvl w:ilvl="0">
      <w:lvlJc w:val="left"/>
      <w:lvlText w:val="(%1)"/>
      <w:numFmt w:val="decimal"/>
      <w:start w:val="1"/>
    </w:lvl>
  </w:abstractNum>
  <w:abstractNum w:abstractNumId="104">
    <w:nsid w:val="7B14914E"/>
    <w:multiLevelType w:val="hybridMultilevel"/>
    <w:lvl w:ilvl="0">
      <w:lvlJc w:val="left"/>
      <w:lvlText w:val="(%1)"/>
      <w:numFmt w:val="decimal"/>
      <w:start w:val="1"/>
    </w:lvl>
  </w:abstractNum>
  <w:abstractNum w:abstractNumId="105">
    <w:nsid w:val="6F0939F8"/>
    <w:multiLevelType w:val="hybridMultilevel"/>
    <w:lvl w:ilvl="0">
      <w:lvlJc w:val="left"/>
      <w:lvlText w:val="(%1)"/>
      <w:numFmt w:val="decimal"/>
      <w:start w:val="1"/>
    </w:lvl>
  </w:abstractNum>
  <w:abstractNum w:abstractNumId="106">
    <w:nsid w:val="154291F6"/>
    <w:multiLevelType w:val="hybridMultilevel"/>
    <w:lvl w:ilvl="0">
      <w:lvlJc w:val="left"/>
      <w:lvlText w:val="(%1)"/>
      <w:numFmt w:val="decimal"/>
      <w:start w:val="1"/>
    </w:lvl>
  </w:abstractNum>
  <w:abstractNum w:abstractNumId="107">
    <w:nsid w:val="3CEBD7C7"/>
    <w:multiLevelType w:val="hybridMultilevel"/>
    <w:lvl w:ilvl="0">
      <w:lvlJc w:val="left"/>
      <w:lvlText w:val="•"/>
      <w:numFmt w:val="bullet"/>
      <w:start w:val="1"/>
    </w:lvl>
  </w:abstractNum>
  <w:abstractNum w:abstractNumId="108">
    <w:nsid w:val="60EE9C16"/>
    <w:multiLevelType w:val="hybridMultilevel"/>
    <w:lvl w:ilvl="0">
      <w:lvlJc w:val="left"/>
      <w:lvlText w:val=" "/>
      <w:numFmt w:val="bullet"/>
      <w:start w:val="1"/>
    </w:lvl>
  </w:abstractNum>
  <w:abstractNum w:abstractNumId="109">
    <w:nsid w:val="6385489E"/>
    <w:multiLevelType w:val="hybridMultilevel"/>
    <w:lvl w:ilvl="0">
      <w:lvlJc w:val="left"/>
      <w:lvlText w:val=" "/>
      <w:numFmt w:val="bullet"/>
      <w:start w:val="1"/>
    </w:lvl>
  </w:abstractNum>
  <w:abstractNum w:abstractNumId="110">
    <w:nsid w:val="E4B973"/>
    <w:multiLevelType w:val="hybridMultilevel"/>
    <w:lvl w:ilvl="0">
      <w:lvlJc w:val="left"/>
      <w:lvlText w:val="%1"/>
      <w:numFmt w:val="decimal"/>
      <w:start w:val="104"/>
    </w:lvl>
  </w:abstractNum>
  <w:abstractNum w:abstractNumId="111">
    <w:nsid w:val="4A0FFA11"/>
    <w:multiLevelType w:val="hybridMultilevel"/>
    <w:lvl w:ilvl="0">
      <w:lvlJc w:val="left"/>
      <w:lvlText w:val="**"/>
      <w:numFmt w:val="bullet"/>
      <w:start w:val="1"/>
    </w:lvl>
  </w:abstractNum>
  <w:abstractNum w:abstractNumId="112">
    <w:nsid w:val="5E446208"/>
    <w:multiLevelType w:val="hybridMultilevel"/>
    <w:lvl w:ilvl="0">
      <w:lvlJc w:val="left"/>
      <w:lvlText w:val="%1."/>
      <w:numFmt w:val="decimal"/>
      <w:start w:val="1"/>
    </w:lvl>
    <w:lvl w:ilvl="1">
      <w:lvlJc w:val="left"/>
      <w:lvlText w:val="(%2)"/>
      <w:numFmt w:val="lowerLetter"/>
      <w:start w:val="1"/>
    </w:lvl>
  </w:abstractNum>
  <w:abstractNum w:abstractNumId="113">
    <w:nsid w:val="5F3272DB"/>
    <w:multiLevelType w:val="hybridMultilevel"/>
    <w:lvl w:ilvl="0">
      <w:lvlJc w:val="left"/>
      <w:lvlText w:val="%1."/>
      <w:numFmt w:val="decimal"/>
      <w:start w:val="1"/>
    </w:lvl>
    <w:lvl w:ilvl="1">
      <w:lvlJc w:val="left"/>
      <w:lvlText w:val="(%2)"/>
      <w:numFmt w:val="lowerLetter"/>
      <w:start w:val="2"/>
    </w:lvl>
  </w:abstractNum>
  <w:abstractNum w:abstractNumId="114">
    <w:nsid w:val="7616D704"/>
    <w:multiLevelType w:val="hybridMultilevel"/>
    <w:lvl w:ilvl="0">
      <w:lvlJc w:val="left"/>
      <w:lvlText w:val="%1"/>
      <w:numFmt w:val="decimal"/>
      <w:start w:val="1"/>
    </w:lvl>
    <w:lvl w:ilvl="1">
      <w:lvlJc w:val="left"/>
      <w:lvlText w:val="(%2)"/>
      <w:numFmt w:val="lowerLetter"/>
      <w:start w:val="1"/>
    </w:lvl>
  </w:abstractNum>
  <w:abstractNum w:abstractNumId="115">
    <w:nsid w:val="C56F860"/>
    <w:multiLevelType w:val="hybridMultilevel"/>
    <w:lvl w:ilvl="0">
      <w:lvlJc w:val="left"/>
      <w:lvlText w:val="%1."/>
      <w:numFmt w:val="decimal"/>
      <w:start w:val="2"/>
    </w:lvl>
    <w:lvl w:ilvl="1">
      <w:lvlJc w:val="left"/>
      <w:lvlText w:val="(%2)"/>
      <w:numFmt w:val="lowerLetter"/>
      <w:start w:val="5"/>
    </w:lvl>
  </w:abstractNum>
  <w:abstractNum w:abstractNumId="116">
    <w:nsid w:val="64D17722"/>
    <w:multiLevelType w:val="hybridMultilevel"/>
    <w:lvl w:ilvl="0">
      <w:lvlJc w:val="left"/>
      <w:lvlText w:val="%1."/>
      <w:numFmt w:val="decimal"/>
      <w:start w:val="2"/>
    </w:lvl>
    <w:lvl w:ilvl="1">
      <w:lvlJc w:val="left"/>
      <w:lvlText w:val="(%2)"/>
      <w:numFmt w:val="lowerLetter"/>
      <w:start w:val="9"/>
    </w:lvl>
  </w:abstractNum>
  <w:abstractNum w:abstractNumId="117">
    <w:nsid w:val="7924CA0A"/>
    <w:multiLevelType w:val="hybridMultilevel"/>
    <w:lvl w:ilvl="0">
      <w:lvlJc w:val="left"/>
      <w:lvlText w:val="%1."/>
      <w:numFmt w:val="decimal"/>
      <w:start w:val="2"/>
    </w:lvl>
    <w:lvl w:ilvl="1">
      <w:lvlJc w:val="left"/>
      <w:lvlText w:val="(%2)"/>
      <w:numFmt w:val="lowerLetter"/>
      <w:start w:val="11"/>
    </w:lvl>
  </w:abstractNum>
  <w:abstractNum w:abstractNumId="118">
    <w:nsid w:val="CFD4EA7"/>
    <w:multiLevelType w:val="hybridMultilevel"/>
    <w:lvl w:ilvl="0">
      <w:lvlJc w:val="left"/>
      <w:lvlText w:val="%1."/>
      <w:numFmt w:val="decimal"/>
      <w:start w:val="2"/>
    </w:lvl>
    <w:lvl w:ilvl="1">
      <w:lvlJc w:val="left"/>
      <w:lvlText w:val="(%2)"/>
      <w:numFmt w:val="lowerLetter"/>
      <w:start w:val="12"/>
    </w:lvl>
  </w:abstractNum>
  <w:abstractNum w:abstractNumId="119">
    <w:nsid w:val="232FCF4D"/>
    <w:multiLevelType w:val="hybridMultilevel"/>
    <w:lvl w:ilvl="0">
      <w:lvlJc w:val="left"/>
      <w:lvlText w:val="%1."/>
      <w:numFmt w:val="decimal"/>
      <w:start w:val="2"/>
    </w:lvl>
    <w:lvl w:ilvl="1">
      <w:lvlJc w:val="left"/>
      <w:lvlText w:val="(%2)"/>
      <w:numFmt w:val="lowerLetter"/>
      <w:start w:val="14"/>
    </w:lvl>
  </w:abstractNum>
  <w:abstractNum w:abstractNumId="120">
    <w:nsid w:val="1EA21031"/>
    <w:multiLevelType w:val="hybridMultilevel"/>
    <w:lvl w:ilvl="0">
      <w:lvlJc w:val="left"/>
      <w:lvlText w:val="%1."/>
      <w:numFmt w:val="decimal"/>
      <w:start w:val="2"/>
    </w:lvl>
    <w:lvl w:ilvl="1">
      <w:lvlJc w:val="left"/>
      <w:lvlText w:val="(%2)"/>
      <w:numFmt w:val="lowerLetter"/>
      <w:start w:val="17"/>
    </w:lvl>
  </w:abstractNum>
  <w:abstractNum w:abstractNumId="121">
    <w:nsid w:val="67A5A6B5"/>
    <w:multiLevelType w:val="hybridMultilevel"/>
    <w:lvl w:ilvl="0">
      <w:lvlJc w:val="left"/>
      <w:lvlText w:val="%1."/>
      <w:numFmt w:val="decimal"/>
      <w:start w:val="2"/>
    </w:lvl>
    <w:lvl w:ilvl="1">
      <w:lvlJc w:val="left"/>
      <w:lvlText w:val="(%2)"/>
      <w:numFmt w:val="lowerLetter"/>
      <w:start w:val="17"/>
    </w:lvl>
  </w:abstractNum>
  <w:abstractNum w:abstractNumId="122">
    <w:nsid w:val="C2A5C5B"/>
    <w:multiLevelType w:val="hybridMultilevel"/>
    <w:lvl w:ilvl="0">
      <w:lvlJc w:val="left"/>
      <w:lvlText w:val="(%1)"/>
      <w:numFmt w:val="lowerLetter"/>
      <w:start w:val="18"/>
    </w:lvl>
  </w:abstractNum>
  <w:abstractNum w:abstractNumId="123">
    <w:nsid w:val="5F94DC03"/>
    <w:multiLevelType w:val="hybridMultilevel"/>
    <w:lvl w:ilvl="0">
      <w:lvlJc w:val="left"/>
      <w:lvlText w:val="%1."/>
      <w:numFmt w:val="decimal"/>
      <w:start w:val="2"/>
    </w:lvl>
    <w:lvl w:ilvl="1">
      <w:lvlJc w:val="left"/>
      <w:lvlText w:val="(%2)"/>
      <w:numFmt w:val="lowerLetter"/>
      <w:start w:val="18"/>
    </w:lvl>
  </w:abstractNum>
  <w:abstractNum w:abstractNumId="124">
    <w:nsid w:val="237BBCA0"/>
    <w:multiLevelType w:val="hybridMultilevel"/>
    <w:lvl w:ilvl="0">
      <w:lvlJc w:val="left"/>
      <w:lvlText w:val="%1."/>
      <w:numFmt w:val="decimal"/>
      <w:start w:val="2"/>
    </w:lvl>
    <w:lvl w:ilvl="1">
      <w:lvlJc w:val="left"/>
      <w:lvlText w:val="(%2)"/>
      <w:numFmt w:val="lowerLetter"/>
      <w:start w:val="24"/>
    </w:lvl>
  </w:abstractNum>
  <w:abstractNum w:abstractNumId="125">
    <w:nsid w:val="162EB70D"/>
    <w:multiLevelType w:val="hybridMultilevel"/>
    <w:lvl w:ilvl="0">
      <w:lvlJc w:val="left"/>
      <w:lvlText w:val="(%1)"/>
      <w:numFmt w:val="lowerLetter"/>
      <w:start w:val="27"/>
    </w:lvl>
  </w:abstractNum>
  <w:abstractNum w:abstractNumId="126">
    <w:nsid w:val="78070222"/>
    <w:multiLevelType w:val="hybridMultilevel"/>
    <w:lvl w:ilvl="0">
      <w:lvlJc w:val="left"/>
      <w:lvlText w:val="%1."/>
      <w:numFmt w:val="decimal"/>
      <w:start w:val="2"/>
    </w:lvl>
    <w:lvl w:ilvl="1">
      <w:lvlJc w:val="left"/>
      <w:lvlText w:val="(%2)"/>
      <w:numFmt w:val="lowerLetter"/>
      <w:start w:val="27"/>
    </w:lvl>
  </w:abstractNum>
  <w:abstractNum w:abstractNumId="127">
    <w:nsid w:val="6163ED0D"/>
    <w:multiLevelType w:val="hybridMultilevel"/>
    <w:lvl w:ilvl="0">
      <w:lvlJc w:val="left"/>
      <w:lvlText w:val="%1."/>
      <w:numFmt w:val="decimal"/>
      <w:start w:val="3"/>
    </w:lvl>
  </w:abstractNum>
  <w:abstractNum w:abstractNumId="128">
    <w:nsid w:val="C600E47"/>
    <w:multiLevelType w:val="hybridMultilevel"/>
    <w:lvl w:ilvl="0">
      <w:lvlJc w:val="left"/>
      <w:lvlText w:val="(%1)"/>
      <w:numFmt w:val="decimal"/>
      <w:start w:val="1"/>
    </w:lvl>
  </w:abstractNum>
  <w:abstractNum w:abstractNumId="129">
    <w:nsid w:val="7D94F75D"/>
    <w:multiLevelType w:val="hybridMultilevel"/>
    <w:lvl w:ilvl="0">
      <w:lvlJc w:val="left"/>
      <w:lvlText w:val="%1."/>
      <w:numFmt w:val="decimal"/>
      <w:start w:val="4"/>
    </w:lvl>
  </w:abstractNum>
  <w:abstractNum w:abstractNumId="130">
    <w:nsid w:val="6C31E7CD"/>
    <w:multiLevelType w:val="hybridMultilevel"/>
    <w:lvl w:ilvl="0">
      <w:lvlJc w:val="left"/>
      <w:lvlText w:val="(%1)"/>
      <w:numFmt w:val="decimal"/>
      <w:start w:val="1"/>
    </w:lvl>
  </w:abstractNum>
  <w:abstractNum w:abstractNumId="131">
    <w:nsid w:val="2BB7929B"/>
    <w:multiLevelType w:val="hybridMultilevel"/>
    <w:lvl w:ilvl="0">
      <w:lvlJc w:val="left"/>
      <w:lvlText w:val="%1."/>
      <w:numFmt w:val="decimal"/>
      <w:start w:val="5"/>
    </w:lvl>
  </w:abstractNum>
  <w:abstractNum w:abstractNumId="132">
    <w:nsid w:val="58A2A487"/>
    <w:multiLevelType w:val="hybridMultilevel"/>
    <w:lvl w:ilvl="0">
      <w:lvlJc w:val="left"/>
      <w:lvlText w:val="%1."/>
      <w:numFmt w:val="decimal"/>
      <w:start w:val="5"/>
    </w:lvl>
  </w:abstractNum>
  <w:abstractNum w:abstractNumId="133">
    <w:nsid w:val="3A6F0E78"/>
    <w:multiLevelType w:val="hybridMultilevel"/>
    <w:lvl w:ilvl="0">
      <w:lvlJc w:val="left"/>
      <w:lvlText w:val="%1."/>
      <w:numFmt w:val="decimal"/>
      <w:start w:val="6"/>
    </w:lvl>
  </w:abstractNum>
  <w:abstractNum w:abstractNumId="134">
    <w:nsid w:val="379A5B56"/>
    <w:multiLevelType w:val="hybridMultilevel"/>
    <w:lvl w:ilvl="0">
      <w:lvlJc w:val="left"/>
      <w:lvlText w:val="%1."/>
      <w:numFmt w:val="decimal"/>
      <w:start w:val="7"/>
    </w:lvl>
    <w:lvl w:ilvl="1">
      <w:lvlJc w:val="left"/>
      <w:lvlText w:val="(%2)"/>
      <w:numFmt w:val="lowerLetter"/>
      <w:start w:val="1"/>
    </w:lvl>
  </w:abstractNum>
  <w:abstractNum w:abstractNumId="135">
    <w:nsid w:val="53B735D5"/>
    <w:multiLevelType w:val="hybridMultilevel"/>
    <w:lvl w:ilvl="0">
      <w:lvlJc w:val="left"/>
      <w:lvlText w:val="(%1)"/>
      <w:numFmt w:val="decimal"/>
      <w:start w:val="1"/>
    </w:lvl>
  </w:abstractNum>
  <w:abstractNum w:abstractNumId="136">
    <w:nsid w:val="29784870"/>
    <w:multiLevelType w:val="hybridMultilevel"/>
    <w:lvl w:ilvl="0">
      <w:lvlJc w:val="left"/>
      <w:lvlText w:val="%1."/>
      <w:numFmt w:val="decimal"/>
      <w:start w:val="7"/>
    </w:lvl>
    <w:lvl w:ilvl="1">
      <w:lvlJc w:val="left"/>
      <w:lvlText w:val="(%2)"/>
      <w:numFmt w:val="lowerLetter"/>
      <w:start w:val="2"/>
    </w:lvl>
  </w:abstractNum>
  <w:abstractNum w:abstractNumId="137">
    <w:nsid w:val="4CDCED4C"/>
    <w:multiLevelType w:val="hybridMultilevel"/>
    <w:lvl w:ilvl="0">
      <w:lvlJc w:val="left"/>
      <w:lvlText w:val="%1."/>
      <w:numFmt w:val="decimal"/>
      <w:start w:val="7"/>
    </w:lvl>
    <w:lvl w:ilvl="1">
      <w:lvlJc w:val="left"/>
      <w:lvlText w:val="(%2)"/>
      <w:numFmt w:val="lowerLetter"/>
      <w:start w:val="2"/>
    </w:lvl>
  </w:abstractNum>
  <w:abstractNum w:abstractNumId="138">
    <w:nsid w:val="10A30D9C"/>
    <w:multiLevelType w:val="hybridMultilevel"/>
    <w:lvl w:ilvl="0">
      <w:lvlJc w:val="left"/>
      <w:lvlText w:val="%1."/>
      <w:numFmt w:val="decimal"/>
      <w:start w:val="7"/>
    </w:lvl>
    <w:lvl w:ilvl="1">
      <w:lvlJc w:val="left"/>
      <w:lvlText w:val="(%2)"/>
      <w:numFmt w:val="lowerLetter"/>
      <w:start w:val="2"/>
    </w:lvl>
  </w:abstractNum>
  <w:abstractNum w:abstractNumId="139">
    <w:nsid w:val="A66E486"/>
    <w:multiLevelType w:val="hybridMultilevel"/>
    <w:lvl w:ilvl="0">
      <w:lvlJc w:val="left"/>
      <w:lvlText w:val="%1."/>
      <w:numFmt w:val="decimal"/>
      <w:start w:val="7"/>
    </w:lvl>
    <w:lvl w:ilvl="1">
      <w:lvlJc w:val="left"/>
      <w:lvlText w:val="(%2)"/>
      <w:numFmt w:val="lowerLetter"/>
      <w:start w:val="2"/>
    </w:lvl>
  </w:abstractNum>
  <w:abstractNum w:abstractNumId="140">
    <w:nsid w:val="306235EA"/>
    <w:multiLevelType w:val="hybridMultilevel"/>
    <w:lvl w:ilvl="0">
      <w:lvlJc w:val="left"/>
      <w:lvlText w:val="(%1)"/>
      <w:numFmt w:val="decimal"/>
      <w:start w:val="1"/>
    </w:lvl>
  </w:abstractNum>
  <w:abstractNum w:abstractNumId="141">
    <w:nsid w:val="1187C70F"/>
    <w:multiLevelType w:val="hybridMultilevel"/>
    <w:lvl w:ilvl="0">
      <w:lvlJc w:val="left"/>
      <w:lvlText w:val="%1."/>
      <w:numFmt w:val="decimal"/>
      <w:start w:val="10"/>
    </w:lvl>
  </w:abstractNum>
  <w:abstractNum w:abstractNumId="142">
    <w:nsid w:val="5476DE98"/>
    <w:multiLevelType w:val="hybridMultilevel"/>
    <w:lvl w:ilvl="0">
      <w:lvlJc w:val="left"/>
      <w:lvlText w:val="(%1)"/>
      <w:numFmt w:val="decimal"/>
      <w:start w:val="1"/>
    </w:lvl>
  </w:abstractNum>
  <w:abstractNum w:abstractNumId="143">
    <w:nsid w:val="EA697F2"/>
    <w:multiLevelType w:val="hybridMultilevel"/>
    <w:lvl w:ilvl="0">
      <w:lvlJc w:val="left"/>
      <w:lvlText w:val="%1."/>
      <w:numFmt w:val="decimal"/>
      <w:start w:val="11"/>
    </w:lvl>
  </w:abstractNum>
  <w:abstractNum w:abstractNumId="144">
    <w:nsid w:val="70BA39EB"/>
    <w:multiLevelType w:val="hybridMultilevel"/>
    <w:lvl w:ilvl="0">
      <w:lvlJc w:val="left"/>
      <w:lvlText w:val="(%1)"/>
      <w:numFmt w:val="decimal"/>
      <w:start w:val="1"/>
    </w:lvl>
    <w:lvl w:ilvl="1">
      <w:lvlJc w:val="left"/>
      <w:lvlText w:val="(%2)"/>
      <w:numFmt w:val="lowerLetter"/>
      <w:start w:val="1"/>
    </w:lvl>
  </w:abstractNum>
  <w:abstractNum w:abstractNumId="145">
    <w:nsid w:val="4A8DB59C"/>
    <w:multiLevelType w:val="hybridMultilevel"/>
    <w:lvl w:ilvl="0">
      <w:lvlJc w:val="left"/>
      <w:lvlText w:val="%1."/>
      <w:numFmt w:val="decimal"/>
      <w:start w:val="11"/>
    </w:lvl>
  </w:abstractNum>
  <w:abstractNum w:abstractNumId="146">
    <w:nsid w:val="1AFD9053"/>
    <w:multiLevelType w:val="hybridMultilevel"/>
    <w:lvl w:ilvl="0">
      <w:lvlJc w:val="left"/>
      <w:lvlText w:val="%1."/>
      <w:numFmt w:val="decimal"/>
      <w:start w:val="11"/>
    </w:lvl>
  </w:abstractNum>
  <w:abstractNum w:abstractNumId="147">
    <w:nsid w:val="558BB10D"/>
    <w:multiLevelType w:val="hybridMultilevel"/>
    <w:lvl w:ilvl="0">
      <w:lvlJc w:val="left"/>
      <w:lvlText w:val="%1."/>
      <w:numFmt w:val="decimal"/>
      <w:start w:val="11"/>
    </w:lvl>
  </w:abstractNum>
  <w:abstractNum w:abstractNumId="148">
    <w:nsid w:val="43B27FA7"/>
    <w:multiLevelType w:val="hybridMultilevel"/>
    <w:lvl w:ilvl="0">
      <w:lvlJc w:val="left"/>
      <w:lvlText w:val="%1."/>
      <w:numFmt w:val="decimal"/>
      <w:start w:val="11"/>
    </w:lvl>
  </w:abstractNum>
  <w:abstractNum w:abstractNumId="149">
    <w:nsid w:val="27FADEFA"/>
    <w:multiLevelType w:val="hybridMultilevel"/>
    <w:lvl w:ilvl="0">
      <w:lvlJc w:val="left"/>
      <w:lvlText w:val="%1."/>
      <w:numFmt w:val="decimal"/>
      <w:start w:val="11"/>
    </w:lvl>
  </w:abstractNum>
  <w:abstractNum w:abstractNumId="150">
    <w:nsid w:val="78BB805A"/>
    <w:multiLevelType w:val="hybridMultilevel"/>
    <w:lvl w:ilvl="0">
      <w:lvlJc w:val="left"/>
      <w:lvlText w:val="(%1)"/>
      <w:numFmt w:val="lowerRoman"/>
      <w:start w:val="8"/>
    </w:lvl>
  </w:abstractNum>
  <w:abstractNum w:abstractNumId="151">
    <w:nsid w:val="62548FD8"/>
    <w:multiLevelType w:val="hybridMultilevel"/>
    <w:lvl w:ilvl="0">
      <w:lvlJc w:val="left"/>
      <w:lvlText w:val="%1."/>
      <w:numFmt w:val="decimal"/>
      <w:start w:val="11"/>
    </w:lvl>
  </w:abstractNum>
  <w:abstractNum w:abstractNumId="152">
    <w:nsid w:val="FA085B0"/>
    <w:multiLevelType w:val="hybridMultilevel"/>
    <w:lvl w:ilvl="0">
      <w:lvlJc w:val="left"/>
      <w:lvlText w:val="%1."/>
      <w:numFmt w:val="decimal"/>
      <w:start w:val="11"/>
    </w:lvl>
  </w:abstractNum>
  <w:abstractNum w:abstractNumId="153">
    <w:nsid w:val="4E5DCB5"/>
    <w:multiLevelType w:val="hybridMultilevel"/>
    <w:lvl w:ilvl="0">
      <w:lvlJc w:val="left"/>
      <w:lvlText w:val="(%1)"/>
      <w:numFmt w:val="lowerRoman"/>
      <w:start w:val="8"/>
    </w:lvl>
  </w:abstractNum>
  <w:abstractNum w:abstractNumId="154">
    <w:nsid w:val="41E96BDB"/>
    <w:multiLevelType w:val="hybridMultilevel"/>
    <w:lvl w:ilvl="0">
      <w:lvlJc w:val="left"/>
      <w:lvlText w:val="%1."/>
      <w:numFmt w:val="decimal"/>
      <w:start w:val="11"/>
    </w:lvl>
  </w:abstractNum>
  <w:abstractNum w:abstractNumId="155">
    <w:nsid w:val="331C4250"/>
    <w:multiLevelType w:val="hybridMultilevel"/>
    <w:lvl w:ilvl="0">
      <w:lvlJc w:val="left"/>
      <w:lvlText w:val="%1."/>
      <w:numFmt w:val="decimal"/>
      <w:start w:val="11"/>
    </w:lvl>
  </w:abstractNum>
  <w:abstractNum w:abstractNumId="156">
    <w:nsid w:val="1B1493C2"/>
    <w:multiLevelType w:val="hybridMultilevel"/>
    <w:lvl w:ilvl="0">
      <w:lvlJc w:val="left"/>
      <w:lvlText w:val="(%1)"/>
      <w:numFmt w:val="lowerRoman"/>
      <w:start w:val="1"/>
    </w:lvl>
  </w:abstractNum>
  <w:abstractNum w:abstractNumId="157">
    <w:nsid w:val="39F06DFD"/>
    <w:multiLevelType w:val="hybridMultilevel"/>
    <w:lvl w:ilvl="0">
      <w:lvlJc w:val="left"/>
      <w:lvlText w:val="(%1)"/>
      <w:numFmt w:val="lowerRoman"/>
      <w:start w:val="4"/>
    </w:lvl>
  </w:abstractNum>
  <w:abstractNum w:abstractNumId="158">
    <w:nsid w:val="14802F5D"/>
    <w:multiLevelType w:val="hybridMultilevel"/>
    <w:lvl w:ilvl="0">
      <w:lvlJc w:val="left"/>
      <w:lvlText w:val="%1."/>
      <w:numFmt w:val="decimal"/>
      <w:start w:val="11"/>
    </w:lvl>
  </w:abstractNum>
  <w:abstractNum w:abstractNumId="159">
    <w:nsid w:val="2774A209"/>
    <w:multiLevelType w:val="hybridMultilevel"/>
    <w:lvl w:ilvl="0">
      <w:lvlJc w:val="left"/>
      <w:lvlText w:val="%1."/>
      <w:numFmt w:val="decimal"/>
      <w:start w:val="11"/>
    </w:lvl>
  </w:abstractNum>
  <w:abstractNum w:abstractNumId="160">
    <w:nsid w:val="3785655A"/>
    <w:multiLevelType w:val="hybridMultilevel"/>
    <w:lvl w:ilvl="0">
      <w:lvlJc w:val="left"/>
      <w:lvlText w:val="(%1)"/>
      <w:numFmt w:val="lowerRoman"/>
      <w:start w:val="4"/>
    </w:lvl>
  </w:abstractNum>
  <w:abstractNum w:abstractNumId="161">
    <w:nsid w:val="B2172A"/>
    <w:multiLevelType w:val="hybridMultilevel"/>
    <w:lvl w:ilvl="0">
      <w:lvlJc w:val="left"/>
      <w:lvlText w:val="%1."/>
      <w:numFmt w:val="decimal"/>
      <w:start w:val="11"/>
    </w:lvl>
  </w:abstractNum>
  <w:abstractNum w:abstractNumId="162">
    <w:nsid w:val="532C34A5"/>
    <w:multiLevelType w:val="hybridMultilevel"/>
    <w:lvl w:ilvl="0">
      <w:lvlJc w:val="left"/>
      <w:lvlText w:val="%1."/>
      <w:numFmt w:val="decimal"/>
      <w:start w:val="11"/>
    </w:lvl>
  </w:abstractNum>
  <w:abstractNum w:abstractNumId="163">
    <w:nsid w:val="102809E2"/>
    <w:multiLevelType w:val="hybridMultilevel"/>
    <w:lvl w:ilvl="0">
      <w:lvlJc w:val="left"/>
      <w:lvlText w:val="(%1)"/>
      <w:numFmt w:val="lowerRoman"/>
      <w:start w:val="9"/>
    </w:lvl>
  </w:abstractNum>
  <w:abstractNum w:abstractNumId="164">
    <w:nsid w:val="3B2125A3"/>
    <w:multiLevelType w:val="hybridMultilevel"/>
    <w:lvl w:ilvl="0">
      <w:lvlJc w:val="left"/>
      <w:lvlText w:val="%1."/>
      <w:numFmt w:val="decimal"/>
      <w:start w:val="11"/>
    </w:lvl>
  </w:abstractNum>
  <w:abstractNum w:abstractNumId="165">
    <w:nsid w:val="AC68FFB"/>
    <w:multiLevelType w:val="hybridMultilevel"/>
    <w:lvl w:ilvl="0">
      <w:lvlJc w:val="left"/>
      <w:lvlText w:val="%1."/>
      <w:numFmt w:val="decimal"/>
      <w:start w:val="12"/>
    </w:lvl>
  </w:abstractNum>
  <w:abstractNum w:abstractNumId="166">
    <w:nsid w:val="63DF3FB7"/>
    <w:multiLevelType w:val="hybridMultilevel"/>
    <w:lvl w:ilvl="0">
      <w:lvlJc w:val="left"/>
      <w:lvlText w:val="%1."/>
      <w:numFmt w:val="decimal"/>
      <w:start w:val="12"/>
    </w:lvl>
  </w:abstractNum>
  <w:abstractNum w:abstractNumId="167">
    <w:nsid w:val="64996E13"/>
    <w:multiLevelType w:val="hybridMultilevel"/>
    <w:lvl w:ilvl="0">
      <w:lvlJc w:val="left"/>
      <w:lvlText w:val="%1."/>
      <w:numFmt w:val="decimal"/>
      <w:start w:val="13"/>
    </w:lvl>
    <w:lvl w:ilvl="1">
      <w:lvlJc w:val="left"/>
      <w:lvlText w:val="•"/>
      <w:numFmt w:val="bullet"/>
      <w:start w:val="1"/>
    </w:lvl>
  </w:abstractNum>
  <w:abstractNum w:abstractNumId="168">
    <w:nsid w:val="57A37D47"/>
    <w:multiLevelType w:val="hybridMultilevel"/>
    <w:lvl w:ilvl="0">
      <w:lvlJc w:val="left"/>
      <w:lvlText w:val="%1."/>
      <w:numFmt w:val="decimal"/>
      <w:start w:val="14"/>
    </w:lvl>
  </w:abstractNum>
  <w:abstractNum w:abstractNumId="169">
    <w:nsid w:val="74824D54"/>
    <w:multiLevelType w:val="hybridMultilevel"/>
    <w:lvl w:ilvl="0">
      <w:lvlJc w:val="left"/>
      <w:lvlText w:val="%1."/>
      <w:numFmt w:val="decimal"/>
      <w:start w:val="14"/>
    </w:lvl>
  </w:abstractNum>
  <w:abstractNum w:abstractNumId="170">
    <w:nsid w:val="6F00529A"/>
    <w:multiLevelType w:val="hybridMultilevel"/>
    <w:lvl w:ilvl="0">
      <w:lvlJc w:val="left"/>
      <w:lvlText w:val="%1."/>
      <w:numFmt w:val="decimal"/>
      <w:start w:val="15"/>
    </w:lvl>
  </w:abstractNum>
  <w:abstractNum w:abstractNumId="171">
    <w:nsid w:val="805B331"/>
    <w:multiLevelType w:val="hybridMultilevel"/>
    <w:lvl w:ilvl="0">
      <w:lvlJc w:val="left"/>
      <w:lvlText w:val="%1."/>
      <w:numFmt w:val="decimal"/>
      <w:start w:val="15"/>
    </w:lvl>
  </w:abstractNum>
  <w:abstractNum w:abstractNumId="172">
    <w:nsid w:val="60A1463"/>
    <w:multiLevelType w:val="hybridMultilevel"/>
    <w:lvl w:ilvl="0">
      <w:lvlJc w:val="left"/>
      <w:lvlText w:val="%1."/>
      <w:numFmt w:val="decimal"/>
      <w:start w:val="15"/>
    </w:lvl>
  </w:abstractNum>
  <w:abstractNum w:abstractNumId="173">
    <w:nsid w:val="43773132"/>
    <w:multiLevelType w:val="hybridMultilevel"/>
    <w:lvl w:ilvl="0">
      <w:lvlJc w:val="left"/>
      <w:lvlText w:val="%1."/>
      <w:numFmt w:val="decimal"/>
      <w:start w:val="15"/>
    </w:lvl>
  </w:abstractNum>
  <w:abstractNum w:abstractNumId="174">
    <w:nsid w:val="16AC4B23"/>
    <w:multiLevelType w:val="hybridMultilevel"/>
    <w:lvl w:ilvl="0">
      <w:lvlJc w:val="left"/>
      <w:lvlText w:val="%1."/>
      <w:numFmt w:val="decimal"/>
      <w:start w:val="16"/>
    </w:lvl>
  </w:abstractNum>
  <w:abstractNum w:abstractNumId="175">
    <w:nsid w:val="76C44E4E"/>
    <w:multiLevelType w:val="hybridMultilevel"/>
    <w:lvl w:ilvl="0">
      <w:lvlJc w:val="left"/>
      <w:lvlText w:val="%1."/>
      <w:numFmt w:val="decimal"/>
      <w:start w:val="16"/>
    </w:lvl>
  </w:abstractNum>
  <w:abstractNum w:abstractNumId="176">
    <w:nsid w:val="E04E6CE"/>
    <w:multiLevelType w:val="hybridMultilevel"/>
    <w:lvl w:ilvl="0">
      <w:lvlJc w:val="left"/>
      <w:lvlText w:val="%1."/>
      <w:numFmt w:val="decimal"/>
      <w:start w:val="16"/>
    </w:lvl>
  </w:abstractNum>
  <w:abstractNum w:abstractNumId="177">
    <w:nsid w:val="31A9DB76"/>
    <w:multiLevelType w:val="hybridMultilevel"/>
    <w:lvl w:ilvl="0">
      <w:lvlJc w:val="left"/>
      <w:lvlText w:val="%1."/>
      <w:numFmt w:val="decimal"/>
      <w:start w:val="16"/>
    </w:lvl>
  </w:abstractNum>
  <w:abstractNum w:abstractNumId="178">
    <w:nsid w:val="4C4FFF5B"/>
    <w:multiLevelType w:val="hybridMultilevel"/>
    <w:lvl w:ilvl="0">
      <w:lvlJc w:val="left"/>
      <w:lvlText w:val="%1."/>
      <w:numFmt w:val="decimal"/>
      <w:start w:val="16"/>
    </w:lvl>
  </w:abstractNum>
  <w:abstractNum w:abstractNumId="179">
    <w:nsid w:val="51B76675"/>
    <w:multiLevelType w:val="hybridMultilevel"/>
    <w:lvl w:ilvl="0">
      <w:lvlJc w:val="left"/>
      <w:lvlText w:val="%1."/>
      <w:numFmt w:val="decimal"/>
      <w:start w:val="16"/>
    </w:lvl>
  </w:abstractNum>
  <w:abstractNum w:abstractNumId="180">
    <w:nsid w:val="59A4BA71"/>
    <w:multiLevelType w:val="hybridMultilevel"/>
    <w:lvl w:ilvl="0">
      <w:lvlJc w:val="left"/>
      <w:lvlText w:val="%1."/>
      <w:numFmt w:val="decimal"/>
      <w:start w:val="16"/>
    </w:lvl>
  </w:abstractNum>
  <w:abstractNum w:abstractNumId="181">
    <w:nsid w:val="450B7FB6"/>
    <w:multiLevelType w:val="hybridMultilevel"/>
    <w:lvl w:ilvl="0">
      <w:lvlJc w:val="left"/>
      <w:lvlText w:val="%1."/>
      <w:numFmt w:val="decimal"/>
      <w:start w:val="16"/>
    </w:lvl>
  </w:abstractNum>
  <w:abstractNum w:abstractNumId="182">
    <w:nsid w:val="340BF64D"/>
    <w:multiLevelType w:val="hybridMultilevel"/>
    <w:lvl w:ilvl="0">
      <w:lvlJc w:val="left"/>
      <w:lvlText w:val="%1."/>
      <w:numFmt w:val="decimal"/>
      <w:start w:val="16"/>
    </w:lvl>
  </w:abstractNum>
  <w:abstractNum w:abstractNumId="183">
    <w:nsid w:val="69454021"/>
    <w:multiLevelType w:val="hybridMultilevel"/>
    <w:lvl w:ilvl="0">
      <w:lvlJc w:val="left"/>
      <w:lvlText w:val="%1."/>
      <w:numFmt w:val="decimal"/>
      <w:start w:val="16"/>
    </w:lvl>
  </w:abstractNum>
  <w:abstractNum w:abstractNumId="184">
    <w:nsid w:val="49F15C6B"/>
    <w:multiLevelType w:val="hybridMultilevel"/>
    <w:lvl w:ilvl="0">
      <w:lvlJc w:val="left"/>
      <w:lvlText w:val="%1."/>
      <w:numFmt w:val="decimal"/>
      <w:start w:val="17"/>
    </w:lvl>
  </w:abstractNum>
  <w:abstractNum w:abstractNumId="185">
    <w:nsid w:val="75F56228"/>
    <w:multiLevelType w:val="hybridMultilevel"/>
    <w:lvl w:ilvl="0">
      <w:lvlJc w:val="left"/>
      <w:lvlText w:val="%1."/>
      <w:numFmt w:val="decimal"/>
      <w:start w:val="18"/>
    </w:lvl>
    <w:lvl w:ilvl="1">
      <w:lvlJc w:val="left"/>
      <w:lvlText w:val="(%2)"/>
      <w:numFmt w:val="lowerLetter"/>
      <w:start w:val="1"/>
    </w:lvl>
  </w:abstractNum>
  <w:abstractNum w:abstractNumId="186">
    <w:nsid w:val="1C618271"/>
    <w:multiLevelType w:val="hybridMultilevel"/>
    <w:lvl w:ilvl="0">
      <w:lvlJc w:val="left"/>
      <w:lvlText w:val="%1."/>
      <w:numFmt w:val="decimal"/>
      <w:start w:val="20"/>
    </w:lvl>
    <w:lvl w:ilvl="1">
      <w:lvlJc w:val="left"/>
      <w:lvlText w:val="(%2)"/>
      <w:numFmt w:val="lowerLetter"/>
      <w:start w:val="3"/>
    </w:lvl>
    <w:lvl w:ilvl="2">
      <w:lvlJc w:val="left"/>
      <w:lvlText w:val="%3"/>
      <w:numFmt w:val="lowerRoman"/>
      <w:start w:val="1"/>
    </w:lvl>
  </w:abstractNum>
  <w:abstractNum w:abstractNumId="187">
    <w:nsid w:val="6505F0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8">
    <w:nsid w:val="2FE5D025"/>
    <w:multiLevelType w:val="hybridMultilevel"/>
    <w:lvl w:ilvl="0">
      <w:lvlJc w:val="left"/>
      <w:lvlText w:val="%1."/>
      <w:numFmt w:val="decimal"/>
      <w:start w:val="21"/>
    </w:lvl>
    <w:lvl w:ilvl="1">
      <w:lvlJc w:val="left"/>
      <w:lvlText w:val="(%2)"/>
      <w:numFmt w:val="lowerLetter"/>
      <w:start w:val="2"/>
    </w:lvl>
    <w:lvl w:ilvl="2">
      <w:lvlJc w:val="left"/>
      <w:lvlText w:val="%3)"/>
      <w:numFmt w:val="lowerRoman"/>
      <w:start w:val="2"/>
    </w:lvl>
  </w:abstractNum>
  <w:abstractNum w:abstractNumId="189">
    <w:nsid w:val="30E1B1CF"/>
    <w:multiLevelType w:val="hybridMultilevel"/>
    <w:lvl w:ilvl="0">
      <w:lvlJc w:val="left"/>
      <w:lvlText w:val="•"/>
      <w:numFmt w:val="bullet"/>
      <w:start w:val="1"/>
    </w:lvl>
  </w:abstractNum>
  <w:abstractNum w:abstractNumId="190">
    <w:nsid w:val="C7A9237"/>
    <w:multiLevelType w:val="hybridMultilevel"/>
    <w:lvl w:ilvl="0">
      <w:lvlJc w:val="left"/>
      <w:lvlText w:val="%1."/>
      <w:numFmt w:val="decimal"/>
      <w:start w:val="21"/>
    </w:lvl>
    <w:lvl w:ilvl="1">
      <w:lvlJc w:val="left"/>
      <w:lvlText w:val="(%2)"/>
      <w:numFmt w:val="lowerLetter"/>
      <w:start w:val="2"/>
    </w:lvl>
    <w:lvl w:ilvl="2">
      <w:lvlJc w:val="left"/>
      <w:lvlText w:val="•"/>
      <w:numFmt w:val="bullet"/>
      <w:start w:val="1"/>
    </w:lvl>
  </w:abstractNum>
  <w:abstractNum w:abstractNumId="191">
    <w:nsid w:val="676B3580"/>
    <w:multiLevelType w:val="hybridMultilevel"/>
    <w:lvl w:ilvl="0">
      <w:lvlJc w:val="left"/>
      <w:lvlText w:val="(%1)"/>
      <w:numFmt w:val="lowerLetter"/>
      <w:start w:val="3"/>
    </w:lvl>
    <w:lvl w:ilvl="1">
      <w:lvlJc w:val="left"/>
      <w:lvlText w:val="•"/>
      <w:numFmt w:val="bullet"/>
      <w:start w:val="1"/>
    </w:lvl>
  </w:abstractNum>
  <w:abstractNum w:abstractNumId="192">
    <w:nsid w:val="3193C8F9"/>
    <w:multiLevelType w:val="hybridMultilevel"/>
    <w:lvl w:ilvl="0">
      <w:lvlJc w:val="left"/>
      <w:lvlText w:val="%1."/>
      <w:numFmt w:val="decimal"/>
      <w:start w:val="21"/>
    </w:lvl>
    <w:lvl w:ilvl="1">
      <w:lvlJc w:val="left"/>
      <w:lvlText w:val="(%2)"/>
      <w:numFmt w:val="lowerLetter"/>
      <w:start w:val="3"/>
    </w:lvl>
    <w:lvl w:ilvl="2">
      <w:lvlJc w:val="left"/>
      <w:lvlText w:val="•"/>
      <w:numFmt w:val="bullet"/>
      <w:start w:val="1"/>
    </w:lvl>
  </w:abstractNum>
  <w:abstractNum w:abstractNumId="193">
    <w:nsid w:val="5FA6C6DC"/>
    <w:multiLevelType w:val="hybridMultilevel"/>
    <w:lvl w:ilvl="0">
      <w:lvlJc w:val="left"/>
      <w:lvlText w:val="(%1)"/>
      <w:numFmt w:val="decimal"/>
      <w:start w:val="1"/>
    </w:lvl>
  </w:abstractNum>
  <w:abstractNum w:abstractNumId="194">
    <w:nsid w:val="77933F62"/>
    <w:multiLevelType w:val="hybridMultilevel"/>
    <w:lvl w:ilvl="0">
      <w:lvlJc w:val="left"/>
      <w:lvlText w:val="%1."/>
      <w:numFmt w:val="decimal"/>
      <w:start w:val="22"/>
    </w:lvl>
    <w:lvl w:ilvl="1">
      <w:lvlJc w:val="left"/>
      <w:lvlText w:val="(%2)"/>
      <w:numFmt w:val="decimal"/>
      <w:start w:val="2"/>
    </w:lvl>
  </w:abstractNum>
  <w:abstractNum w:abstractNumId="195">
    <w:nsid w:val="6CB4EE9C"/>
    <w:multiLevelType w:val="hybridMultilevel"/>
    <w:lvl w:ilvl="0">
      <w:lvlJc w:val="left"/>
      <w:lvlText w:val="(%1)"/>
      <w:numFmt w:val="lowerLetter"/>
      <w:start w:val="1"/>
    </w:lvl>
  </w:abstractNum>
  <w:abstractNum w:abstractNumId="196">
    <w:nsid w:val="6A6D56D7"/>
    <w:multiLevelType w:val="hybridMultilevel"/>
    <w:lvl w:ilvl="0">
      <w:lvlJc w:val="left"/>
      <w:lvlText w:val="(%1)"/>
      <w:numFmt w:val="lowerLetter"/>
      <w:start w:val="2"/>
    </w:lvl>
  </w:abstractNum>
  <w:abstractNum w:abstractNumId="197">
    <w:nsid w:val="5B727F19"/>
    <w:multiLevelType w:val="hybridMultilevel"/>
    <w:lvl w:ilvl="0">
      <w:lvlJc w:val="left"/>
      <w:lvlText w:val="(%1)"/>
      <w:numFmt w:val="lowerLetter"/>
      <w:start w:val="3"/>
    </w:lvl>
  </w:abstractNum>
  <w:abstractNum w:abstractNumId="198">
    <w:nsid w:val="514E5CB0"/>
    <w:multiLevelType w:val="hybridMultilevel"/>
    <w:lvl w:ilvl="0">
      <w:lvlJc w:val="left"/>
      <w:lvlText w:val="%1."/>
      <w:numFmt w:val="decimal"/>
      <w:start w:val="22"/>
    </w:lvl>
    <w:lvl w:ilvl="1">
      <w:lvlJc w:val="left"/>
      <w:lvlText w:val="(%2)"/>
      <w:numFmt w:val="lowerLetter"/>
      <w:start w:val="3"/>
    </w:lvl>
  </w:abstractNum>
  <w:abstractNum w:abstractNumId="199">
    <w:nsid w:val="4210D41E"/>
    <w:multiLevelType w:val="hybridMultilevel"/>
    <w:lvl w:ilvl="0">
      <w:lvlJc w:val="left"/>
      <w:lvlText w:val="%1."/>
      <w:numFmt w:val="decimal"/>
      <w:start w:val="23"/>
    </w:lvl>
  </w:abstractNum>
  <w:abstractNum w:abstractNumId="200">
    <w:nsid w:val="4FF4CC6D"/>
    <w:multiLevelType w:val="hybridMultilevel"/>
    <w:lvl w:ilvl="0">
      <w:lvlJc w:val="left"/>
      <w:lvlText w:val="%1."/>
      <w:numFmt w:val="decimal"/>
      <w:start w:val="23"/>
    </w:lvl>
  </w:abstractNum>
  <w:abstractNum w:abstractNumId="201">
    <w:nsid w:val="404EAF4A"/>
    <w:multiLevelType w:val="hybridMultilevel"/>
    <w:lvl w:ilvl="0">
      <w:lvlJc w:val="left"/>
      <w:lvlText w:val="(%1)"/>
      <w:numFmt w:val="decimal"/>
      <w:start w:val="1"/>
    </w:lvl>
  </w:abstractNum>
  <w:abstractNum w:abstractNumId="202">
    <w:nsid w:val="4A16874F"/>
    <w:multiLevelType w:val="hybridMultilevel"/>
    <w:lvl w:ilvl="0">
      <w:lvlJc w:val="left"/>
      <w:lvlText w:val="%1."/>
      <w:numFmt w:val="decimal"/>
      <w:start w:val="24"/>
    </w:lvl>
  </w:abstractNum>
  <w:abstractNum w:abstractNumId="203">
    <w:nsid w:val="55FEE0D1"/>
    <w:multiLevelType w:val="hybridMultilevel"/>
    <w:lvl w:ilvl="0">
      <w:lvlJc w:val="left"/>
      <w:lvlText w:val="%1."/>
      <w:numFmt w:val="decimal"/>
      <w:start w:val="24"/>
    </w:lvl>
  </w:abstractNum>
  <w:abstractNum w:abstractNumId="204">
    <w:nsid w:val="3C5E07C"/>
    <w:multiLevelType w:val="hybridMultilevel"/>
    <w:lvl w:ilvl="0">
      <w:lvlJc w:val="left"/>
      <w:lvlText w:val="%1."/>
      <w:numFmt w:val="decimal"/>
      <w:start w:val="1"/>
    </w:lvl>
  </w:abstractNum>
  <w:abstractNum w:abstractNumId="205">
    <w:nsid w:val="60C2D273"/>
    <w:multiLevelType w:val="hybridMultilevel"/>
    <w:lvl w:ilvl="0">
      <w:lvlJc w:val="left"/>
      <w:lvlText w:val="(%1)"/>
      <w:numFmt w:val="decimal"/>
      <w:start w:val="1"/>
    </w:lvl>
  </w:abstractNum>
  <w:abstractNum w:abstractNumId="206">
    <w:nsid w:val="4CC32F1F"/>
    <w:multiLevelType w:val="hybridMultilevel"/>
    <w:lvl w:ilvl="0">
      <w:lvlJc w:val="left"/>
      <w:lvlText w:val="(%1)"/>
      <w:numFmt w:val="upperLetter"/>
      <w:start w:val="1"/>
    </w:lvl>
  </w:abstractNum>
  <w:abstractNum w:abstractNumId="207">
    <w:nsid w:val="11CAC74A"/>
    <w:multiLevelType w:val="hybridMultilevel"/>
    <w:lvl w:ilvl="0">
      <w:lvlJc w:val="left"/>
      <w:lvlText w:val="%1."/>
      <w:numFmt w:val="decimal"/>
      <w:start w:val="1"/>
    </w:lvl>
  </w:abstractNum>
  <w:abstractNum w:abstractNumId="208">
    <w:nsid w:val="126CADE9"/>
    <w:multiLevelType w:val="hybridMultilevel"/>
    <w:lvl w:ilvl="0">
      <w:lvlJc w:val="left"/>
      <w:lvlText w:val="(%1)"/>
      <w:numFmt w:val="lowerLetter"/>
      <w:start w:val="1"/>
    </w:lvl>
  </w:abstractNum>
  <w:abstractNum w:abstractNumId="209">
    <w:nsid w:val="19132E7B"/>
    <w:multiLevelType w:val="hybridMultilevel"/>
    <w:lvl w:ilvl="0">
      <w:lvlJc w:val="left"/>
      <w:lvlText w:val="(%1)"/>
      <w:numFmt w:val="lowerLetter"/>
      <w:start w:val="1"/>
    </w:lvl>
  </w:abstractNum>
  <w:abstractNum w:abstractNumId="210">
    <w:nsid w:val="63822DC0"/>
    <w:multiLevelType w:val="hybridMultilevel"/>
    <w:lvl w:ilvl="0">
      <w:lvlJc w:val="left"/>
      <w:lvlText w:val="%1."/>
      <w:numFmt w:val="decimal"/>
      <w:start w:val="2"/>
    </w:lvl>
    <w:lvl w:ilvl="1">
      <w:lvlJc w:val="left"/>
      <w:lvlText w:val="(%2)"/>
      <w:numFmt w:val="lowerLetter"/>
      <w:start w:val="1"/>
    </w:lvl>
  </w:abstractNum>
  <w:abstractNum w:abstractNumId="211">
    <w:nsid w:val="6C11685A"/>
    <w:multiLevelType w:val="hybridMultilevel"/>
    <w:lvl w:ilvl="0">
      <w:lvlJc w:val="left"/>
      <w:lvlText w:val="%1"/>
      <w:numFmt w:val="decimal"/>
      <w:start w:val="1"/>
    </w:lvl>
    <w:lvl w:ilvl="1">
      <w:lvlJc w:val="left"/>
      <w:lvlText w:val="(%2)"/>
      <w:numFmt w:val="lowerLetter"/>
      <w:start w:val="1"/>
    </w:lvl>
  </w:abstractNum>
  <w:abstractNum w:abstractNumId="212">
    <w:nsid w:val="5E1EAE31"/>
    <w:multiLevelType w:val="hybridMultilevel"/>
    <w:lvl w:ilvl="0">
      <w:lvlJc w:val="left"/>
      <w:lvlText w:val="%1."/>
      <w:numFmt w:val="decimal"/>
      <w:start w:val="3"/>
    </w:lvl>
    <w:lvl w:ilvl="1">
      <w:lvlJc w:val="left"/>
      <w:lvlText w:val="%2"/>
      <w:numFmt w:val="lowerLetter"/>
      <w:start w:val="1"/>
    </w:lvl>
  </w:abstractNum>
  <w:abstractNum w:abstractNumId="213">
    <w:nsid w:val="178E240D"/>
    <w:multiLevelType w:val="hybridMultilevel"/>
    <w:lvl w:ilvl="0">
      <w:lvlJc w:val="left"/>
      <w:lvlText w:val="(%1)"/>
      <w:numFmt w:val="lowerLetter"/>
      <w:start w:val="1"/>
    </w:lvl>
    <w:lvl w:ilvl="1">
      <w:lvlJc w:val="left"/>
      <w:lvlText w:val="(%2)"/>
      <w:numFmt w:val="lowerRoman"/>
      <w:start w:val="1"/>
    </w:lvl>
  </w:abstractNum>
  <w:abstractNum w:abstractNumId="214">
    <w:nsid w:val="5556A87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5">
    <w:nsid w:val="28100A9C"/>
    <w:multiLevelType w:val="hybridMultilevel"/>
    <w:lvl w:ilvl="0">
      <w:lvlJc w:val="left"/>
      <w:lvlText w:val="%1"/>
      <w:numFmt w:val="lowerLetter"/>
      <w:start w:val="1"/>
    </w:lvl>
    <w:lvl w:ilvl="1">
      <w:lvlJc w:val="left"/>
      <w:lvlText w:val="(%2)"/>
      <w:numFmt w:val="lowerLetter"/>
      <w:start w:val="35"/>
    </w:lvl>
  </w:abstractNum>
  <w:abstractNum w:abstractNumId="216">
    <w:nsid w:val="D838636"/>
    <w:multiLevelType w:val="hybridMultilevel"/>
    <w:lvl w:ilvl="0">
      <w:lvlJc w:val="left"/>
      <w:lvlText w:val="(%1)"/>
      <w:numFmt w:val="lowerLetter"/>
      <w:start w:val="7"/>
    </w:lvl>
    <w:lvl w:ilvl="1">
      <w:lvlJc w:val="left"/>
      <w:lvlText w:val="(%2)"/>
      <w:numFmt w:val="lowerLetter"/>
      <w:start w:val="9"/>
    </w:lvl>
  </w:abstractNum>
  <w:abstractNum w:abstractNumId="217">
    <w:nsid w:val="71B82AED"/>
    <w:multiLevelType w:val="hybridMultilevel"/>
    <w:lvl w:ilvl="0">
      <w:lvlJc w:val="left"/>
      <w:lvlText w:val="(%1)"/>
      <w:numFmt w:val="lowerRoman"/>
      <w:start w:val="2"/>
    </w:lvl>
  </w:abstractNum>
  <w:abstractNum w:abstractNumId="218">
    <w:nsid w:val="D15FACA"/>
    <w:multiLevelType w:val="hybridMultilevel"/>
    <w:lvl w:ilvl="0">
      <w:lvlJc w:val="left"/>
      <w:lvlText w:val="(%1)"/>
      <w:numFmt w:val="lowerLetter"/>
      <w:start w:val="8"/>
    </w:lvl>
  </w:abstractNum>
  <w:abstractNum w:abstractNumId="219">
    <w:nsid w:val="3D69565B"/>
    <w:multiLevelType w:val="hybridMultilevel"/>
    <w:lvl w:ilvl="0">
      <w:lvlJc w:val="left"/>
      <w:lvlText w:val="(%1)"/>
      <w:numFmt w:val="lowerLetter"/>
      <w:start w:val="1"/>
    </w:lvl>
  </w:abstractNum>
  <w:abstractNum w:abstractNumId="220">
    <w:nsid w:val="2299DCB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1">
    <w:nsid w:val="19908D02"/>
    <w:multiLevelType w:val="hybridMultilevel"/>
    <w:lvl w:ilvl="0">
      <w:lvlJc w:val="left"/>
      <w:lvlText w:val="(%1)"/>
      <w:numFmt w:val="lowerLetter"/>
      <w:start w:val="2"/>
    </w:lvl>
  </w:abstractNum>
  <w:abstractNum w:abstractNumId="222">
    <w:nsid w:val="24D48BDB"/>
    <w:multiLevelType w:val="hybridMultilevel"/>
    <w:lvl w:ilvl="0">
      <w:lvlJc w:val="left"/>
      <w:lvlText w:val="%1."/>
      <w:numFmt w:val="decimal"/>
      <w:start w:val="5"/>
    </w:lvl>
    <w:lvl w:ilvl="1">
      <w:lvlJc w:val="left"/>
      <w:lvlText w:val="(%2)"/>
      <w:numFmt w:val="lowerLetter"/>
      <w:start w:val="1"/>
    </w:lvl>
  </w:abstractNum>
  <w:abstractNum w:abstractNumId="223">
    <w:nsid w:val="542DA5B5"/>
    <w:multiLevelType w:val="hybridMultilevel"/>
    <w:lvl w:ilvl="0">
      <w:lvlJc w:val="left"/>
      <w:lvlText w:val="(%1)"/>
      <w:numFmt w:val="lowerLetter"/>
      <w:start w:val="1"/>
    </w:lvl>
  </w:abstractNum>
  <w:abstractNum w:abstractNumId="224">
    <w:nsid w:val="793753DE"/>
    <w:multiLevelType w:val="hybridMultilevel"/>
    <w:lvl w:ilvl="0">
      <w:lvlJc w:val="left"/>
      <w:lvlText w:val="(%1)"/>
      <w:numFmt w:val="lowerLetter"/>
      <w:start w:val="1"/>
    </w:lvl>
    <w:lvl w:ilvl="1">
      <w:lvlJc w:val="left"/>
      <w:lvlText w:val="(%2)"/>
      <w:numFmt w:val="lowerRoman"/>
      <w:start w:val="1"/>
    </w:lvl>
  </w:abstractNum>
  <w:abstractNum w:abstractNumId="225">
    <w:nsid w:val="1C67CB3D"/>
    <w:multiLevelType w:val="hybridMultilevel"/>
    <w:lvl w:ilvl="0">
      <w:lvlJc w:val="left"/>
      <w:lvlText w:val="(%1)"/>
      <w:numFmt w:val="lowerLetter"/>
      <w:start w:val="1"/>
    </w:lvl>
  </w:abstractNum>
  <w:abstractNum w:abstractNumId="226">
    <w:nsid w:val="40E29452"/>
    <w:multiLevelType w:val="hybridMultilevel"/>
    <w:lvl w:ilvl="0">
      <w:lvlJc w:val="left"/>
      <w:lvlText w:val="%1."/>
      <w:numFmt w:val="decimal"/>
      <w:start w:val="7"/>
    </w:lvl>
  </w:abstractNum>
  <w:abstractNum w:abstractNumId="227">
    <w:nsid w:val="63A4AAB6"/>
    <w:multiLevelType w:val="hybridMultilevel"/>
    <w:lvl w:ilvl="0">
      <w:lvlJc w:val="left"/>
      <w:lvlText w:val="%1."/>
      <w:numFmt w:val="decimal"/>
      <w:start w:val="8"/>
    </w:lvl>
  </w:abstractNum>
  <w:abstractNum w:abstractNumId="228">
    <w:nsid w:val="77DA4A57"/>
    <w:multiLevelType w:val="hybridMultilevel"/>
    <w:lvl w:ilvl="0">
      <w:lvlJc w:val="left"/>
      <w:lvlText w:val="(%1)"/>
      <w:numFmt w:val="decimal"/>
      <w:start w:val="1"/>
    </w:lvl>
  </w:abstractNum>
  <w:abstractNum w:abstractNumId="229">
    <w:nsid w:val="1230F102"/>
    <w:multiLevelType w:val="hybridMultilevel"/>
    <w:lvl w:ilvl="0">
      <w:lvlJc w:val="left"/>
      <w:lvlText w:val="%1."/>
      <w:numFmt w:val="decimal"/>
      <w:start w:val="1"/>
    </w:lvl>
  </w:abstractNum>
  <w:abstractNum w:abstractNumId="230">
    <w:nsid w:val="25B57ED4"/>
    <w:multiLevelType w:val="hybridMultilevel"/>
    <w:lvl w:ilvl="0">
      <w:lvlJc w:val="left"/>
      <w:lvlText w:val="(%1)"/>
      <w:numFmt w:val="lowerLetter"/>
      <w:start w:val="1"/>
    </w:lvl>
  </w:abstractNum>
  <w:abstractNum w:abstractNumId="231">
    <w:nsid w:val="47CF16C4"/>
    <w:multiLevelType w:val="hybridMultilevel"/>
    <w:lvl w:ilvl="0">
      <w:lvlJc w:val="left"/>
      <w:lvlText w:val="(%1)"/>
      <w:numFmt w:val="lowerLetter"/>
      <w:start w:val="5"/>
    </w:lvl>
  </w:abstractNum>
  <w:abstractNum w:abstractNumId="232">
    <w:nsid w:val="527FA04C"/>
    <w:multiLevelType w:val="hybridMultilevel"/>
    <w:lvl w:ilvl="0">
      <w:lvlJc w:val="left"/>
      <w:lvlText w:val="(%1)"/>
      <w:numFmt w:val="lowerLetter"/>
      <w:start w:val="1"/>
    </w:lvl>
  </w:abstractNum>
  <w:abstractNum w:abstractNumId="233">
    <w:nsid w:val="6FCC0624"/>
    <w:multiLevelType w:val="hybridMultilevel"/>
    <w:lvl w:ilvl="0">
      <w:lvlJc w:val="left"/>
      <w:lvlText w:val="(%1)"/>
      <w:numFmt w:val="lowerLetter"/>
      <w:start w:val="2"/>
    </w:lvl>
  </w:abstractNum>
  <w:abstractNum w:abstractNumId="234">
    <w:nsid w:val="1DCDF795"/>
    <w:multiLevelType w:val="hybridMultilevel"/>
    <w:lvl w:ilvl="0">
      <w:lvlJc w:val="left"/>
      <w:lvlText w:val="(%1)"/>
      <w:numFmt w:val="lowerLetter"/>
      <w:start w:val="1"/>
    </w:lvl>
  </w:abstractNum>
  <w:abstractNum w:abstractNumId="235">
    <w:nsid w:val="564580C8"/>
    <w:multiLevelType w:val="hybridMultilevel"/>
    <w:lvl w:ilvl="0">
      <w:lvlJc w:val="left"/>
      <w:lvlText w:val="(%1)"/>
      <w:numFmt w:val="lowerLetter"/>
      <w:start w:val="1"/>
    </w:lvl>
  </w:abstractNum>
  <w:abstractNum w:abstractNumId="236">
    <w:nsid w:val="508ED897"/>
    <w:multiLevelType w:val="hybridMultilevel"/>
    <w:lvl w:ilvl="0">
      <w:lvlJc w:val="left"/>
      <w:lvlText w:val="(%1)"/>
      <w:numFmt w:val="lowerLetter"/>
      <w:start w:val="1"/>
    </w:lvl>
  </w:abstractNum>
  <w:abstractNum w:abstractNumId="237">
    <w:nsid w:val="6A9126B5"/>
    <w:multiLevelType w:val="hybridMultilevel"/>
    <w:lvl w:ilvl="0">
      <w:lvlJc w:val="left"/>
      <w:lvlText w:val="(%1)"/>
      <w:numFmt w:val="lowerLetter"/>
      <w:start w:val="1"/>
    </w:lvl>
  </w:abstractNum>
  <w:abstractNum w:abstractNumId="238">
    <w:nsid w:val="68104812"/>
    <w:multiLevelType w:val="hybridMultilevel"/>
    <w:lvl w:ilvl="0">
      <w:lvlJc w:val="left"/>
      <w:lvlText w:val="(%1)"/>
      <w:numFmt w:val="lowerLetter"/>
      <w:start w:val="2"/>
    </w:lvl>
  </w:abstractNum>
  <w:abstractNum w:abstractNumId="239">
    <w:nsid w:val="62FB8680"/>
    <w:multiLevelType w:val="hybridMultilevel"/>
    <w:lvl w:ilvl="0">
      <w:lvlJc w:val="left"/>
      <w:lvlText w:val="(%1)"/>
      <w:numFmt w:val="lowerLetter"/>
      <w:start w:val="1"/>
    </w:lvl>
  </w:abstractNum>
  <w:abstractNum w:abstractNumId="240">
    <w:nsid w:val="3A45530"/>
    <w:multiLevelType w:val="hybridMultilevel"/>
    <w:lvl w:ilvl="0">
      <w:lvlJc w:val="left"/>
      <w:lvlText w:val="(%1)"/>
      <w:numFmt w:val="lowerLetter"/>
      <w:start w:val="1"/>
    </w:lvl>
    <w:lvl w:ilvl="1">
      <w:lvlJc w:val="left"/>
      <w:lvlText w:val="(%2)"/>
      <w:numFmt w:val="lowerRoman"/>
      <w:start w:val="1"/>
    </w:lvl>
  </w:abstractNum>
  <w:abstractNum w:abstractNumId="241">
    <w:nsid w:val="4B9275D2"/>
    <w:multiLevelType w:val="hybridMultilevel"/>
    <w:lvl w:ilvl="0">
      <w:lvlJc w:val="left"/>
      <w:lvlText w:val="(%1)"/>
      <w:numFmt w:val="lowerLetter"/>
      <w:start w:val="1"/>
    </w:lvl>
  </w:abstractNum>
  <w:abstractNum w:abstractNumId="242">
    <w:nsid w:val="4F0CEEDB"/>
    <w:multiLevelType w:val="hybridMultilevel"/>
    <w:lvl w:ilvl="0">
      <w:lvlJc w:val="left"/>
      <w:lvlText w:val="(%1)"/>
      <w:numFmt w:val="lowerLetter"/>
      <w:start w:val="9"/>
    </w:lvl>
    <w:lvl w:ilvl="1">
      <w:lvlJc w:val="left"/>
      <w:lvlText w:val="(%2)"/>
      <w:numFmt w:val="upperLetter"/>
      <w:start w:val="1"/>
    </w:lvl>
  </w:abstractNum>
  <w:abstractNum w:abstractNumId="243">
    <w:nsid w:val="61C30361"/>
    <w:multiLevelType w:val="hybridMultilevel"/>
    <w:lvl w:ilvl="0">
      <w:lvlJc w:val="left"/>
      <w:lvlText w:val="(%1)"/>
      <w:numFmt w:val="lowerRoman"/>
      <w:start w:val="2"/>
    </w:lvl>
  </w:abstractNum>
  <w:abstractNum w:abstractNumId="244">
    <w:nsid w:val="632099E0"/>
    <w:multiLevelType w:val="hybridMultilevel"/>
    <w:lvl w:ilvl="0">
      <w:lvlJc w:val="left"/>
      <w:lvlText w:val="(%1)"/>
      <w:numFmt w:val="lowerLetter"/>
      <w:start w:val="1"/>
    </w:lvl>
  </w:abstractNum>
  <w:abstractNum w:abstractNumId="245">
    <w:nsid w:val="24639756"/>
    <w:multiLevelType w:val="hybridMultilevel"/>
    <w:lvl w:ilvl="0">
      <w:lvlJc w:val="left"/>
      <w:lvlText w:val="(%1)"/>
      <w:numFmt w:val="lowerLetter"/>
      <w:start w:val="1"/>
    </w:lvl>
  </w:abstractNum>
  <w:abstractNum w:abstractNumId="246">
    <w:nsid w:val="9D30DFD"/>
    <w:multiLevelType w:val="hybridMultilevel"/>
    <w:lvl w:ilvl="0">
      <w:lvlJc w:val="left"/>
      <w:lvlText w:val="(%1)"/>
      <w:numFmt w:val="lowerLetter"/>
      <w:start w:val="1"/>
    </w:lvl>
  </w:abstractNum>
  <w:abstractNum w:abstractNumId="247">
    <w:nsid w:val="70A42016"/>
    <w:multiLevelType w:val="hybridMultilevel"/>
    <w:lvl w:ilvl="0">
      <w:lvlJc w:val="left"/>
      <w:lvlText w:val="(%1)"/>
      <w:numFmt w:val="lowerRoman"/>
      <w:start w:val="1"/>
    </w:lvl>
    <w:lvl w:ilvl="1">
      <w:lvlJc w:val="left"/>
      <w:lvlText w:val="(%2)"/>
      <w:numFmt w:val="upperLetter"/>
      <w:start w:val="1"/>
    </w:lvl>
  </w:abstractNum>
  <w:abstractNum w:abstractNumId="248">
    <w:nsid w:val="161BC243"/>
    <w:multiLevelType w:val="hybridMultilevel"/>
    <w:lvl w:ilvl="0">
      <w:lvlJc w:val="left"/>
      <w:lvlText w:val="(%1)"/>
      <w:numFmt w:val="lowerRoman"/>
      <w:start w:val="2"/>
    </w:lvl>
  </w:abstractNum>
  <w:abstractNum w:abstractNumId="249">
    <w:nsid w:val="16E908C8"/>
    <w:multiLevelType w:val="hybridMultilevel"/>
    <w:lvl w:ilvl="0">
      <w:lvlJc w:val="left"/>
      <w:lvlText w:val="(%1)"/>
      <w:numFmt w:val="lowerLetter"/>
      <w:start w:val="1"/>
    </w:lvl>
    <w:lvl w:ilvl="1">
      <w:lvlJc w:val="left"/>
      <w:lvlText w:val="(%2)"/>
      <w:numFmt w:val="lowerRoman"/>
      <w:start w:val="1"/>
    </w:lvl>
  </w:abstractNum>
  <w:abstractNum w:abstractNumId="250">
    <w:nsid w:val="2E0D7671"/>
    <w:multiLevelType w:val="hybridMultilevel"/>
    <w:lvl w:ilvl="0">
      <w:lvlJc w:val="left"/>
      <w:lvlText w:val="(%1)"/>
      <w:numFmt w:val="lowerLetter"/>
      <w:start w:val="1"/>
    </w:lvl>
  </w:abstractNum>
  <w:abstractNum w:abstractNumId="251">
    <w:nsid w:val="38B59EFF"/>
    <w:multiLevelType w:val="hybridMultilevel"/>
    <w:lvl w:ilvl="0">
      <w:lvlJc w:val="left"/>
      <w:lvlText w:val="(%1)"/>
      <w:numFmt w:val="lowerLetter"/>
      <w:start w:val="3"/>
    </w:lvl>
  </w:abstractNum>
  <w:abstractNum w:abstractNumId="252">
    <w:nsid w:val="307995CA"/>
    <w:multiLevelType w:val="hybridMultilevel"/>
    <w:lvl w:ilvl="0">
      <w:lvlJc w:val="left"/>
      <w:lvlText w:val="(%1)"/>
      <w:numFmt w:val="lowerLetter"/>
      <w:start w:val="1"/>
    </w:lvl>
  </w:abstractNum>
  <w:abstractNum w:abstractNumId="253">
    <w:nsid w:val="52E2024D"/>
    <w:multiLevelType w:val="hybridMultilevel"/>
    <w:lvl w:ilvl="0">
      <w:lvlJc w:val="left"/>
      <w:lvlText w:val="(%1)"/>
      <w:numFmt w:val="lowerLetter"/>
      <w:start w:val="1"/>
    </w:lvl>
  </w:abstractNum>
  <w:abstractNum w:abstractNumId="254">
    <w:nsid w:val="CE344B5"/>
    <w:multiLevelType w:val="hybridMultilevel"/>
    <w:lvl w:ilvl="0">
      <w:lvlJc w:val="left"/>
      <w:lvlText w:val="(%1)"/>
      <w:numFmt w:val="lowerLetter"/>
      <w:start w:val="1"/>
    </w:lvl>
  </w:abstractNum>
  <w:abstractNum w:abstractNumId="255">
    <w:nsid w:val="29B0E9A8"/>
    <w:multiLevelType w:val="hybridMultilevel"/>
    <w:lvl w:ilvl="0">
      <w:lvlJc w:val="left"/>
      <w:lvlText w:val="(%1)"/>
      <w:numFmt w:val="lowerLetter"/>
      <w:start w:val="1"/>
    </w:lvl>
  </w:abstractNum>
  <w:abstractNum w:abstractNumId="256">
    <w:nsid w:val="6F49CD8A"/>
    <w:multiLevelType w:val="hybridMultilevel"/>
    <w:lvl w:ilvl="0">
      <w:lvlJc w:val="left"/>
      <w:lvlText w:val="(%1)"/>
      <w:numFmt w:val="lowerLetter"/>
      <w:start w:val="1"/>
    </w:lvl>
  </w:abstractNum>
  <w:abstractNum w:abstractNumId="257">
    <w:nsid w:val="4DC5D907"/>
    <w:multiLevelType w:val="hybridMultilevel"/>
    <w:lvl w:ilvl="0">
      <w:lvlJc w:val="left"/>
      <w:lvlText w:val="(%1)"/>
      <w:numFmt w:val="lowerLetter"/>
      <w:start w:val="1"/>
    </w:lvl>
  </w:abstractNum>
  <w:abstractNum w:abstractNumId="258">
    <w:nsid w:val="D55945E"/>
    <w:multiLevelType w:val="hybridMultilevel"/>
    <w:lvl w:ilvl="0">
      <w:lvlJc w:val="left"/>
      <w:lvlText w:val="(%1)"/>
      <w:numFmt w:val="lowerLetter"/>
      <w:start w:val="1"/>
    </w:lvl>
  </w:abstractNum>
  <w:abstractNum w:abstractNumId="259">
    <w:nsid w:val="672417E1"/>
    <w:multiLevelType w:val="hybridMultilevel"/>
    <w:lvl w:ilvl="0">
      <w:lvlJc w:val="left"/>
      <w:lvlText w:val="(%1)"/>
      <w:numFmt w:val="lowerLetter"/>
      <w:start w:val="1"/>
    </w:lvl>
  </w:abstractNum>
  <w:abstractNum w:abstractNumId="260">
    <w:nsid w:val="5FF6CA09"/>
    <w:multiLevelType w:val="hybridMultilevel"/>
    <w:lvl w:ilvl="0">
      <w:lvlJc w:val="left"/>
      <w:lvlText w:val="(%1)"/>
      <w:numFmt w:val="lowerLetter"/>
      <w:start w:val="1"/>
    </w:lvl>
  </w:abstractNum>
  <w:abstractNum w:abstractNumId="261">
    <w:nsid w:val="330B1333"/>
    <w:multiLevelType w:val="hybridMultilevel"/>
    <w:lvl w:ilvl="0">
      <w:lvlJc w:val="left"/>
      <w:lvlText w:val="(%1)"/>
      <w:numFmt w:val="lowerLetter"/>
      <w:start w:val="1"/>
    </w:lvl>
  </w:abstractNum>
  <w:abstractNum w:abstractNumId="262">
    <w:nsid w:val="2EF32EA6"/>
    <w:multiLevelType w:val="hybridMultilevel"/>
    <w:lvl w:ilvl="0">
      <w:lvlJc w:val="left"/>
      <w:lvlText w:val="(%1)"/>
      <w:numFmt w:val="lowerLetter"/>
      <w:start w:val="3"/>
    </w:lvl>
  </w:abstractNum>
  <w:abstractNum w:abstractNumId="263">
    <w:nsid w:val="32766A55"/>
    <w:multiLevelType w:val="hybridMultilevel"/>
    <w:lvl w:ilvl="0">
      <w:lvlJc w:val="left"/>
      <w:lvlText w:val="(%1)"/>
      <w:numFmt w:val="lowerLetter"/>
      <w:start w:val="1"/>
    </w:lvl>
  </w:abstractNum>
  <w:abstractNum w:abstractNumId="264">
    <w:nsid w:val="22D71957"/>
    <w:multiLevelType w:val="hybridMultilevel"/>
    <w:lvl w:ilvl="0">
      <w:lvlJc w:val="left"/>
      <w:lvlText w:val="(%1)"/>
      <w:numFmt w:val="lowerLetter"/>
      <w:start w:val="1"/>
    </w:lvl>
  </w:abstractNum>
  <w:abstractNum w:abstractNumId="265">
    <w:nsid w:val="4CC1263B"/>
    <w:multiLevelType w:val="hybridMultilevel"/>
    <w:lvl w:ilvl="0">
      <w:lvlJc w:val="left"/>
      <w:lvlText w:val="(%1)"/>
      <w:numFmt w:val="lowerRoman"/>
      <w:start w:val="1"/>
    </w:lvl>
    <w:lvl w:ilvl="1">
      <w:lvlJc w:val="left"/>
      <w:lvlText w:val="(%2)"/>
      <w:numFmt w:val="upperLetter"/>
      <w:start w:val="1"/>
    </w:lvl>
  </w:abstractNum>
  <w:abstractNum w:abstractNumId="266">
    <w:nsid w:val="8BBEB1D"/>
    <w:multiLevelType w:val="hybridMultilevel"/>
    <w:lvl w:ilvl="0">
      <w:lvlJc w:val="left"/>
      <w:lvlText w:val="(%1)"/>
      <w:numFmt w:val="upperLetter"/>
      <w:start w:val="2"/>
    </w:lvl>
  </w:abstractNum>
  <w:abstractNum w:abstractNumId="267">
    <w:nsid w:val="7365F1EE"/>
    <w:multiLevelType w:val="hybridMultilevel"/>
    <w:lvl w:ilvl="0">
      <w:lvlJc w:val="left"/>
      <w:lvlText w:val="(%1)"/>
      <w:numFmt w:val="lowerRoman"/>
      <w:start w:val="2"/>
    </w:lvl>
  </w:abstractNum>
  <w:abstractNum w:abstractNumId="268">
    <w:nsid w:val="37524CF0"/>
    <w:multiLevelType w:val="hybridMultilevel"/>
    <w:lvl w:ilvl="0">
      <w:lvlJc w:val="left"/>
      <w:lvlText w:val="(%1)"/>
      <w:numFmt w:val="lowerLetter"/>
      <w:start w:val="1"/>
    </w:lvl>
  </w:abstractNum>
  <w:abstractNum w:abstractNumId="269">
    <w:nsid w:val="70CC332F"/>
    <w:multiLevelType w:val="hybridMultilevel"/>
    <w:lvl w:ilvl="0">
      <w:lvlJc w:val="left"/>
      <w:lvlText w:val="(%1)"/>
      <w:numFmt w:val="lowerLetter"/>
      <w:start w:val="2"/>
    </w:lvl>
  </w:abstractNum>
  <w:abstractNum w:abstractNumId="270">
    <w:nsid w:val="5661786E"/>
    <w:multiLevelType w:val="hybridMultilevel"/>
    <w:lvl w:ilvl="0">
      <w:lvlJc w:val="left"/>
      <w:lvlText w:val="(%1)"/>
      <w:numFmt w:val="lowerLetter"/>
      <w:start w:val="1"/>
    </w:lvl>
  </w:abstractNum>
  <w:abstractNum w:abstractNumId="271">
    <w:nsid w:val="3AF6A220"/>
    <w:multiLevelType w:val="hybridMultilevel"/>
    <w:lvl w:ilvl="0">
      <w:lvlJc w:val="left"/>
      <w:lvlText w:val="(%1)"/>
      <w:numFmt w:val="lowerLetter"/>
      <w:start w:val="1"/>
    </w:lvl>
  </w:abstractNum>
  <w:abstractNum w:abstractNumId="272">
    <w:nsid w:val="3C5EA902"/>
    <w:multiLevelType w:val="hybridMultilevel"/>
    <w:lvl w:ilvl="0">
      <w:lvlJc w:val="left"/>
      <w:lvlText w:val="(%1)"/>
      <w:numFmt w:val="lowerLetter"/>
      <w:start w:val="1"/>
    </w:lvl>
  </w:abstractNum>
  <w:abstractNum w:abstractNumId="273">
    <w:nsid w:val="256E6749"/>
    <w:multiLevelType w:val="hybridMultilevel"/>
    <w:lvl w:ilvl="0">
      <w:lvlJc w:val="left"/>
      <w:lvlText w:val="(%1)"/>
      <w:numFmt w:val="lowerLetter"/>
      <w:start w:val="2"/>
    </w:lvl>
    <w:lvl w:ilvl="1">
      <w:lvlJc w:val="left"/>
      <w:lvlText w:val="(%2)"/>
      <w:numFmt w:val="lowerRoman"/>
      <w:start w:val="1"/>
    </w:lvl>
  </w:abstractNum>
  <w:abstractNum w:abstractNumId="274">
    <w:nsid w:val="1CB9A581"/>
    <w:multiLevelType w:val="hybridMultilevel"/>
    <w:lvl w:ilvl="0">
      <w:lvlJc w:val="left"/>
      <w:lvlText w:val="(%1)"/>
      <w:numFmt w:val="lowerLetter"/>
      <w:start w:val="1"/>
    </w:lvl>
    <w:lvl w:ilvl="1">
      <w:lvlJc w:val="left"/>
      <w:lvlText w:val="(%2)"/>
      <w:numFmt w:val="lowerRoman"/>
      <w:start w:val="1"/>
    </w:lvl>
  </w:abstractNum>
  <w:abstractNum w:abstractNumId="275">
    <w:nsid w:val="1F7F42E2"/>
    <w:multiLevelType w:val="hybridMultilevel"/>
    <w:lvl w:ilvl="0">
      <w:lvlJc w:val="left"/>
      <w:lvlText w:val="(%1)"/>
      <w:numFmt w:val="lowerLetter"/>
      <w:start w:val="1"/>
    </w:lvl>
    <w:lvl w:ilvl="1">
      <w:lvlJc w:val="left"/>
      <w:lvlText w:val="(%2)"/>
      <w:numFmt w:val="lowerRoman"/>
      <w:start w:val="1"/>
    </w:lvl>
  </w:abstractNum>
  <w:abstractNum w:abstractNumId="276">
    <w:nsid w:val="49D1FEA0"/>
    <w:multiLevelType w:val="hybridMultilevel"/>
    <w:lvl w:ilvl="0">
      <w:lvlJc w:val="left"/>
      <w:lvlText w:val="(%1)"/>
      <w:numFmt w:val="lowerLetter"/>
      <w:start w:val="2"/>
    </w:lvl>
    <w:lvl w:ilvl="1">
      <w:lvlJc w:val="left"/>
      <w:lvlText w:val="(%2)"/>
      <w:numFmt w:val="lowerRoman"/>
      <w:start w:val="1"/>
    </w:lvl>
  </w:abstractNum>
  <w:abstractNum w:abstractNumId="277">
    <w:nsid w:val="268CB37F"/>
    <w:multiLevelType w:val="hybridMultilevel"/>
    <w:lvl w:ilvl="0">
      <w:lvlJc w:val="left"/>
      <w:lvlText w:val="(%1)"/>
      <w:numFmt w:val="lowerLetter"/>
      <w:start w:val="1"/>
    </w:lvl>
    <w:lvl w:ilvl="1">
      <w:lvlJc w:val="left"/>
      <w:lvlText w:val="(%2)"/>
      <w:numFmt w:val="lowerRoman"/>
      <w:start w:val="1"/>
    </w:lvl>
  </w:abstractNum>
  <w:abstractNum w:abstractNumId="278">
    <w:nsid w:val="102362F8"/>
    <w:multiLevelType w:val="hybridMultilevel"/>
    <w:lvl w:ilvl="0">
      <w:lvlJc w:val="left"/>
      <w:lvlText w:val="(%1)"/>
      <w:numFmt w:val="lowerLetter"/>
      <w:start w:val="2"/>
    </w:lvl>
  </w:abstractNum>
  <w:abstractNum w:abstractNumId="279">
    <w:nsid w:val="5FEDC0E3"/>
    <w:multiLevelType w:val="hybridMultilevel"/>
    <w:lvl w:ilvl="0">
      <w:lvlJc w:val="left"/>
      <w:lvlText w:val="(%1)"/>
      <w:numFmt w:val="lowerLetter"/>
      <w:start w:val="1"/>
    </w:lvl>
  </w:abstractNum>
  <w:abstractNum w:abstractNumId="280">
    <w:nsid w:val="3D75BC47"/>
    <w:multiLevelType w:val="hybridMultilevel"/>
    <w:lvl w:ilvl="0">
      <w:lvlJc w:val="left"/>
      <w:lvlText w:val="(%1)"/>
      <w:numFmt w:val="lowerLetter"/>
      <w:start w:val="1"/>
    </w:lvl>
  </w:abstractNum>
  <w:abstractNum w:abstractNumId="281">
    <w:nsid w:val="3E30D969"/>
    <w:multiLevelType w:val="hybridMultilevel"/>
    <w:lvl w:ilvl="0">
      <w:lvlJc w:val="left"/>
      <w:lvlText w:val="(%1)"/>
      <w:numFmt w:val="lowerLetter"/>
      <w:start w:val="1"/>
    </w:lvl>
  </w:abstractNum>
  <w:abstractNum w:abstractNumId="282">
    <w:nsid w:val="18A35FE3"/>
    <w:multiLevelType w:val="hybridMultilevel"/>
    <w:lvl w:ilvl="0">
      <w:lvlJc w:val="left"/>
      <w:lvlText w:val="(%1)"/>
      <w:numFmt w:val="lowerLetter"/>
      <w:start w:val="1"/>
    </w:lvl>
  </w:abstractNum>
  <w:abstractNum w:abstractNumId="283">
    <w:nsid w:val="6DEF5211"/>
    <w:multiLevelType w:val="hybridMultilevel"/>
    <w:lvl w:ilvl="0">
      <w:lvlJc w:val="left"/>
      <w:lvlText w:val="(%1)"/>
      <w:numFmt w:val="lowerRoman"/>
      <w:start w:val="1"/>
    </w:lvl>
  </w:abstractNum>
  <w:abstractNum w:abstractNumId="284">
    <w:nsid w:val="1112DBB6"/>
    <w:multiLevelType w:val="hybridMultilevel"/>
    <w:lvl w:ilvl="0">
      <w:lvlJc w:val="left"/>
      <w:lvlText w:val="(%1)"/>
      <w:numFmt w:val="lowerLetter"/>
      <w:start w:val="1"/>
    </w:lvl>
  </w:abstractNum>
  <w:abstractNum w:abstractNumId="285">
    <w:nsid w:val="2586A498"/>
    <w:multiLevelType w:val="hybridMultilevel"/>
    <w:lvl w:ilvl="0">
      <w:lvlJc w:val="left"/>
      <w:lvlText w:val="(%1)"/>
      <w:numFmt w:val="lowerLetter"/>
      <w:start w:val="1"/>
    </w:lvl>
  </w:abstractNum>
  <w:abstractNum w:abstractNumId="286">
    <w:nsid w:val="17A03BB9"/>
    <w:multiLevelType w:val="hybridMultilevel"/>
    <w:lvl w:ilvl="0">
      <w:lvlJc w:val="left"/>
      <w:lvlText w:val="(%1)"/>
      <w:numFmt w:val="lowerRoman"/>
      <w:start w:val="1"/>
    </w:lvl>
  </w:abstractNum>
  <w:abstractNum w:abstractNumId="287">
    <w:nsid w:val="5CA941"/>
    <w:multiLevelType w:val="hybridMultilevel"/>
    <w:lvl w:ilvl="0">
      <w:lvlJc w:val="left"/>
      <w:lvlText w:val="(%1)"/>
      <w:numFmt w:val="upperLetter"/>
      <w:start w:val="1"/>
    </w:lvl>
  </w:abstractNum>
  <w:abstractNum w:abstractNumId="288">
    <w:nsid w:val="734C7D9F"/>
    <w:multiLevelType w:val="hybridMultilevel"/>
    <w:lvl w:ilvl="0">
      <w:lvlJc w:val="left"/>
      <w:lvlText w:val="(%1)"/>
      <w:numFmt w:val="lowerLetter"/>
      <w:start w:val="1"/>
    </w:lvl>
  </w:abstractNum>
  <w:abstractNum w:abstractNumId="289">
    <w:nsid w:val="24F5D018"/>
    <w:multiLevelType w:val="hybridMultilevel"/>
    <w:lvl w:ilvl="0">
      <w:lvlJc w:val="left"/>
      <w:lvlText w:val="(%1)"/>
      <w:numFmt w:val="lowerLetter"/>
      <w:start w:val="1"/>
    </w:lvl>
  </w:abstractNum>
  <w:abstractNum w:abstractNumId="290">
    <w:nsid w:val="6780C122"/>
    <w:multiLevelType w:val="hybridMultilevel"/>
    <w:lvl w:ilvl="0">
      <w:lvlJc w:val="left"/>
      <w:lvlText w:val="(%1)"/>
      <w:numFmt w:val="lowerLetter"/>
      <w:start w:val="2"/>
    </w:lvl>
  </w:abstractNum>
  <w:abstractNum w:abstractNumId="291">
    <w:nsid w:val="534347A8"/>
    <w:multiLevelType w:val="hybridMultilevel"/>
    <w:lvl w:ilvl="0">
      <w:lvlJc w:val="left"/>
      <w:lvlText w:val="(%1)"/>
      <w:numFmt w:val="lowerLetter"/>
      <w:start w:val="1"/>
    </w:lvl>
  </w:abstractNum>
  <w:abstractNum w:abstractNumId="292">
    <w:nsid w:val="5800E34B"/>
    <w:multiLevelType w:val="hybridMultilevel"/>
    <w:lvl w:ilvl="0">
      <w:lvlJc w:val="left"/>
      <w:lvlText w:val="(%1)"/>
      <w:numFmt w:val="lowerLetter"/>
      <w:start w:val="1"/>
    </w:lvl>
  </w:abstractNum>
  <w:abstractNum w:abstractNumId="293">
    <w:nsid w:val="1673EFC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94">
    <w:nsid w:val="5B9B1FD"/>
    <w:multiLevelType w:val="hybridMultilevel"/>
    <w:lvl w:ilvl="0">
      <w:lvlJc w:val="left"/>
      <w:lvlText w:val="(%1)"/>
      <w:numFmt w:val="lowerLetter"/>
      <w:start w:val="1"/>
    </w:lvl>
  </w:abstractNum>
  <w:abstractNum w:abstractNumId="295">
    <w:nsid w:val="7AD7FCA2"/>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96">
    <w:nsid w:val="63351604"/>
    <w:multiLevelType w:val="hybridMultilevel"/>
    <w:lvl w:ilvl="0">
      <w:lvlJc w:val="left"/>
      <w:lvlText w:val="(%1)"/>
      <w:numFmt w:val="lowerRoman"/>
      <w:start w:val="3"/>
    </w:lvl>
    <w:lvl w:ilvl="1">
      <w:lvlJc w:val="left"/>
      <w:lvlText w:val="(%2)"/>
      <w:numFmt w:val="upperLetter"/>
      <w:start w:val="5"/>
    </w:lvl>
  </w:abstractNum>
  <w:abstractNum w:abstractNumId="297">
    <w:nsid w:val="E759D1A"/>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98">
    <w:nsid w:val="6E3DEE90"/>
    <w:multiLevelType w:val="hybridMultilevel"/>
    <w:lvl w:ilvl="0">
      <w:lvlJc w:val="left"/>
      <w:lvlText w:val="(%1)"/>
      <w:numFmt w:val="lowerLetter"/>
      <w:start w:val="1"/>
    </w:lvl>
  </w:abstractNum>
  <w:abstractNum w:abstractNumId="299">
    <w:nsid w:val="1A8762F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00">
    <w:nsid w:val="7F41D049"/>
    <w:multiLevelType w:val="hybridMultilevel"/>
    <w:lvl w:ilvl="0">
      <w:lvlJc w:val="left"/>
      <w:lvlText w:val="(%1)"/>
      <w:numFmt w:val="lowerLetter"/>
      <w:start w:val="6"/>
    </w:lvl>
    <w:lvl w:ilvl="1">
      <w:lvlJc w:val="left"/>
      <w:lvlText w:val="(%2)"/>
      <w:numFmt w:val="lowerRoman"/>
      <w:start w:val="1"/>
    </w:lvl>
  </w:abstractNum>
  <w:abstractNum w:abstractNumId="301">
    <w:nsid w:val="449F66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2">
    <w:nsid w:val="557E0515"/>
    <w:multiLevelType w:val="hybridMultilevel"/>
    <w:lvl w:ilvl="0">
      <w:lvlJc w:val="left"/>
      <w:lvlText w:val="(%1)"/>
      <w:numFmt w:val="lowerLetter"/>
      <w:start w:val="1"/>
    </w:lvl>
  </w:abstractNum>
  <w:abstractNum w:abstractNumId="303">
    <w:nsid w:val="3BA0794B"/>
    <w:multiLevelType w:val="hybridMultilevel"/>
    <w:lvl w:ilvl="0">
      <w:lvlJc w:val="left"/>
      <w:lvlText w:val="(%1)"/>
      <w:numFmt w:val="lowerLetter"/>
      <w:start w:val="4"/>
    </w:lvl>
    <w:lvl w:ilvl="1">
      <w:lvlJc w:val="left"/>
      <w:lvlText w:val="(%2)"/>
      <w:numFmt w:val="lowerRoman"/>
      <w:start w:val="1"/>
    </w:lvl>
  </w:abstractNum>
  <w:abstractNum w:abstractNumId="304">
    <w:nsid w:val="6A0DCE48"/>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305">
    <w:nsid w:val="7237AA96"/>
    <w:multiLevelType w:val="hybridMultilevel"/>
    <w:lvl w:ilvl="0">
      <w:lvlJc w:val="left"/>
      <w:lvlText w:val="(%1)"/>
      <w:numFmt w:val="upperLetter"/>
      <w:start w:val="8"/>
    </w:lvl>
  </w:abstractNum>
  <w:abstractNum w:abstractNumId="306">
    <w:nsid w:val="5B1FBC2D"/>
    <w:multiLevelType w:val="hybridMultilevel"/>
    <w:lvl w:ilvl="0">
      <w:lvlJc w:val="left"/>
      <w:lvlText w:val="%1"/>
      <w:numFmt w:val="lowerLetter"/>
      <w:start w:val="1"/>
    </w:lvl>
    <w:lvl w:ilvl="1">
      <w:lvlJc w:val="left"/>
      <w:lvlText w:val="(%2)"/>
      <w:numFmt w:val="upperLetter"/>
      <w:start w:val="9"/>
    </w:lvl>
  </w:abstractNum>
  <w:abstractNum w:abstractNumId="307">
    <w:nsid w:val="33DFCCE8"/>
    <w:multiLevelType w:val="hybridMultilevel"/>
    <w:lvl w:ilvl="0">
      <w:lvlJc w:val="left"/>
      <w:lvlText w:val="(%1)"/>
      <w:numFmt w:val="lowerLetter"/>
      <w:start w:val="19"/>
    </w:lvl>
    <w:lvl w:ilvl="1">
      <w:lvlJc w:val="left"/>
      <w:lvlText w:val="%2"/>
      <w:numFmt w:val="upperLetter"/>
      <w:start w:val="1"/>
    </w:lvl>
  </w:abstractNum>
  <w:abstractNum w:abstractNumId="308">
    <w:nsid w:val="18C45E15"/>
    <w:multiLevelType w:val="hybridMultilevel"/>
    <w:lvl w:ilvl="0">
      <w:lvlJc w:val="left"/>
      <w:lvlText w:val="(%1)"/>
      <w:numFmt w:val="lowerLetter"/>
      <w:start w:val="1"/>
    </w:lvl>
  </w:abstractNum>
  <w:abstractNum w:abstractNumId="309">
    <w:nsid w:val="6B431F25"/>
    <w:multiLevelType w:val="hybridMultilevel"/>
    <w:lvl w:ilvl="0">
      <w:lvlJc w:val="left"/>
      <w:lvlText w:val="(%1)"/>
      <w:numFmt w:val="lowerLetter"/>
      <w:start w:val="1"/>
    </w:lvl>
  </w:abstractNum>
  <w:abstractNum w:abstractNumId="310">
    <w:nsid w:val="13CD8DCB"/>
    <w:multiLevelType w:val="hybridMultilevel"/>
    <w:lvl w:ilvl="0">
      <w:lvlJc w:val="left"/>
      <w:lvlText w:val="(%1)"/>
      <w:numFmt w:val="lowerLetter"/>
      <w:start w:val="1"/>
    </w:lvl>
  </w:abstractNum>
  <w:abstractNum w:abstractNumId="311">
    <w:nsid w:val="563A1A5C"/>
    <w:multiLevelType w:val="hybridMultilevel"/>
    <w:lvl w:ilvl="0">
      <w:lvlJc w:val="left"/>
      <w:lvlText w:val="(%1)"/>
      <w:numFmt w:val="lowerLetter"/>
      <w:start w:val="1"/>
    </w:lvl>
  </w:abstractNum>
  <w:abstractNum w:abstractNumId="312">
    <w:nsid w:val="2973F88F"/>
    <w:multiLevelType w:val="hybridMultilevel"/>
    <w:lvl w:ilvl="0">
      <w:lvlJc w:val="left"/>
      <w:lvlText w:val="(%1)"/>
      <w:numFmt w:val="lowerLetter"/>
      <w:start w:val="1"/>
    </w:lvl>
  </w:abstractNum>
  <w:abstractNum w:abstractNumId="313">
    <w:nsid w:val="2C70EDAE"/>
    <w:multiLevelType w:val="hybridMultilevel"/>
    <w:lvl w:ilvl="0">
      <w:lvlJc w:val="left"/>
      <w:lvlText w:val="(%1)"/>
      <w:numFmt w:val="lowerLetter"/>
      <w:start w:val="1"/>
    </w:lvl>
  </w:abstractNum>
  <w:abstractNum w:abstractNumId="314">
    <w:nsid w:val="44296C6D"/>
    <w:multiLevelType w:val="hybridMultilevel"/>
    <w:lvl w:ilvl="0">
      <w:lvlJc w:val="left"/>
      <w:lvlText w:val="(%1)"/>
      <w:numFmt w:val="lowerLetter"/>
      <w:start w:val="1"/>
    </w:lvl>
  </w:abstractNum>
  <w:abstractNum w:abstractNumId="315">
    <w:nsid w:val="3A86D445"/>
    <w:multiLevelType w:val="hybridMultilevel"/>
    <w:lvl w:ilvl="0">
      <w:lvlJc w:val="left"/>
      <w:lvlText w:val="(%1)"/>
      <w:numFmt w:val="lowerLetter"/>
      <w:start w:val="2"/>
    </w:lvl>
  </w:abstractNum>
  <w:abstractNum w:abstractNumId="316">
    <w:nsid w:val="51F79246"/>
    <w:multiLevelType w:val="hybridMultilevel"/>
    <w:lvl w:ilvl="0">
      <w:lvlJc w:val="left"/>
      <w:lvlText w:val="(%1)"/>
      <w:numFmt w:val="lowerLetter"/>
      <w:start w:val="1"/>
    </w:lvl>
  </w:abstractNum>
  <w:abstractNum w:abstractNumId="317">
    <w:nsid w:val="5BC9A827"/>
    <w:multiLevelType w:val="hybridMultilevel"/>
    <w:lvl w:ilvl="0">
      <w:lvlJc w:val="left"/>
      <w:lvlText w:val="(%1)"/>
      <w:numFmt w:val="lowerLetter"/>
      <w:start w:val="1"/>
    </w:lvl>
  </w:abstractNum>
  <w:abstractNum w:abstractNumId="318">
    <w:nsid w:val="3AE37D86"/>
    <w:multiLevelType w:val="hybridMultilevel"/>
    <w:lvl w:ilvl="0">
      <w:lvlJc w:val="left"/>
      <w:lvlText w:val="(%1)"/>
      <w:numFmt w:val="lowerLetter"/>
      <w:start w:val="1"/>
    </w:lvl>
    <w:lvl w:ilvl="1">
      <w:lvlJc w:val="left"/>
      <w:lvlText w:val="(%2)"/>
      <w:numFmt w:val="lowerRoman"/>
      <w:start w:val="1"/>
    </w:lvl>
  </w:abstractNum>
  <w:abstractNum w:abstractNumId="319">
    <w:nsid w:val="45440FE5"/>
    <w:multiLevelType w:val="hybridMultilevel"/>
    <w:lvl w:ilvl="0">
      <w:lvlJc w:val="left"/>
      <w:lvlText w:val="(%1)"/>
      <w:numFmt w:val="lowerLetter"/>
      <w:start w:val="1"/>
    </w:lvl>
  </w:abstractNum>
  <w:abstractNum w:abstractNumId="320">
    <w:nsid w:val="BF783F"/>
    <w:multiLevelType w:val="hybridMultilevel"/>
    <w:lvl w:ilvl="0">
      <w:lvlJc w:val="left"/>
      <w:lvlText w:val="(%1)"/>
      <w:numFmt w:val="lowerLetter"/>
      <w:start w:val="1"/>
    </w:lvl>
  </w:abstractNum>
  <w:abstractNum w:abstractNumId="321">
    <w:nsid w:val="22643EA9"/>
    <w:multiLevelType w:val="hybridMultilevel"/>
    <w:lvl w:ilvl="0">
      <w:lvlJc w:val="left"/>
      <w:lvlText w:val="(%1)"/>
      <w:numFmt w:val="lowerLetter"/>
      <w:start w:val="2"/>
    </w:lvl>
  </w:abstractNum>
  <w:abstractNum w:abstractNumId="322">
    <w:nsid w:val="1887578D"/>
    <w:multiLevelType w:val="hybridMultilevel"/>
    <w:lvl w:ilvl="0">
      <w:lvlJc w:val="left"/>
      <w:lvlText w:val="(%1)"/>
      <w:numFmt w:val="lowerLetter"/>
      <w:start w:val="1"/>
    </w:lvl>
  </w:abstractNum>
  <w:abstractNum w:abstractNumId="323">
    <w:nsid w:val="58C05B8A"/>
    <w:multiLevelType w:val="hybridMultilevel"/>
    <w:lvl w:ilvl="0">
      <w:lvlJc w:val="left"/>
      <w:lvlText w:val="(%1)"/>
      <w:numFmt w:val="lowerLetter"/>
      <w:start w:val="1"/>
    </w:lvl>
  </w:abstractNum>
  <w:abstractNum w:abstractNumId="324">
    <w:nsid w:val="38D82E71"/>
    <w:multiLevelType w:val="hybridMultilevel"/>
    <w:lvl w:ilvl="0">
      <w:lvlJc w:val="left"/>
      <w:lvlText w:val="(%1)"/>
      <w:numFmt w:val="lowerLetter"/>
      <w:start w:val="1"/>
    </w:lvl>
  </w:abstractNum>
  <w:abstractNum w:abstractNumId="325">
    <w:nsid w:val="1E41098A"/>
    <w:multiLevelType w:val="hybridMultilevel"/>
    <w:lvl w:ilvl="0">
      <w:lvlJc w:val="left"/>
      <w:lvlText w:val="(%1)"/>
      <w:numFmt w:val="lowerLetter"/>
      <w:start w:val="1"/>
    </w:lvl>
  </w:abstractNum>
  <w:abstractNum w:abstractNumId="326">
    <w:nsid w:val="5398582C"/>
    <w:multiLevelType w:val="hybridMultilevel"/>
    <w:lvl w:ilvl="0">
      <w:lvlJc w:val="left"/>
      <w:lvlText w:val="(%1)"/>
      <w:numFmt w:val="lowerLetter"/>
      <w:start w:val="1"/>
    </w:lvl>
  </w:abstractNum>
  <w:abstractNum w:abstractNumId="327">
    <w:nsid w:val="1C0D4475"/>
    <w:multiLevelType w:val="hybridMultilevel"/>
    <w:lvl w:ilvl="0">
      <w:lvlJc w:val="left"/>
      <w:lvlText w:val="(%1)"/>
      <w:numFmt w:val="lowerLetter"/>
      <w:start w:val="1"/>
    </w:lvl>
  </w:abstractNum>
  <w:abstractNum w:abstractNumId="328">
    <w:nsid w:val="2CB6A6A4"/>
    <w:multiLevelType w:val="hybridMultilevel"/>
    <w:lvl w:ilvl="0">
      <w:lvlJc w:val="left"/>
      <w:lvlText w:val="(%1)"/>
      <w:numFmt w:val="lowerLetter"/>
      <w:start w:val="1"/>
    </w:lvl>
  </w:abstractNum>
  <w:abstractNum w:abstractNumId="329">
    <w:nsid w:val="41D646BC"/>
    <w:multiLevelType w:val="hybridMultilevel"/>
    <w:lvl w:ilvl="0">
      <w:lvlJc w:val="left"/>
      <w:lvlText w:val="(%1)"/>
      <w:numFmt w:val="lowerLetter"/>
      <w:start w:val="1"/>
    </w:lvl>
    <w:lvl w:ilvl="1">
      <w:lvlJc w:val="left"/>
      <w:lvlText w:val="(%2)"/>
      <w:numFmt w:val="lowerRoman"/>
      <w:start w:val="1"/>
    </w:lvl>
  </w:abstractNum>
  <w:abstractNum w:abstractNumId="330">
    <w:nsid w:val="3694A76A"/>
    <w:multiLevelType w:val="hybridMultilevel"/>
    <w:lvl w:ilvl="0">
      <w:lvlJc w:val="left"/>
      <w:lvlText w:val="(%1)"/>
      <w:numFmt w:val="lowerRoman"/>
      <w:start w:val="6"/>
    </w:lvl>
  </w:abstractNum>
  <w:abstractNum w:abstractNumId="331">
    <w:nsid w:val="2BF876EE"/>
    <w:multiLevelType w:val="hybridMultilevel"/>
    <w:lvl w:ilvl="0">
      <w:lvlJc w:val="left"/>
      <w:lvlText w:val="(%1)"/>
      <w:numFmt w:val="lowerRoman"/>
      <w:start w:val="1"/>
    </w:lvl>
  </w:abstractNum>
  <w:abstractNum w:abstractNumId="332">
    <w:nsid w:val="675ADBA"/>
    <w:multiLevelType w:val="hybridMultilevel"/>
    <w:lvl w:ilvl="0">
      <w:lvlJc w:val="left"/>
      <w:lvlText w:val="(%1)"/>
      <w:numFmt w:val="lowerRoman"/>
      <w:start w:val="11"/>
    </w:lvl>
  </w:abstractNum>
  <w:abstractNum w:abstractNumId="333">
    <w:nsid w:val="C12AC7F"/>
    <w:multiLevelType w:val="hybridMultilevel"/>
    <w:lvl w:ilvl="0">
      <w:lvlJc w:val="left"/>
      <w:lvlText w:val="(%1)"/>
      <w:numFmt w:val="lowerLetter"/>
      <w:start w:val="2"/>
    </w:lvl>
  </w:abstractNum>
  <w:abstractNum w:abstractNumId="334">
    <w:nsid w:val="6798F039"/>
    <w:multiLevelType w:val="hybridMultilevel"/>
    <w:lvl w:ilvl="0">
      <w:lvlJc w:val="left"/>
      <w:lvlText w:val="(%1)"/>
      <w:numFmt w:val="lowerLetter"/>
      <w:start w:val="2"/>
    </w:lvl>
  </w:abstractNum>
  <w:abstractNum w:abstractNumId="335">
    <w:nsid w:val="70837C02"/>
    <w:multiLevelType w:val="hybridMultilevel"/>
    <w:lvl w:ilvl="0">
      <w:lvlJc w:val="left"/>
      <w:lvlText w:val="(%1)"/>
      <w:numFmt w:val="lowerLetter"/>
      <w:start w:val="7"/>
    </w:lvl>
    <w:lvl w:ilvl="1">
      <w:lvlJc w:val="left"/>
      <w:lvlText w:val="(%2)"/>
      <w:numFmt w:val="lowerRoman"/>
      <w:start w:val="1"/>
    </w:lvl>
  </w:abstractNum>
  <w:abstractNum w:abstractNumId="336">
    <w:nsid w:val="7E4A5715"/>
    <w:multiLevelType w:val="hybridMultilevel"/>
    <w:lvl w:ilvl="0">
      <w:lvlJc w:val="left"/>
      <w:lvlText w:val="(%1)"/>
      <w:numFmt w:val="lowerLetter"/>
      <w:start w:val="1"/>
    </w:lvl>
  </w:abstractNum>
  <w:abstractNum w:abstractNumId="337">
    <w:nsid w:val="42B8AC67"/>
    <w:multiLevelType w:val="hybridMultilevel"/>
    <w:lvl w:ilvl="0">
      <w:lvlJc w:val="left"/>
      <w:lvlText w:val="%1."/>
      <w:numFmt w:val="decimal"/>
      <w:start w:val="2"/>
    </w:lvl>
  </w:abstractNum>
  <w:abstractNum w:abstractNumId="338">
    <w:nsid w:val="246348EA"/>
    <w:multiLevelType w:val="hybridMultilevel"/>
    <w:lvl w:ilvl="0">
      <w:lvlJc w:val="left"/>
      <w:lvlText w:val="%1"/>
      <w:numFmt w:val="decimal"/>
      <w:start w:val="1"/>
    </w:lvl>
    <w:lvl w:ilvl="1">
      <w:lvlJc w:val="left"/>
      <w:lvlText w:val="(%2)"/>
      <w:numFmt w:val="lowerLetter"/>
      <w:start w:val="1"/>
    </w:lvl>
  </w:abstractNum>
  <w:abstractNum w:abstractNumId="339">
    <w:nsid w:val="170EB52B"/>
    <w:multiLevelType w:val="hybridMultilevel"/>
    <w:lvl w:ilvl="0">
      <w:lvlJc w:val="left"/>
      <w:lvlText w:val="%1."/>
      <w:numFmt w:val="decimal"/>
      <w:start w:val="3"/>
    </w:lvl>
    <w:lvl w:ilvl="1">
      <w:lvlJc w:val="left"/>
      <w:lvlText w:val="%2"/>
      <w:numFmt w:val="lowerLetter"/>
      <w:start w:val="1"/>
    </w:lvl>
  </w:abstractNum>
  <w:abstractNum w:abstractNumId="340">
    <w:nsid w:val="2DFBCB8C"/>
    <w:multiLevelType w:val="hybridMultilevel"/>
    <w:lvl w:ilvl="0">
      <w:lvlJc w:val="left"/>
      <w:lvlText w:val="(%1)"/>
      <w:numFmt w:val="lowerLetter"/>
      <w:start w:val="1"/>
    </w:lvl>
    <w:lvl w:ilvl="1">
      <w:lvlJc w:val="left"/>
      <w:lvlText w:val="(%2)"/>
      <w:numFmt w:val="lowerRoman"/>
      <w:start w:val="1"/>
    </w:lvl>
  </w:abstractNum>
  <w:abstractNum w:abstractNumId="341">
    <w:nsid w:val="3830D6B6"/>
    <w:multiLevelType w:val="hybridMultilevel"/>
    <w:lvl w:ilvl="0">
      <w:lvlJc w:val="left"/>
      <w:lvlText w:val="(%1)"/>
      <w:numFmt w:val="lowerLetter"/>
      <w:start w:val="3"/>
    </w:lvl>
  </w:abstractNum>
  <w:abstractNum w:abstractNumId="342">
    <w:nsid w:val="6D48CF87"/>
    <w:multiLevelType w:val="hybridMultilevel"/>
    <w:lvl w:ilvl="0">
      <w:lvlJc w:val="left"/>
      <w:lvlText w:val="%1."/>
      <w:numFmt w:val="decimal"/>
      <w:start w:val="4"/>
    </w:lvl>
  </w:abstractNum>
  <w:abstractNum w:abstractNumId="343">
    <w:nsid w:val="576FC41B"/>
    <w:multiLevelType w:val="hybridMultilevel"/>
    <w:lvl w:ilvl="0">
      <w:lvlJc w:val="left"/>
      <w:lvlText w:val="(%1)"/>
      <w:numFmt w:val="lowerLetter"/>
      <w:start w:val="1"/>
    </w:lvl>
  </w:abstractNum>
  <w:abstractNum w:abstractNumId="344">
    <w:nsid w:val="64A1C464"/>
    <w:multiLevelType w:val="hybridMultilevel"/>
    <w:lvl w:ilvl="0">
      <w:lvlJc w:val="left"/>
      <w:lvlText w:val="(%1)"/>
      <w:numFmt w:val="lowerLetter"/>
      <w:start w:val="1"/>
    </w:lvl>
  </w:abstractNum>
  <w:abstractNum w:abstractNumId="345">
    <w:nsid w:val="31723BF5"/>
    <w:multiLevelType w:val="hybridMultilevel"/>
    <w:lvl w:ilvl="0">
      <w:lvlJc w:val="left"/>
      <w:lvlText w:val="(%1)"/>
      <w:numFmt w:val="lowerLetter"/>
      <w:start w:val="2"/>
    </w:lvl>
  </w:abstractNum>
  <w:abstractNum w:abstractNumId="346">
    <w:nsid w:val="11F698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47">
    <w:nsid w:val="369956AB"/>
    <w:multiLevelType w:val="hybridMultilevel"/>
    <w:lvl w:ilvl="0">
      <w:lvlJc w:val="left"/>
      <w:lvlText w:val="(%1)"/>
      <w:numFmt w:val="lowerLetter"/>
      <w:start w:val="1"/>
    </w:lvl>
    <w:lvl w:ilvl="1">
      <w:lvlJc w:val="left"/>
      <w:lvlText w:val="(%2)"/>
      <w:numFmt w:val="lowerRoman"/>
      <w:start w:val="1"/>
    </w:lvl>
  </w:abstractNum>
  <w:abstractNum w:abstractNumId="348">
    <w:nsid w:val="D3BE41C"/>
    <w:multiLevelType w:val="hybridMultilevel"/>
    <w:lvl w:ilvl="0">
      <w:lvlJc w:val="left"/>
      <w:lvlText w:val="%1."/>
      <w:numFmt w:val="decimal"/>
      <w:start w:val="5"/>
    </w:lvl>
  </w:abstractNum>
  <w:abstractNum w:abstractNumId="349">
    <w:nsid w:val="4CDA15E7"/>
    <w:multiLevelType w:val="hybridMultilevel"/>
    <w:lvl w:ilvl="0">
      <w:lvlJc w:val="left"/>
      <w:lvlText w:val="(%1)"/>
      <w:numFmt w:val="lowerLetter"/>
      <w:start w:val="1"/>
    </w:lvl>
    <w:lvl w:ilvl="1">
      <w:lvlJc w:val="left"/>
      <w:lvlText w:val="(%2)"/>
      <w:numFmt w:val="lowerRoman"/>
      <w:start w:val="1"/>
    </w:lvl>
  </w:abstractNum>
  <w:abstractNum w:abstractNumId="350">
    <w:nsid w:val="7BDD6690"/>
    <w:multiLevelType w:val="hybridMultilevel"/>
    <w:lvl w:ilvl="0">
      <w:lvlJc w:val="left"/>
      <w:lvlText w:val="(%1)"/>
      <w:numFmt w:val="lowerLetter"/>
      <w:start w:val="1"/>
    </w:lvl>
    <w:lvl w:ilvl="1">
      <w:lvlJc w:val="left"/>
      <w:lvlText w:val="(%2)"/>
      <w:numFmt w:val="lowerRoman"/>
      <w:start w:val="1"/>
    </w:lvl>
  </w:abstractNum>
  <w:abstractNum w:abstractNumId="351">
    <w:nsid w:val="DFB5C5B"/>
    <w:multiLevelType w:val="hybridMultilevel"/>
    <w:lvl w:ilvl="0">
      <w:lvlJc w:val="left"/>
      <w:lvlText w:val="(%1)"/>
      <w:numFmt w:val="lowerLetter"/>
      <w:start w:val="1"/>
    </w:lvl>
  </w:abstractNum>
  <w:abstractNum w:abstractNumId="352">
    <w:nsid w:val="6F3E5490"/>
    <w:multiLevelType w:val="hybridMultilevel"/>
    <w:lvl w:ilvl="0">
      <w:lvlJc w:val="left"/>
      <w:lvlText w:val="%1."/>
      <w:numFmt w:val="decimal"/>
      <w:start w:val="6"/>
    </w:lvl>
    <w:lvl w:ilvl="1">
      <w:lvlJc w:val="left"/>
      <w:lvlText w:val="(%2)"/>
      <w:numFmt w:val="lowerLetter"/>
      <w:start w:val="1"/>
    </w:lvl>
  </w:abstractNum>
  <w:abstractNum w:abstractNumId="353">
    <w:nsid w:val="1464BE1E"/>
    <w:multiLevelType w:val="hybridMultilevel"/>
    <w:lvl w:ilvl="0">
      <w:lvlJc w:val="left"/>
      <w:lvlText w:val="(%1)"/>
      <w:numFmt w:val="lowerLetter"/>
      <w:start w:val="1"/>
    </w:lvl>
  </w:abstractNum>
  <w:abstractNum w:abstractNumId="354">
    <w:nsid w:val="66BBB7E5"/>
    <w:multiLevelType w:val="hybridMultilevel"/>
    <w:lvl w:ilvl="0">
      <w:lvlJc w:val="left"/>
      <w:lvlText w:val="(%1)"/>
      <w:numFmt w:val="lowerLetter"/>
      <w:start w:val="2"/>
    </w:lvl>
  </w:abstractNum>
  <w:abstractNum w:abstractNumId="355">
    <w:nsid w:val="28168302"/>
    <w:multiLevelType w:val="hybridMultilevel"/>
    <w:lvl w:ilvl="0">
      <w:lvlJc w:val="left"/>
      <w:lvlText w:val="%1."/>
      <w:numFmt w:val="decimal"/>
      <w:start w:val="7"/>
    </w:lvl>
    <w:lvl w:ilvl="1">
      <w:lvlJc w:val="left"/>
      <w:lvlText w:val="(%2)"/>
      <w:numFmt w:val="lowerLetter"/>
      <w:start w:val="1"/>
    </w:lvl>
  </w:abstractNum>
  <w:abstractNum w:abstractNumId="356">
    <w:nsid w:val="32A5C7A8"/>
    <w:multiLevelType w:val="hybridMultilevel"/>
    <w:lvl w:ilvl="0">
      <w:lvlJc w:val="left"/>
      <w:lvlText w:val="(%1)"/>
      <w:numFmt w:val="lowerLetter"/>
      <w:start w:val="1"/>
    </w:lvl>
    <w:lvl w:ilvl="1">
      <w:lvlJc w:val="left"/>
      <w:lvlText w:val="(%2)"/>
      <w:numFmt w:val="lowerRoman"/>
      <w:start w:val="1"/>
    </w:lvl>
  </w:abstractNum>
  <w:abstractNum w:abstractNumId="357">
    <w:nsid w:val="3A541011"/>
    <w:multiLevelType w:val="hybridMultilevel"/>
    <w:lvl w:ilvl="0">
      <w:lvlJc w:val="left"/>
      <w:lvlText w:val="%1"/>
      <w:numFmt w:val="lowerLetter"/>
      <w:start w:val="1"/>
    </w:lvl>
    <w:lvl w:ilvl="1">
      <w:lvlJc w:val="left"/>
      <w:lvlText w:val="(%2)"/>
      <w:numFmt w:val="lowerRoman"/>
      <w:start w:val="3"/>
    </w:lvl>
  </w:abstractNum>
  <w:abstractNum w:abstractNumId="358">
    <w:nsid w:val="4423C777"/>
    <w:multiLevelType w:val="hybridMultilevel"/>
    <w:lvl w:ilvl="0">
      <w:lvlJc w:val="left"/>
      <w:lvlText w:val="(%1)"/>
      <w:numFmt w:val="lowerLetter"/>
      <w:start w:val="4"/>
    </w:lvl>
    <w:lvl w:ilvl="1">
      <w:lvlJc w:val="left"/>
      <w:lvlText w:val="%2"/>
      <w:numFmt w:val="lowerRoman"/>
      <w:start w:val="1"/>
    </w:lvl>
  </w:abstractNum>
  <w:abstractNum w:abstractNumId="359">
    <w:nsid w:val="5F5C6E4D"/>
    <w:multiLevelType w:val="hybridMultilevel"/>
    <w:lvl w:ilvl="0">
      <w:lvlJc w:val="left"/>
      <w:lvlText w:val="(%1)"/>
      <w:numFmt w:val="lowerLetter"/>
      <w:start w:val="5"/>
    </w:lvl>
  </w:abstractNum>
  <w:abstractNum w:abstractNumId="360">
    <w:nsid w:val="7C2A56CD"/>
    <w:multiLevelType w:val="hybridMultilevel"/>
    <w:lvl w:ilvl="0">
      <w:lvlJc w:val="left"/>
      <w:lvlText w:val="(%1)"/>
      <w:numFmt w:val="lowerLetter"/>
      <w:start w:val="7"/>
    </w:lvl>
    <w:lvl w:ilvl="1">
      <w:lvlJc w:val="left"/>
      <w:lvlText w:val="(%2)"/>
      <w:numFmt w:val="lowerRoman"/>
      <w:start w:val="1"/>
    </w:lvl>
  </w:abstractNum>
  <w:abstractNum w:abstractNumId="361">
    <w:nsid w:val="7AB86EE1"/>
    <w:multiLevelType w:val="hybridMultilevel"/>
    <w:lvl w:ilvl="0">
      <w:lvlJc w:val="left"/>
      <w:lvlText w:val="(%1)"/>
      <w:numFmt w:val="lowerLetter"/>
      <w:start w:val="8"/>
    </w:lvl>
    <w:lvl w:ilvl="1">
      <w:lvlJc w:val="left"/>
      <w:lvlText w:val="(%2)"/>
      <w:numFmt w:val="lowerRoman"/>
      <w:start w:val="1"/>
    </w:lvl>
  </w:abstractNum>
  <w:abstractNum w:abstractNumId="362">
    <w:nsid w:val="B54E53B"/>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lvl w:ilvl="3">
      <w:lvlJc w:val="left"/>
      <w:lvlText w:val="(%4)"/>
      <w:numFmt w:val="lowerLetter"/>
      <w:start w:val="25"/>
    </w:lvl>
    <w:lvl w:ilvl="4">
      <w:lvlJc w:val="left"/>
      <w:lvlText w:val="(%5)"/>
      <w:numFmt w:val="decimal"/>
      <w:start w:val="1"/>
    </w:lvl>
  </w:abstractNum>
  <w:abstractNum w:abstractNumId="363">
    <w:nsid w:val="2A004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64">
    <w:nsid w:val="6CB1B60"/>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65">
    <w:nsid w:val="72EDD574"/>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366">
    <w:nsid w:val="7323808A"/>
    <w:multiLevelType w:val="hybridMultilevel"/>
    <w:lvl w:ilvl="0">
      <w:lvlJc w:val="left"/>
      <w:lvlText w:val="(%1)"/>
      <w:numFmt w:val="lowerLetter"/>
      <w:start w:val="1"/>
    </w:lvl>
    <w:lvl w:ilvl="1">
      <w:lvlJc w:val="left"/>
      <w:lvlText w:val="(%2)"/>
      <w:numFmt w:val="lowerRoman"/>
      <w:start w:val="1"/>
    </w:lvl>
  </w:abstractNum>
  <w:abstractNum w:abstractNumId="367">
    <w:nsid w:val="5157276"/>
    <w:multiLevelType w:val="hybridMultilevel"/>
    <w:lvl w:ilvl="0">
      <w:lvlJc w:val="left"/>
      <w:lvlText w:val="(%1)"/>
      <w:numFmt w:val="lowerRoman"/>
      <w:start w:val="6"/>
    </w:lvl>
  </w:abstractNum>
  <w:abstractNum w:abstractNumId="368">
    <w:nsid w:val="35A681DB"/>
    <w:multiLevelType w:val="hybridMultilevel"/>
    <w:lvl w:ilvl="0">
      <w:lvlJc w:val="left"/>
      <w:lvlText w:val="(%1)"/>
      <w:numFmt w:val="lowerLetter"/>
      <w:start w:val="3"/>
    </w:lvl>
    <w:lvl w:ilvl="1">
      <w:lvlJc w:val="left"/>
      <w:lvlText w:val="(%2)"/>
      <w:numFmt w:val="lowerRoman"/>
      <w:start w:val="1"/>
    </w:lvl>
  </w:abstractNum>
  <w:abstractNum w:abstractNumId="369">
    <w:nsid w:val="1786C974"/>
    <w:multiLevelType w:val="hybridMultilevel"/>
    <w:lvl w:ilvl="0">
      <w:lvlJc w:val="left"/>
      <w:lvlText w:val="(%1)"/>
      <w:numFmt w:val="lowerLetter"/>
      <w:start w:val="1"/>
    </w:lvl>
  </w:abstractNum>
  <w:abstractNum w:abstractNumId="370">
    <w:nsid w:val="1C2427A1"/>
    <w:multiLevelType w:val="hybridMultilevel"/>
    <w:lvl w:ilvl="0">
      <w:lvlJc w:val="left"/>
      <w:lvlText w:val="(%1)"/>
      <w:numFmt w:val="lowerLetter"/>
      <w:start w:val="1"/>
    </w:lvl>
  </w:abstractNum>
  <w:abstractNum w:abstractNumId="371">
    <w:nsid w:val="63A24D68"/>
    <w:multiLevelType w:val="hybridMultilevel"/>
    <w:lvl w:ilvl="0">
      <w:lvlJc w:val="left"/>
      <w:lvlText w:val="(%1)"/>
      <w:numFmt w:val="lowerLetter"/>
      <w:start w:val="1"/>
    </w:lvl>
  </w:abstractNum>
  <w:abstractNum w:abstractNumId="372">
    <w:nsid w:val="4FB7A02A"/>
    <w:multiLevelType w:val="hybridMultilevel"/>
    <w:lvl w:ilvl="0">
      <w:lvlJc w:val="left"/>
      <w:lvlText w:val="%1."/>
      <w:numFmt w:val="decimal"/>
      <w:start w:val="8"/>
    </w:lvl>
  </w:abstractNum>
  <w:abstractNum w:abstractNumId="373">
    <w:nsid w:val="96CF7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4">
    <w:nsid w:val="3B121183"/>
    <w:multiLevelType w:val="hybridMultilevel"/>
    <w:lvl w:ilvl="0">
      <w:lvlJc w:val="left"/>
      <w:lvlText w:val="(%1)"/>
      <w:numFmt w:val="decimal"/>
      <w:start w:val="1"/>
    </w:lvl>
  </w:abstractNum>
  <w:abstractNum w:abstractNumId="375">
    <w:nsid w:val="3459648F"/>
    <w:multiLevelType w:val="hybridMultilevel"/>
    <w:lvl w:ilvl="0">
      <w:lvlJc w:val="left"/>
      <w:lvlText w:val="(%1)"/>
      <w:numFmt w:val="upperLetter"/>
      <w:start w:val="9"/>
    </w:lvl>
  </w:abstractNum>
  <w:abstractNum w:abstractNumId="376">
    <w:nsid w:val="3ADF331D"/>
    <w:multiLevelType w:val="hybridMultilevel"/>
    <w:lvl w:ilvl="0">
      <w:lvlJc w:val="left"/>
      <w:lvlText w:val="%1"/>
      <w:numFmt w:val="decimal"/>
      <w:start w:val="1"/>
    </w:lvl>
    <w:lvl w:ilvl="1">
      <w:lvlJc w:val="left"/>
      <w:lvlText w:val="(%2)"/>
      <w:numFmt w:val="upperLetter"/>
      <w:start w:val="35"/>
    </w:lvl>
  </w:abstractNum>
  <w:abstractNum w:abstractNumId="377">
    <w:nsid w:val="4D08A9E4"/>
    <w:multiLevelType w:val="hybridMultilevel"/>
    <w:lvl w:ilvl="0">
      <w:lvlJc w:val="left"/>
      <w:lvlText w:val="(%1)"/>
      <w:numFmt w:val="decimal"/>
      <w:start w:val="2"/>
    </w:lvl>
    <w:lvl w:ilvl="1">
      <w:lvlJc w:val="left"/>
      <w:lvlText w:val="(%2)"/>
      <w:numFmt w:val="upperLetter"/>
      <w:start w:val="9"/>
    </w:lvl>
  </w:abstractNum>
  <w:abstractNum w:abstractNumId="378">
    <w:nsid w:val="6AF2BB3A"/>
    <w:multiLevelType w:val="hybridMultilevel"/>
    <w:lvl w:ilvl="0">
      <w:lvlJc w:val="left"/>
      <w:lvlText w:val="%1"/>
      <w:numFmt w:val="lowerLetter"/>
      <w:start w:val="1"/>
    </w:lvl>
    <w:lvl w:ilvl="1">
      <w:lvlJc w:val="left"/>
      <w:lvlText w:val="(%2)"/>
      <w:numFmt w:val="upperLetter"/>
      <w:start w:val="35"/>
    </w:lvl>
  </w:abstractNum>
  <w:abstractNum w:abstractNumId="379">
    <w:nsid w:val="481B1739"/>
    <w:multiLevelType w:val="hybridMultilevel"/>
    <w:lvl w:ilvl="0">
      <w:lvlJc w:val="left"/>
      <w:lvlText w:val="(%1)"/>
      <w:numFmt w:val="lowerLetter"/>
      <w:start w:val="3"/>
    </w:lvl>
    <w:lvl w:ilvl="1">
      <w:lvlJc w:val="left"/>
      <w:lvlText w:val="%2"/>
      <w:numFmt w:val="upperLetter"/>
      <w:start w:val="1"/>
    </w:lvl>
  </w:abstractNum>
  <w:abstractNum w:abstractNumId="380">
    <w:nsid w:val="19E2BFCC"/>
    <w:multiLevelType w:val="hybridMultilevel"/>
    <w:lvl w:ilvl="0">
      <w:lvlJc w:val="left"/>
      <w:lvlText w:val="%1"/>
      <w:numFmt w:val="decimal"/>
      <w:start w:val="1"/>
    </w:lvl>
    <w:lvl w:ilvl="1">
      <w:lvlJc w:val="left"/>
      <w:lvlText w:val="(%2)"/>
      <w:numFmt w:val="lowerLetter"/>
      <w:start w:val="1"/>
    </w:lvl>
  </w:abstractNum>
  <w:abstractNum w:abstractNumId="381">
    <w:nsid w:val="66D021CA"/>
    <w:multiLevelType w:val="hybridMultilevel"/>
    <w:lvl w:ilvl="0">
      <w:lvlJc w:val="left"/>
      <w:lvlText w:val="%1."/>
      <w:numFmt w:val="decimal"/>
      <w:start w:val="9"/>
    </w:lvl>
    <w:lvl w:ilvl="1">
      <w:lvlJc w:val="left"/>
      <w:lvlText w:val="%2"/>
      <w:numFmt w:val="lowerLetter"/>
      <w:start w:val="1"/>
    </w:lvl>
  </w:abstractNum>
  <w:abstractNum w:abstractNumId="382">
    <w:nsid w:val="56167394"/>
    <w:multiLevelType w:val="hybridMultilevel"/>
    <w:lvl w:ilvl="0">
      <w:lvlJc w:val="left"/>
      <w:lvlText w:val="(%1)"/>
      <w:numFmt w:val="lowerLetter"/>
      <w:start w:val="1"/>
    </w:lvl>
  </w:abstractNum>
  <w:abstractNum w:abstractNumId="383">
    <w:nsid w:val="921145C"/>
    <w:multiLevelType w:val="hybridMultilevel"/>
    <w:lvl w:ilvl="0">
      <w:lvlJc w:val="left"/>
      <w:lvlText w:val="(%1)"/>
      <w:numFmt w:val="lowerLetter"/>
      <w:start w:val="1"/>
    </w:lvl>
    <w:lvl w:ilvl="1">
      <w:lvlJc w:val="left"/>
      <w:lvlText w:val="(%2)"/>
      <w:numFmt w:val="lowerRoman"/>
      <w:start w:val="1"/>
    </w:lvl>
  </w:abstractNum>
  <w:abstractNum w:abstractNumId="384">
    <w:nsid w:val="7B34DFE8"/>
    <w:multiLevelType w:val="hybridMultilevel"/>
    <w:lvl w:ilvl="0">
      <w:lvlJc w:val="left"/>
      <w:lvlText w:val="(%1)"/>
      <w:numFmt w:val="lowerLetter"/>
      <w:start w:val="2"/>
    </w:lvl>
  </w:abstractNum>
  <w:abstractNum w:abstractNumId="385">
    <w:nsid w:val="3CD22B79"/>
    <w:multiLevelType w:val="hybridMultilevel"/>
    <w:lvl w:ilvl="0">
      <w:lvlJc w:val="left"/>
      <w:lvlText w:val="%1"/>
      <w:numFmt w:val="decimal"/>
      <w:start w:val="1"/>
    </w:lvl>
    <w:lvl w:ilvl="1">
      <w:lvlJc w:val="left"/>
      <w:lvlText w:val="(%2)"/>
      <w:numFmt w:val="lowerLetter"/>
      <w:start w:val="1"/>
    </w:lvl>
  </w:abstractNum>
  <w:abstractNum w:abstractNumId="386">
    <w:nsid w:val="3137975E"/>
    <w:multiLevelType w:val="hybridMultilevel"/>
    <w:lvl w:ilvl="0">
      <w:lvlJc w:val="left"/>
      <w:lvlText w:val="%1."/>
      <w:numFmt w:val="decimal"/>
      <w:start w:val="10"/>
    </w:lvl>
    <w:lvl w:ilvl="1">
      <w:lvlJc w:val="left"/>
      <w:lvlText w:val="%2"/>
      <w:numFmt w:val="lowerLetter"/>
      <w:start w:val="1"/>
    </w:lvl>
  </w:abstractNum>
  <w:abstractNum w:abstractNumId="387">
    <w:nsid w:val="2DDAA791"/>
    <w:multiLevelType w:val="hybridMultilevel"/>
    <w:lvl w:ilvl="0">
      <w:lvlJc w:val="left"/>
      <w:lvlText w:val="(%1)"/>
      <w:numFmt w:val="lowerLetter"/>
      <w:start w:val="1"/>
    </w:lvl>
  </w:abstractNum>
  <w:abstractNum w:abstractNumId="388">
    <w:nsid w:val="77263B8A"/>
    <w:multiLevelType w:val="hybridMultilevel"/>
    <w:lvl w:ilvl="0">
      <w:lvlJc w:val="left"/>
      <w:lvlText w:val="(%1)"/>
      <w:numFmt w:val="lowerLetter"/>
      <w:start w:val="1"/>
    </w:lvl>
  </w:abstractNum>
  <w:abstractNum w:abstractNumId="389">
    <w:nsid w:val="755B5ED6"/>
    <w:multiLevelType w:val="hybridMultilevel"/>
    <w:lvl w:ilvl="0">
      <w:lvlJc w:val="left"/>
      <w:lvlText w:val="(%1)"/>
      <w:numFmt w:val="lowerLetter"/>
      <w:start w:val="1"/>
    </w:lvl>
  </w:abstractNum>
  <w:abstractNum w:abstractNumId="390">
    <w:nsid w:val="D3715DE"/>
    <w:multiLevelType w:val="hybridMultilevel"/>
    <w:lvl w:ilvl="0">
      <w:lvlJc w:val="left"/>
      <w:lvlText w:val="(%1)"/>
      <w:numFmt w:val="lowerLetter"/>
      <w:start w:val="1"/>
    </w:lvl>
  </w:abstractNum>
  <w:abstractNum w:abstractNumId="391">
    <w:nsid w:val="73509257"/>
    <w:multiLevelType w:val="hybridMultilevel"/>
    <w:lvl w:ilvl="0">
      <w:lvlJc w:val="left"/>
      <w:lvlText w:val="(%1)"/>
      <w:numFmt w:val="lowerLetter"/>
      <w:start w:val="1"/>
    </w:lvl>
  </w:abstractNum>
  <w:abstractNum w:abstractNumId="392">
    <w:nsid w:val="7013CDB7"/>
    <w:multiLevelType w:val="hybridMultilevel"/>
    <w:lvl w:ilvl="0">
      <w:lvlJc w:val="left"/>
      <w:lvlText w:val="%1"/>
      <w:numFmt w:val="decimal"/>
      <w:start w:val="1"/>
    </w:lvl>
    <w:lvl w:ilvl="1">
      <w:lvlJc w:val="left"/>
      <w:lvlText w:val="(%2)"/>
      <w:numFmt w:val="lowerLetter"/>
      <w:start w:val="2"/>
    </w:lvl>
  </w:abstractNum>
  <w:abstractNum w:abstractNumId="393">
    <w:nsid w:val="188BFB19"/>
    <w:multiLevelType w:val="hybridMultilevel"/>
    <w:lvl w:ilvl="0">
      <w:lvlJc w:val="left"/>
      <w:lvlText w:val="%1."/>
      <w:numFmt w:val="decimal"/>
      <w:start w:val="11"/>
    </w:lvl>
    <w:lvl w:ilvl="1">
      <w:lvlJc w:val="left"/>
      <w:lvlText w:val="%2"/>
      <w:numFmt w:val="lowerLetter"/>
      <w:start w:val="1"/>
    </w:lvl>
  </w:abstractNum>
  <w:abstractNum w:abstractNumId="394">
    <w:nsid w:val="75F096DF"/>
    <w:multiLevelType w:val="hybridMultilevel"/>
    <w:lvl w:ilvl="0">
      <w:lvlJc w:val="left"/>
      <w:lvlText w:val="(%1)"/>
      <w:numFmt w:val="lowerLetter"/>
      <w:start w:val="3"/>
    </w:lvl>
  </w:abstractNum>
  <w:abstractNum w:abstractNumId="395">
    <w:nsid w:val="76DEE918"/>
    <w:multiLevelType w:val="hybridMultilevel"/>
    <w:lvl w:ilvl="0">
      <w:lvlJc w:val="left"/>
      <w:lvlText w:val="%1."/>
      <w:numFmt w:val="decimal"/>
      <w:start w:val="12"/>
    </w:lvl>
  </w:abstractNum>
  <w:abstractNum w:abstractNumId="396">
    <w:nsid w:val="B79D0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397">
    <w:nsid w:val="69141769"/>
    <w:multiLevelType w:val="hybridMultilevel"/>
    <w:lvl w:ilvl="0">
      <w:lvlJc w:val="left"/>
      <w:lvlText w:val="(%1)"/>
      <w:numFmt w:val="lowerLetter"/>
      <w:start w:val="2"/>
    </w:lvl>
  </w:abstractNum>
  <w:abstractNum w:abstractNumId="398">
    <w:nsid w:val="7BF45B8E"/>
    <w:multiLevelType w:val="hybridMultilevel"/>
    <w:lvl w:ilvl="0">
      <w:lvlJc w:val="left"/>
      <w:lvlText w:val="(%1)"/>
      <w:numFmt w:val="lowerLetter"/>
      <w:start w:val="1"/>
    </w:lvl>
  </w:abstractNum>
  <w:abstractNum w:abstractNumId="399">
    <w:nsid w:val="41205269"/>
    <w:multiLevelType w:val="hybridMultilevel"/>
    <w:lvl w:ilvl="0">
      <w:lvlJc w:val="left"/>
      <w:lvlText w:val="(%1)"/>
      <w:numFmt w:val="lowerLetter"/>
      <w:start w:val="1"/>
    </w:lvl>
  </w:abstractNum>
  <w:abstractNum w:abstractNumId="400">
    <w:nsid w:val="9AE0DD"/>
    <w:multiLevelType w:val="hybridMultilevel"/>
    <w:lvl w:ilvl="0">
      <w:lvlJc w:val="left"/>
      <w:lvlText w:val="(%1)"/>
      <w:numFmt w:val="lowerLetter"/>
      <w:start w:val="2"/>
    </w:lvl>
    <w:lvl w:ilvl="1">
      <w:lvlJc w:val="left"/>
      <w:lvlText w:val="(%2)"/>
      <w:numFmt w:val="lowerRoman"/>
      <w:start w:val="1"/>
    </w:lvl>
  </w:abstractNum>
  <w:abstractNum w:abstractNumId="401">
    <w:nsid w:val="181883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2">
    <w:nsid w:val="24C29FD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03">
    <w:nsid w:val="50528108"/>
    <w:multiLevelType w:val="hybridMultilevel"/>
    <w:lvl w:ilvl="0">
      <w:lvlJc w:val="left"/>
      <w:lvlText w:val="(%1)"/>
      <w:numFmt w:val="lowerLetter"/>
      <w:start w:val="1"/>
    </w:lvl>
  </w:abstractNum>
  <w:abstractNum w:abstractNumId="404">
    <w:nsid w:val="21857A57"/>
    <w:multiLevelType w:val="hybridMultilevel"/>
    <w:lvl w:ilvl="0">
      <w:lvlJc w:val="left"/>
      <w:lvlText w:val="(%1)"/>
      <w:numFmt w:val="lowerLetter"/>
      <w:start w:val="1"/>
    </w:lvl>
    <w:lvl w:ilvl="1">
      <w:lvlJc w:val="left"/>
      <w:lvlText w:val="(%2)"/>
      <w:numFmt w:val="lowerRoman"/>
      <w:start w:val="1"/>
    </w:lvl>
  </w:abstractNum>
  <w:abstractNum w:abstractNumId="405">
    <w:nsid w:val="5FD4B154"/>
    <w:multiLevelType w:val="hybridMultilevel"/>
    <w:lvl w:ilvl="0">
      <w:lvlJc w:val="left"/>
      <w:lvlText w:val="%1"/>
      <w:numFmt w:val="decimal"/>
      <w:start w:val="1"/>
    </w:lvl>
    <w:lvl w:ilvl="1">
      <w:lvlJc w:val="left"/>
      <w:lvlText w:val="(%2)"/>
      <w:numFmt w:val="lowerLetter"/>
      <w:start w:val="2"/>
    </w:lvl>
  </w:abstractNum>
  <w:abstractNum w:abstractNumId="406">
    <w:nsid w:val="4ABE597"/>
    <w:multiLevelType w:val="hybridMultilevel"/>
    <w:lvl w:ilvl="0">
      <w:lvlJc w:val="left"/>
      <w:lvlText w:val="%1."/>
      <w:numFmt w:val="decimal"/>
      <w:start w:val="14"/>
    </w:lvl>
    <w:lvl w:ilvl="1">
      <w:lvlJc w:val="left"/>
      <w:lvlText w:val="%2"/>
      <w:numFmt w:val="lowerLetter"/>
      <w:start w:val="1"/>
    </w:lvl>
  </w:abstractNum>
  <w:abstractNum w:abstractNumId="407">
    <w:nsid w:val="5C64AD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8">
    <w:nsid w:val="2CDD5B39"/>
    <w:multiLevelType w:val="hybridMultilevel"/>
    <w:lvl w:ilvl="0">
      <w:lvlJc w:val="left"/>
      <w:lvlText w:val="%1"/>
      <w:numFmt w:val="lowerLetter"/>
      <w:start w:val="1"/>
    </w:lvl>
    <w:lvl w:ilvl="1">
      <w:lvlJc w:val="left"/>
      <w:lvlText w:val="(%2)"/>
      <w:numFmt w:val="lowerLetter"/>
      <w:start w:val="35"/>
    </w:lvl>
  </w:abstractNum>
  <w:abstractNum w:abstractNumId="409">
    <w:nsid w:val="6F9EA0D1"/>
    <w:multiLevelType w:val="hybridMultilevel"/>
    <w:lvl w:ilvl="0">
      <w:lvlJc w:val="left"/>
      <w:lvlText w:val="(%1)"/>
      <w:numFmt w:val="lowerLetter"/>
      <w:start w:val="3"/>
    </w:lvl>
    <w:lvl w:ilvl="1">
      <w:lvlJc w:val="left"/>
      <w:lvlText w:val="%2"/>
      <w:numFmt w:val="lowerLetter"/>
      <w:start w:val="1"/>
    </w:lvl>
  </w:abstractNum>
  <w:abstractNum w:abstractNumId="410">
    <w:nsid w:val="247FC4AE"/>
    <w:multiLevelType w:val="hybridMultilevel"/>
    <w:lvl w:ilvl="0">
      <w:lvlJc w:val="left"/>
      <w:lvlText w:val="(%1)"/>
      <w:numFmt w:val="lowerLetter"/>
      <w:start w:val="1"/>
    </w:lvl>
  </w:abstractNum>
  <w:abstractNum w:abstractNumId="411">
    <w:nsid w:val="46C01B05"/>
    <w:multiLevelType w:val="hybridMultilevel"/>
    <w:lvl w:ilvl="0">
      <w:lvlJc w:val="left"/>
      <w:lvlText w:val="(%1)"/>
      <w:numFmt w:val="lowerLetter"/>
      <w:start w:val="1"/>
    </w:lvl>
  </w:abstractNum>
  <w:abstractNum w:abstractNumId="412">
    <w:nsid w:val="566EC29B"/>
    <w:multiLevelType w:val="hybridMultilevel"/>
    <w:lvl w:ilvl="0">
      <w:lvlJc w:val="left"/>
      <w:lvlText w:val="(%1)"/>
      <w:numFmt w:val="lowerLetter"/>
      <w:start w:val="1"/>
    </w:lvl>
  </w:abstractNum>
  <w:abstractNum w:abstractNumId="413">
    <w:nsid w:val="7A9638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4">
    <w:nsid w:val="4FE12F6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15">
    <w:nsid w:val="51A3A284"/>
    <w:multiLevelType w:val="hybridMultilevel"/>
    <w:lvl w:ilvl="0">
      <w:lvlJc w:val="left"/>
      <w:lvlText w:val="(%1)"/>
      <w:numFmt w:val="lowerLetter"/>
      <w:start w:val="1"/>
    </w:lvl>
  </w:abstractNum>
  <w:abstractNum w:abstractNumId="416">
    <w:nsid w:val="376863BC"/>
    <w:multiLevelType w:val="hybridMultilevel"/>
    <w:lvl w:ilvl="0">
      <w:lvlJc w:val="left"/>
      <w:lvlText w:val="%1."/>
      <w:numFmt w:val="decimal"/>
      <w:start w:val="16"/>
    </w:lvl>
    <w:lvl w:ilvl="1">
      <w:lvlJc w:val="left"/>
      <w:lvlText w:val="(%2)"/>
      <w:numFmt w:val="lowerLetter"/>
      <w:start w:val="1"/>
    </w:lvl>
  </w:abstractNum>
  <w:abstractNum w:abstractNumId="417">
    <w:nsid w:val="118C6C0"/>
    <w:multiLevelType w:val="hybridMultilevel"/>
    <w:lvl w:ilvl="0">
      <w:lvlJc w:val="left"/>
      <w:lvlText w:val="(%1)"/>
      <w:numFmt w:val="lowerLetter"/>
      <w:start w:val="1"/>
    </w:lvl>
  </w:abstractNum>
  <w:abstractNum w:abstractNumId="418">
    <w:nsid w:val="7F7E4A15"/>
    <w:multiLevelType w:val="hybridMultilevel"/>
    <w:lvl w:ilvl="0">
      <w:lvlJc w:val="left"/>
      <w:lvlText w:val="(%1)"/>
      <w:numFmt w:val="lowerLetter"/>
      <w:start w:val="1"/>
    </w:lvl>
  </w:abstractNum>
  <w:abstractNum w:abstractNumId="419">
    <w:nsid w:val="2E8E9F4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0">
    <w:nsid w:val="76742596"/>
    <w:multiLevelType w:val="hybridMultilevel"/>
    <w:lvl w:ilvl="0">
      <w:lvlJc w:val="left"/>
      <w:lvlText w:val="%1"/>
      <w:numFmt w:val="lowerLetter"/>
      <w:start w:val="1"/>
    </w:lvl>
    <w:lvl w:ilvl="1">
      <w:lvlJc w:val="left"/>
      <w:lvlText w:val="(%2)"/>
      <w:numFmt w:val="lowerRoman"/>
      <w:start w:val="2"/>
    </w:lvl>
  </w:abstractNum>
  <w:abstractNum w:abstractNumId="421">
    <w:nsid w:val="CB55FF3"/>
    <w:multiLevelType w:val="hybridMultilevel"/>
    <w:lvl w:ilvl="0">
      <w:lvlJc w:val="left"/>
      <w:lvlText w:val="(%1)"/>
      <w:numFmt w:val="lowerLetter"/>
      <w:start w:val="3"/>
    </w:lvl>
    <w:lvl w:ilvl="1">
      <w:lvlJc w:val="left"/>
      <w:lvlText w:val="%2"/>
      <w:numFmt w:val="lowerRoman"/>
      <w:start w:val="1"/>
    </w:lvl>
  </w:abstractNum>
  <w:abstractNum w:abstractNumId="422">
    <w:nsid w:val="21DF319E"/>
    <w:multiLevelType w:val="hybridMultilevel"/>
    <w:lvl w:ilvl="0">
      <w:lvlJc w:val="left"/>
      <w:lvlText w:val="(%1)"/>
      <w:numFmt w:val="lowerLetter"/>
      <w:start w:val="1"/>
    </w:lvl>
  </w:abstractNum>
  <w:abstractNum w:abstractNumId="423">
    <w:nsid w:val="6687F34D"/>
    <w:multiLevelType w:val="hybridMultilevel"/>
    <w:lvl w:ilvl="0">
      <w:lvlJc w:val="left"/>
      <w:lvlText w:val="(%1)"/>
      <w:numFmt w:val="lowerLetter"/>
      <w:start w:val="1"/>
    </w:lvl>
  </w:abstractNum>
  <w:abstractNum w:abstractNumId="424">
    <w:nsid w:val="25415B0C"/>
    <w:multiLevelType w:val="hybridMultilevel"/>
    <w:lvl w:ilvl="0">
      <w:lvlJc w:val="left"/>
      <w:lvlText w:val="(%1)"/>
      <w:numFmt w:val="lowerLetter"/>
      <w:start w:val="2"/>
    </w:lvl>
  </w:abstractNum>
  <w:abstractNum w:abstractNumId="425">
    <w:nsid w:val="17CFC87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6">
    <w:nsid w:val="5D66DC65"/>
    <w:multiLevelType w:val="hybridMultilevel"/>
    <w:lvl w:ilvl="0">
      <w:lvlJc w:val="left"/>
      <w:lvlText w:val="%1"/>
      <w:numFmt w:val="decimal"/>
      <w:start w:val="1"/>
    </w:lvl>
    <w:lvl w:ilvl="1">
      <w:lvlJc w:val="left"/>
      <w:lvlText w:val="(%2)"/>
      <w:numFmt w:val="lowerLetter"/>
      <w:start w:val="1"/>
    </w:lvl>
  </w:abstractNum>
  <w:abstractNum w:abstractNumId="427">
    <w:nsid w:val="30BB2B99"/>
    <w:multiLevelType w:val="hybridMultilevel"/>
    <w:lvl w:ilvl="0">
      <w:lvlJc w:val="left"/>
      <w:lvlText w:val="%1."/>
      <w:numFmt w:val="decimal"/>
      <w:start w:val="17"/>
    </w:lvl>
    <w:lvl w:ilvl="1">
      <w:lvlJc w:val="left"/>
      <w:lvlText w:val="%2"/>
      <w:numFmt w:val="lowerLetter"/>
      <w:start w:val="1"/>
    </w:lvl>
  </w:abstractNum>
  <w:abstractNum w:abstractNumId="428">
    <w:nsid w:val="E3DFE6"/>
    <w:multiLevelType w:val="hybridMultilevel"/>
    <w:lvl w:ilvl="0">
      <w:lvlJc w:val="left"/>
      <w:lvlText w:val="(%1)"/>
      <w:numFmt w:val="lowerLetter"/>
      <w:start w:val="1"/>
    </w:lvl>
    <w:lvl w:ilvl="1">
      <w:lvlJc w:val="left"/>
      <w:lvlText w:val="(%2)"/>
      <w:numFmt w:val="lowerRoman"/>
      <w:start w:val="1"/>
    </w:lvl>
  </w:abstractNum>
  <w:abstractNum w:abstractNumId="429">
    <w:nsid w:val="595B37F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30">
    <w:nsid w:val="71DB7E02"/>
    <w:multiLevelType w:val="hybridMultilevel"/>
    <w:lvl w:ilvl="0">
      <w:lvlJc w:val="left"/>
      <w:lvlText w:val="(%1)"/>
      <w:numFmt w:val="lowerRoman"/>
      <w:start w:val="2"/>
    </w:lvl>
  </w:abstractNum>
  <w:abstractNum w:abstractNumId="431">
    <w:nsid w:val="17EC0C4"/>
    <w:multiLevelType w:val="hybridMultilevel"/>
    <w:lvl w:ilvl="0">
      <w:lvlJc w:val="left"/>
      <w:lvlText w:val="(%1)"/>
      <w:numFmt w:val="lowerLetter"/>
      <w:start w:val="1"/>
    </w:lvl>
  </w:abstractNum>
  <w:abstractNum w:abstractNumId="432">
    <w:nsid w:val="7173BB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3">
    <w:nsid w:val="169E1DD3"/>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34">
    <w:nsid w:val="51D141CC"/>
    <w:multiLevelType w:val="hybridMultilevel"/>
    <w:lvl w:ilvl="0">
      <w:lvlJc w:val="left"/>
      <w:lvlText w:val="(%1)"/>
      <w:numFmt w:val="lowerLetter"/>
      <w:start w:val="1"/>
    </w:lvl>
    <w:lvl w:ilvl="1">
      <w:lvlJc w:val="left"/>
      <w:lvlText w:val="(%2)"/>
      <w:numFmt w:val="lowerRoman"/>
      <w:start w:val="1"/>
    </w:lvl>
  </w:abstractNum>
  <w:abstractNum w:abstractNumId="435">
    <w:nsid w:val="12F9357A"/>
    <w:multiLevelType w:val="hybridMultilevel"/>
    <w:lvl w:ilvl="0">
      <w:lvlJc w:val="left"/>
      <w:lvlText w:val="(%1)"/>
      <w:numFmt w:val="upperLetter"/>
      <w:start w:val="1"/>
    </w:lvl>
  </w:abstractNum>
  <w:abstractNum w:abstractNumId="436">
    <w:nsid w:val="7672CF28"/>
    <w:multiLevelType w:val="hybridMultilevel"/>
    <w:lvl w:ilvl="0">
      <w:lvlJc w:val="left"/>
      <w:lvlText w:val="(%1)"/>
      <w:numFmt w:val="lowerLetter"/>
      <w:start w:val="2"/>
    </w:lvl>
  </w:abstractNum>
  <w:abstractNum w:abstractNumId="437">
    <w:nsid w:val="567D2763"/>
    <w:multiLevelType w:val="hybridMultilevel"/>
    <w:lvl w:ilvl="0">
      <w:lvlJc w:val="left"/>
      <w:lvlText w:val="(%1)"/>
      <w:numFmt w:val="lowerLetter"/>
      <w:start w:val="1"/>
    </w:lvl>
  </w:abstractNum>
  <w:abstractNum w:abstractNumId="438">
    <w:nsid w:val="6F5DE2EF"/>
    <w:multiLevelType w:val="hybridMultilevel"/>
    <w:lvl w:ilvl="0">
      <w:lvlJc w:val="left"/>
      <w:lvlText w:val="%1"/>
      <w:numFmt w:val="decimal"/>
      <w:start w:val="1"/>
    </w:lvl>
    <w:lvl w:ilvl="1">
      <w:lvlJc w:val="left"/>
      <w:lvlText w:val="(%2)"/>
      <w:numFmt w:val="lowerLetter"/>
      <w:start w:val="1"/>
    </w:lvl>
  </w:abstractNum>
  <w:abstractNum w:abstractNumId="439">
    <w:nsid w:val="23502A61"/>
    <w:multiLevelType w:val="hybridMultilevel"/>
    <w:lvl w:ilvl="0">
      <w:lvlJc w:val="left"/>
      <w:lvlText w:val="%1."/>
      <w:numFmt w:val="decimal"/>
      <w:start w:val="19"/>
    </w:lvl>
    <w:lvl w:ilvl="1">
      <w:lvlJc w:val="left"/>
      <w:lvlText w:val="%2"/>
      <w:numFmt w:val="lowerLetter"/>
      <w:start w:val="1"/>
    </w:lvl>
  </w:abstractNum>
  <w:abstractNum w:abstractNumId="440">
    <w:nsid w:val="461BC834"/>
    <w:multiLevelType w:val="hybridMultilevel"/>
    <w:lvl w:ilvl="0">
      <w:lvlJc w:val="left"/>
      <w:lvlText w:val="(%1)"/>
      <w:numFmt w:val="lowerLetter"/>
      <w:start w:val="1"/>
    </w:lvl>
  </w:abstractNum>
  <w:abstractNum w:abstractNumId="441">
    <w:nsid w:val="13DDA79D"/>
    <w:multiLevelType w:val="hybridMultilevel"/>
    <w:lvl w:ilvl="0">
      <w:lvlJc w:val="left"/>
      <w:lvlText w:val="(%1)"/>
      <w:numFmt w:val="lowerLetter"/>
      <w:start w:val="2"/>
    </w:lvl>
  </w:abstractNum>
  <w:abstractNum w:abstractNumId="442">
    <w:nsid w:val="6A104566"/>
    <w:multiLevelType w:val="hybridMultilevel"/>
    <w:lvl w:ilvl="0">
      <w:lvlJc w:val="left"/>
      <w:lvlText w:val="%1"/>
      <w:numFmt w:val="decimal"/>
      <w:start w:val="1"/>
    </w:lvl>
    <w:lvl w:ilvl="1">
      <w:lvlJc w:val="left"/>
      <w:lvlText w:val="(%2)"/>
      <w:numFmt w:val="lowerLetter"/>
      <w:start w:val="1"/>
    </w:lvl>
  </w:abstractNum>
  <w:abstractNum w:abstractNumId="443">
    <w:nsid w:val="1C8A8ACF"/>
    <w:multiLevelType w:val="hybridMultilevel"/>
    <w:lvl w:ilvl="0">
      <w:lvlJc w:val="left"/>
      <w:lvlText w:val="%1."/>
      <w:numFmt w:val="decimal"/>
      <w:start w:val="20"/>
    </w:lvl>
    <w:lvl w:ilvl="1">
      <w:lvlJc w:val="left"/>
      <w:lvlText w:val="%2"/>
      <w:numFmt w:val="lowerLetter"/>
      <w:start w:val="1"/>
    </w:lvl>
  </w:abstractNum>
  <w:abstractNum w:abstractNumId="444">
    <w:nsid w:val="E73DFE0"/>
    <w:multiLevelType w:val="hybridMultilevel"/>
    <w:lvl w:ilvl="0">
      <w:lvlJc w:val="left"/>
      <w:lvlText w:val="(%1)"/>
      <w:numFmt w:val="lowerLetter"/>
      <w:start w:val="1"/>
    </w:lvl>
  </w:abstractNum>
  <w:abstractNum w:abstractNumId="445">
    <w:nsid w:val="39F174C7"/>
    <w:multiLevelType w:val="hybridMultilevel"/>
    <w:lvl w:ilvl="0">
      <w:lvlJc w:val="left"/>
      <w:lvlText w:val="%1."/>
      <w:numFmt w:val="decimal"/>
      <w:start w:val="21"/>
    </w:lvl>
  </w:abstractNum>
  <w:abstractNum w:abstractNumId="446">
    <w:nsid w:val="6E2E2D53"/>
    <w:multiLevelType w:val="hybridMultilevel"/>
    <w:lvl w:ilvl="0">
      <w:lvlJc w:val="left"/>
      <w:lvlText w:val="(%1)"/>
      <w:numFmt w:val="lowerLetter"/>
      <w:start w:val="1"/>
    </w:lvl>
    <w:lvl w:ilvl="1">
      <w:lvlJc w:val="left"/>
      <w:lvlText w:val="(%2)"/>
      <w:numFmt w:val="lowerRoman"/>
      <w:start w:val="1"/>
    </w:lvl>
  </w:abstractNum>
  <w:abstractNum w:abstractNumId="447">
    <w:nsid w:val="45DC439D"/>
    <w:multiLevelType w:val="hybridMultilevel"/>
    <w:lvl w:ilvl="0">
      <w:lvlJc w:val="left"/>
      <w:lvlText w:val="(%1)"/>
      <w:numFmt w:val="lowerLetter"/>
      <w:start w:val="1"/>
    </w:lvl>
  </w:abstractNum>
  <w:abstractNum w:abstractNumId="448">
    <w:nsid w:val="3B0A3B87"/>
    <w:multiLevelType w:val="hybridMultilevel"/>
    <w:lvl w:ilvl="0">
      <w:lvlJc w:val="left"/>
      <w:lvlText w:val="(%1)"/>
      <w:numFmt w:val="lowerLetter"/>
      <w:start w:val="1"/>
    </w:lvl>
  </w:abstractNum>
  <w:abstractNum w:abstractNumId="449">
    <w:nsid w:val="6DAC7768"/>
    <w:multiLevelType w:val="hybridMultilevel"/>
    <w:lvl w:ilvl="0">
      <w:lvlJc w:val="left"/>
      <w:lvlText w:val="(%1)"/>
      <w:numFmt w:val="lowerLetter"/>
      <w:start w:val="2"/>
    </w:lvl>
  </w:abstractNum>
  <w:abstractNum w:abstractNumId="450">
    <w:nsid w:val="746AE2E4"/>
    <w:multiLevelType w:val="hybridMultilevel"/>
    <w:lvl w:ilvl="0">
      <w:lvlJc w:val="left"/>
      <w:lvlText w:val="(%1)"/>
      <w:numFmt w:val="lowerLetter"/>
      <w:start w:val="1"/>
    </w:lvl>
    <w:lvl w:ilvl="1">
      <w:lvlJc w:val="left"/>
      <w:lvlText w:val="(%2)"/>
      <w:numFmt w:val="lowerRoman"/>
      <w:start w:val="1"/>
    </w:lvl>
  </w:abstractNum>
  <w:abstractNum w:abstractNumId="451">
    <w:nsid w:val="317E611D"/>
    <w:multiLevelType w:val="hybridMultilevel"/>
    <w:lvl w:ilvl="0">
      <w:lvlJc w:val="left"/>
      <w:lvlText w:val="(%1)"/>
      <w:numFmt w:val="lowerLetter"/>
      <w:start w:val="2"/>
    </w:lvl>
  </w:abstractNum>
  <w:abstractNum w:abstractNumId="452">
    <w:nsid w:val="7A61D75B"/>
    <w:multiLevelType w:val="hybridMultilevel"/>
    <w:lvl w:ilvl="0">
      <w:lvlJc w:val="left"/>
      <w:lvlText w:val="(%1)"/>
      <w:numFmt w:val="lowerLetter"/>
      <w:start w:val="1"/>
    </w:lvl>
  </w:abstractNum>
  <w:abstractNum w:abstractNumId="453">
    <w:nsid w:val="164A1482"/>
    <w:multiLevelType w:val="hybridMultilevel"/>
    <w:lvl w:ilvl="0">
      <w:lvlJc w:val="left"/>
      <w:lvlText w:val="(%1)"/>
      <w:numFmt w:val="lowerLetter"/>
      <w:start w:val="1"/>
    </w:lvl>
  </w:abstractNum>
  <w:abstractNum w:abstractNumId="454">
    <w:nsid w:val="1806546B"/>
    <w:multiLevelType w:val="hybridMultilevel"/>
    <w:lvl w:ilvl="0">
      <w:lvlJc w:val="left"/>
      <w:lvlText w:val="(%1)"/>
      <w:numFmt w:val="lowerLetter"/>
      <w:start w:val="1"/>
    </w:lvl>
  </w:abstractNum>
  <w:abstractNum w:abstractNumId="455">
    <w:nsid w:val="1FA33267"/>
    <w:multiLevelType w:val="hybridMultilevel"/>
    <w:lvl w:ilvl="0">
      <w:lvlJc w:val="left"/>
      <w:lvlText w:val="(%1)"/>
      <w:numFmt w:val="lowerLetter"/>
      <w:start w:val="1"/>
    </w:lvl>
  </w:abstractNum>
  <w:abstractNum w:abstractNumId="456">
    <w:nsid w:val="2E19DD00"/>
    <w:multiLevelType w:val="hybridMultilevel"/>
    <w:lvl w:ilvl="0">
      <w:lvlJc w:val="left"/>
      <w:lvlText w:val="(%1)"/>
      <w:numFmt w:val="lowerLetter"/>
      <w:start w:val="1"/>
    </w:lvl>
  </w:abstractNum>
  <w:abstractNum w:abstractNumId="457">
    <w:nsid w:val="756D30D0"/>
    <w:multiLevelType w:val="hybridMultilevel"/>
    <w:lvl w:ilvl="0">
      <w:lvlJc w:val="left"/>
      <w:lvlText w:val="(%1)"/>
      <w:numFmt w:val="lowerLetter"/>
      <w:start w:val="1"/>
    </w:lvl>
  </w:abstractNum>
  <w:abstractNum w:abstractNumId="458">
    <w:nsid w:val="505E5E01"/>
    <w:multiLevelType w:val="hybridMultilevel"/>
    <w:lvl w:ilvl="0">
      <w:lvlJc w:val="left"/>
      <w:lvlText w:val="%1."/>
      <w:numFmt w:val="decimal"/>
      <w:start w:val="22"/>
    </w:lvl>
  </w:abstractNum>
  <w:abstractNum w:abstractNumId="459">
    <w:nsid w:val="2EFDBCE6"/>
    <w:multiLevelType w:val="hybridMultilevel"/>
    <w:lvl w:ilvl="0">
      <w:lvlJc w:val="left"/>
      <w:lvlText w:val="(%1)"/>
      <w:numFmt w:val="lowerLetter"/>
      <w:start w:val="1"/>
    </w:lvl>
    <w:lvl w:ilvl="1">
      <w:lvlJc w:val="left"/>
      <w:lvlText w:val="(%2)"/>
      <w:numFmt w:val="lowerRoman"/>
      <w:start w:val="1"/>
    </w:lvl>
  </w:abstractNum>
  <w:abstractNum w:abstractNumId="460">
    <w:nsid w:val="4EC868C4"/>
    <w:multiLevelType w:val="hybridMultilevel"/>
    <w:lvl w:ilvl="0">
      <w:lvlJc w:val="left"/>
      <w:lvlText w:val="(%1)"/>
      <w:numFmt w:val="lowerLetter"/>
      <w:start w:val="1"/>
    </w:lvl>
  </w:abstractNum>
  <w:abstractNum w:abstractNumId="461">
    <w:nsid w:val="4239DC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2">
    <w:nsid w:val="307C7DAA"/>
    <w:multiLevelType w:val="hybridMultilevel"/>
    <w:lvl w:ilvl="0">
      <w:lvlJc w:val="left"/>
      <w:lvlText w:val="(%1)"/>
      <w:numFmt w:val="lowerRoman"/>
      <w:start w:val="2"/>
    </w:lvl>
  </w:abstractNum>
  <w:abstractNum w:abstractNumId="463">
    <w:nsid w:val="403C23E6"/>
    <w:multiLevelType w:val="hybridMultilevel"/>
    <w:lvl w:ilvl="0">
      <w:lvlJc w:val="left"/>
      <w:lvlText w:val="(%1)"/>
      <w:numFmt w:val="lowerLetter"/>
      <w:start w:val="1"/>
    </w:lvl>
    <w:lvl w:ilvl="1">
      <w:lvlJc w:val="left"/>
      <w:lvlText w:val="(%2)"/>
      <w:numFmt w:val="lowerRoman"/>
      <w:start w:val="1"/>
    </w:lvl>
  </w:abstractNum>
  <w:abstractNum w:abstractNumId="464">
    <w:nsid w:val="58D7F9D7"/>
    <w:multiLevelType w:val="hybridMultilevel"/>
    <w:lvl w:ilvl="0">
      <w:lvlJc w:val="left"/>
      <w:lvlText w:val="(%1)"/>
      <w:numFmt w:val="lowerLetter"/>
      <w:start w:val="2"/>
    </w:lvl>
  </w:abstractNum>
  <w:abstractNum w:abstractNumId="465">
    <w:nsid w:val="24DBF76"/>
    <w:multiLevelType w:val="hybridMultilevel"/>
    <w:lvl w:ilvl="0">
      <w:lvlJc w:val="left"/>
      <w:lvlText w:val="(%1)"/>
      <w:numFmt w:val="lowerLetter"/>
      <w:start w:val="1"/>
    </w:lvl>
  </w:abstractNum>
  <w:abstractNum w:abstractNumId="466">
    <w:nsid w:val="53355960"/>
    <w:multiLevelType w:val="hybridMultilevel"/>
    <w:lvl w:ilvl="0">
      <w:lvlJc w:val="left"/>
      <w:lvlText w:val="(%1)"/>
      <w:numFmt w:val="lowerLetter"/>
      <w:start w:val="2"/>
    </w:lvl>
  </w:abstractNum>
  <w:abstractNum w:abstractNumId="467">
    <w:nsid w:val="4F4AC8FF"/>
    <w:multiLevelType w:val="hybridMultilevel"/>
    <w:lvl w:ilvl="0">
      <w:lvlJc w:val="left"/>
      <w:lvlText w:val="(%1)"/>
      <w:numFmt w:val="lowerLetter"/>
      <w:start w:val="1"/>
    </w:lvl>
  </w:abstractNum>
  <w:abstractNum w:abstractNumId="468">
    <w:nsid w:val="58CAE6D9"/>
    <w:multiLevelType w:val="hybridMultilevel"/>
    <w:lvl w:ilvl="0">
      <w:lvlJc w:val="left"/>
      <w:lvlText w:val="(%1)"/>
      <w:numFmt w:val="lowerLetter"/>
      <w:start w:val="1"/>
    </w:lvl>
  </w:abstractNum>
  <w:abstractNum w:abstractNumId="469">
    <w:nsid w:val="42933C4F"/>
    <w:multiLevelType w:val="hybridMultilevel"/>
    <w:lvl w:ilvl="0">
      <w:lvlJc w:val="left"/>
      <w:lvlText w:val="(%1)"/>
      <w:numFmt w:val="lowerLetter"/>
      <w:start w:val="1"/>
    </w:lvl>
    <w:lvl w:ilvl="1">
      <w:lvlJc w:val="left"/>
      <w:lvlText w:val="(%2)"/>
      <w:numFmt w:val="lowerRoman"/>
      <w:start w:val="1"/>
    </w:lvl>
  </w:abstractNum>
  <w:abstractNum w:abstractNumId="470">
    <w:nsid w:val="729AF360"/>
    <w:multiLevelType w:val="hybridMultilevel"/>
    <w:lvl w:ilvl="0">
      <w:lvlJc w:val="left"/>
      <w:lvlText w:val="%1"/>
      <w:numFmt w:val="decimal"/>
      <w:start w:val="1"/>
    </w:lvl>
    <w:lvl w:ilvl="1">
      <w:lvlJc w:val="left"/>
      <w:lvlText w:val="(%2)"/>
      <w:numFmt w:val="lowerLetter"/>
      <w:start w:val="2"/>
    </w:lvl>
  </w:abstractNum>
  <w:abstractNum w:abstractNumId="471">
    <w:nsid w:val="1EE6AF0D"/>
    <w:multiLevelType w:val="hybridMultilevel"/>
    <w:lvl w:ilvl="0">
      <w:lvlJc w:val="left"/>
      <w:lvlText w:val="%1."/>
      <w:numFmt w:val="decimal"/>
      <w:start w:val="23"/>
    </w:lvl>
    <w:lvl w:ilvl="1">
      <w:lvlJc w:val="left"/>
      <w:lvlText w:val="%2"/>
      <w:numFmt w:val="lowerLetter"/>
      <w:start w:val="1"/>
    </w:lvl>
  </w:abstractNum>
  <w:abstractNum w:abstractNumId="472">
    <w:nsid w:val="5670E3ED"/>
    <w:multiLevelType w:val="hybridMultilevel"/>
    <w:lvl w:ilvl="0">
      <w:lvlJc w:val="left"/>
      <w:lvlText w:val="(%1)"/>
      <w:numFmt w:val="lowerLetter"/>
      <w:start w:val="1"/>
    </w:lvl>
  </w:abstractNum>
  <w:abstractNum w:abstractNumId="473">
    <w:nsid w:val="5CAB38C6"/>
    <w:multiLevelType w:val="hybridMultilevel"/>
    <w:lvl w:ilvl="0">
      <w:lvlJc w:val="left"/>
      <w:lvlText w:val="(%1)"/>
      <w:numFmt w:val="lowerLetter"/>
      <w:start w:val="1"/>
    </w:lvl>
  </w:abstractNum>
  <w:abstractNum w:abstractNumId="474">
    <w:nsid w:val="3B7139DD"/>
    <w:multiLevelType w:val="hybridMultilevel"/>
    <w:lvl w:ilvl="0">
      <w:lvlJc w:val="left"/>
      <w:lvlText w:val="(%1)"/>
      <w:numFmt w:val="lowerLetter"/>
      <w:start w:val="2"/>
    </w:lvl>
  </w:abstractNum>
  <w:abstractNum w:abstractNumId="475">
    <w:nsid w:val="64E4C3CD"/>
    <w:multiLevelType w:val="hybridMultilevel"/>
    <w:lvl w:ilvl="0">
      <w:lvlJc w:val="left"/>
      <w:lvlText w:val="(%1)"/>
      <w:numFmt w:val="lowerLetter"/>
      <w:start w:val="1"/>
    </w:lvl>
  </w:abstractNum>
  <w:abstractNum w:abstractNumId="476">
    <w:nsid w:val="169CAD8D"/>
    <w:multiLevelType w:val="hybridMultilevel"/>
    <w:lvl w:ilvl="0">
      <w:lvlJc w:val="left"/>
      <w:lvlText w:val="(%1)"/>
      <w:numFmt w:val="lowerLetter"/>
      <w:start w:val="1"/>
    </w:lvl>
    <w:lvl w:ilvl="1">
      <w:lvlJc w:val="left"/>
      <w:lvlText w:val="(%2)"/>
      <w:numFmt w:val="lowerRoman"/>
      <w:start w:val="1"/>
    </w:lvl>
  </w:abstractNum>
  <w:abstractNum w:abstractNumId="477">
    <w:nsid w:val="299F6730"/>
    <w:multiLevelType w:val="hybridMultilevel"/>
    <w:lvl w:ilvl="0">
      <w:lvlJc w:val="left"/>
      <w:lvlText w:val="(%1)"/>
      <w:numFmt w:val="lowerLetter"/>
      <w:start w:val="6"/>
    </w:lvl>
  </w:abstractNum>
  <w:abstractNum w:abstractNumId="478">
    <w:nsid w:val="2AC1076A"/>
    <w:multiLevelType w:val="hybridMultilevel"/>
    <w:lvl w:ilvl="0">
      <w:lvlJc w:val="left"/>
      <w:lvlText w:val="(%1)"/>
      <w:numFmt w:val="lowerLetter"/>
      <w:start w:val="1"/>
    </w:lvl>
  </w:abstractNum>
  <w:abstractNum w:abstractNumId="479">
    <w:nsid w:val="51A6E915"/>
    <w:multiLevelType w:val="hybridMultilevel"/>
    <w:lvl w:ilvl="0">
      <w:lvlJc w:val="left"/>
      <w:lvlText w:val="(%1)"/>
      <w:numFmt w:val="lowerLetter"/>
      <w:start w:val="1"/>
    </w:lvl>
  </w:abstractNum>
  <w:abstractNum w:abstractNumId="480">
    <w:nsid w:val="174BDE99"/>
    <w:multiLevelType w:val="hybridMultilevel"/>
    <w:lvl w:ilvl="0">
      <w:lvlJc w:val="left"/>
      <w:lvlText w:val="(%1)"/>
      <w:numFmt w:val="lowerLetter"/>
      <w:start w:val="1"/>
    </w:lvl>
  </w:abstractNum>
  <w:abstractNum w:abstractNumId="481">
    <w:nsid w:val="1F2BEA4E"/>
    <w:multiLevelType w:val="hybridMultilevel"/>
    <w:lvl w:ilvl="0">
      <w:lvlJc w:val="left"/>
      <w:lvlText w:val="(%1)"/>
      <w:numFmt w:val="lowerLetter"/>
      <w:start w:val="1"/>
    </w:lvl>
  </w:abstractNum>
  <w:abstractNum w:abstractNumId="482">
    <w:nsid w:val="3254A32"/>
    <w:multiLevelType w:val="hybridMultilevel"/>
    <w:lvl w:ilvl="0">
      <w:lvlJc w:val="left"/>
      <w:lvlText w:val="(%1)"/>
      <w:numFmt w:val="lowerLetter"/>
      <w:start w:val="1"/>
    </w:lvl>
  </w:abstractNum>
  <w:abstractNum w:abstractNumId="483">
    <w:nsid w:val="11ADB5F4"/>
    <w:multiLevelType w:val="hybridMultilevel"/>
    <w:lvl w:ilvl="0">
      <w:lvlJc w:val="left"/>
      <w:lvlText w:val="(%1)"/>
      <w:numFmt w:val="lowerLetter"/>
      <w:start w:val="1"/>
    </w:lvl>
  </w:abstractNum>
  <w:abstractNum w:abstractNumId="484">
    <w:nsid w:val="3575FED1"/>
    <w:multiLevelType w:val="hybridMultilevel"/>
    <w:lvl w:ilvl="0">
      <w:lvlJc w:val="left"/>
      <w:lvlText w:val="(%1)"/>
      <w:numFmt w:val="lowerLetter"/>
      <w:start w:val="3"/>
    </w:lvl>
  </w:abstractNum>
  <w:abstractNum w:abstractNumId="485">
    <w:nsid w:val="1B2B9E9D"/>
    <w:multiLevelType w:val="hybridMultilevel"/>
    <w:lvl w:ilvl="0">
      <w:lvlJc w:val="left"/>
      <w:lvlText w:val="%1"/>
      <w:numFmt w:val="decimal"/>
      <w:start w:val="1"/>
    </w:lvl>
    <w:lvl w:ilvl="1">
      <w:lvlJc w:val="left"/>
      <w:lvlText w:val="(%2)"/>
      <w:numFmt w:val="lowerLetter"/>
      <w:start w:val="1"/>
    </w:lvl>
  </w:abstractNum>
  <w:abstractNum w:abstractNumId="486">
    <w:nsid w:val="3150E85C"/>
    <w:multiLevelType w:val="hybridMultilevel"/>
    <w:lvl w:ilvl="0">
      <w:lvlJc w:val="left"/>
      <w:lvlText w:val="%1."/>
      <w:numFmt w:val="decimal"/>
      <w:start w:val="24"/>
    </w:lvl>
    <w:lvl w:ilvl="1">
      <w:lvlJc w:val="left"/>
      <w:lvlText w:val="%2"/>
      <w:numFmt w:val="lowerLetter"/>
      <w:start w:val="1"/>
    </w:lvl>
  </w:abstractNum>
  <w:abstractNum w:abstractNumId="487">
    <w:nsid w:val="638FDBD1"/>
    <w:multiLevelType w:val="hybridMultilevel"/>
    <w:lvl w:ilvl="0">
      <w:lvlJc w:val="left"/>
      <w:lvlText w:val="(%1)"/>
      <w:numFmt w:val="lowerLetter"/>
      <w:start w:val="1"/>
    </w:lvl>
  </w:abstractNum>
  <w:abstractNum w:abstractNumId="488">
    <w:nsid w:val="1098CF6E"/>
    <w:multiLevelType w:val="hybridMultilevel"/>
    <w:lvl w:ilvl="0">
      <w:lvlJc w:val="left"/>
      <w:lvlText w:val="(%1)"/>
      <w:numFmt w:val="lowerRoman"/>
      <w:start w:val="1"/>
    </w:lvl>
  </w:abstractNum>
  <w:abstractNum w:abstractNumId="489">
    <w:nsid w:val="1AF465D"/>
    <w:multiLevelType w:val="hybridMultilevel"/>
    <w:lvl w:ilvl="0">
      <w:lvlJc w:val="left"/>
      <w:lvlText w:val="(%1)"/>
      <w:numFmt w:val="lowerLetter"/>
      <w:start w:val="1"/>
    </w:lvl>
  </w:abstractNum>
  <w:abstractNum w:abstractNumId="490">
    <w:nsid w:val="128D98B7"/>
    <w:multiLevelType w:val="hybridMultilevel"/>
    <w:lvl w:ilvl="0">
      <w:lvlJc w:val="left"/>
      <w:lvlText w:val="(%1)"/>
      <w:numFmt w:val="lowerLetter"/>
      <w:start w:val="1"/>
    </w:lvl>
  </w:abstractNum>
  <w:abstractNum w:abstractNumId="491">
    <w:nsid w:val="5F613832"/>
    <w:multiLevelType w:val="hybridMultilevel"/>
    <w:lvl w:ilvl="0">
      <w:lvlJc w:val="left"/>
      <w:lvlText w:val="(%1)"/>
      <w:numFmt w:val="lowerLetter"/>
      <w:start w:val="1"/>
    </w:lvl>
    <w:lvl w:ilvl="1">
      <w:lvlJc w:val="left"/>
      <w:lvlText w:val="(%2)"/>
      <w:numFmt w:val="lowerRoman"/>
      <w:start w:val="1"/>
    </w:lvl>
  </w:abstractNum>
  <w:abstractNum w:abstractNumId="492">
    <w:nsid w:val="43E92260"/>
    <w:multiLevelType w:val="hybridMultilevel"/>
    <w:lvl w:ilvl="0">
      <w:lvlJc w:val="left"/>
      <w:lvlText w:val="(%1)"/>
      <w:numFmt w:val="lowerLetter"/>
      <w:start w:val="1"/>
    </w:lvl>
  </w:abstractNum>
  <w:abstractNum w:abstractNumId="493">
    <w:nsid w:val="430A1662"/>
    <w:multiLevelType w:val="hybridMultilevel"/>
    <w:lvl w:ilvl="0">
      <w:lvlJc w:val="left"/>
      <w:lvlText w:val="(%1)"/>
      <w:numFmt w:val="lowerLetter"/>
      <w:start w:val="1"/>
    </w:lvl>
    <w:lvl w:ilvl="1">
      <w:lvlJc w:val="left"/>
      <w:lvlText w:val="(%2)"/>
      <w:numFmt w:val="lowerRoman"/>
      <w:start w:val="1"/>
    </w:lvl>
  </w:abstractNum>
  <w:abstractNum w:abstractNumId="494">
    <w:nsid w:val="1F9D5C18"/>
    <w:multiLevelType w:val="hybridMultilevel"/>
    <w:lvl w:ilvl="0">
      <w:lvlJc w:val="left"/>
      <w:lvlText w:val="(%1)"/>
      <w:numFmt w:val="lowerLetter"/>
      <w:start w:val="1"/>
    </w:lvl>
    <w:lvl w:ilvl="1">
      <w:lvlJc w:val="left"/>
      <w:lvlText w:val="(%2)"/>
      <w:numFmt w:val="lowerRoman"/>
      <w:start w:val="1"/>
    </w:lvl>
  </w:abstractNum>
  <w:abstractNum w:abstractNumId="495">
    <w:nsid w:val="1CC11C37"/>
    <w:multiLevelType w:val="hybridMultilevel"/>
    <w:lvl w:ilvl="0">
      <w:lvlJc w:val="left"/>
      <w:lvlText w:val="(%1)"/>
      <w:numFmt w:val="lowerLetter"/>
      <w:start w:val="3"/>
    </w:lvl>
    <w:lvl w:ilvl="1">
      <w:lvlJc w:val="left"/>
      <w:lvlText w:val="(%2)"/>
      <w:numFmt w:val="lowerRoman"/>
      <w:start w:val="1"/>
    </w:lvl>
  </w:abstractNum>
  <w:abstractNum w:abstractNumId="496">
    <w:nsid w:val="4557D5D8"/>
    <w:multiLevelType w:val="hybridMultilevel"/>
    <w:lvl w:ilvl="0">
      <w:lvlJc w:val="left"/>
      <w:lvlText w:val="(%1)"/>
      <w:numFmt w:val="lowerLetter"/>
      <w:start w:val="1"/>
    </w:lvl>
  </w:abstractNum>
  <w:abstractNum w:abstractNumId="497">
    <w:nsid w:val="72D2B579"/>
    <w:multiLevelType w:val="hybridMultilevel"/>
    <w:lvl w:ilvl="0">
      <w:lvlJc w:val="left"/>
      <w:lvlText w:val="(%1)"/>
      <w:numFmt w:val="lowerRoman"/>
      <w:start w:val="1"/>
    </w:lvl>
  </w:abstractNum>
  <w:abstractNum w:abstractNumId="498">
    <w:nsid w:val="6C0BE536"/>
    <w:multiLevelType w:val="hybridMultilevel"/>
    <w:lvl w:ilvl="0">
      <w:lvlJc w:val="left"/>
      <w:lvlText w:val="(%1)"/>
      <w:numFmt w:val="lowerLetter"/>
      <w:start w:val="1"/>
    </w:lvl>
  </w:abstractNum>
  <w:abstractNum w:abstractNumId="499">
    <w:nsid w:val="1E22BCB2"/>
    <w:multiLevelType w:val="hybridMultilevel"/>
    <w:lvl w:ilvl="0">
      <w:lvlJc w:val="left"/>
      <w:lvlText w:val="(%1)"/>
      <w:numFmt w:val="lowerLetter"/>
      <w:start w:val="1"/>
    </w:lvl>
  </w:abstractNum>
  <w:abstractNum w:abstractNumId="500">
    <w:nsid w:val="3565F1C8"/>
    <w:multiLevelType w:val="hybridMultilevel"/>
    <w:lvl w:ilvl="0">
      <w:lvlJc w:val="left"/>
      <w:lvlText w:val="(%1)"/>
      <w:numFmt w:val="lowerLetter"/>
      <w:start w:val="4"/>
    </w:lvl>
  </w:abstractNum>
  <w:abstractNum w:abstractNumId="501">
    <w:nsid w:val="5EA6D8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2">
    <w:nsid w:val="3D096BBF"/>
    <w:multiLevelType w:val="hybridMultilevel"/>
    <w:lvl w:ilvl="0">
      <w:lvlJc w:val="left"/>
      <w:lvlText w:val="%1"/>
      <w:numFmt w:val="decimal"/>
      <w:start w:val="1"/>
    </w:lvl>
    <w:lvl w:ilvl="1">
      <w:lvlJc w:val="left"/>
      <w:lvlText w:val="(%2)"/>
      <w:numFmt w:val="lowerLetter"/>
      <w:start w:val="4"/>
    </w:lvl>
  </w:abstractNum>
  <w:abstractNum w:abstractNumId="503">
    <w:nsid w:val="BD6D5B5"/>
    <w:multiLevelType w:val="hybridMultilevel"/>
    <w:lvl w:ilvl="0">
      <w:lvlJc w:val="left"/>
      <w:lvlText w:val="%1."/>
      <w:numFmt w:val="decimal"/>
      <w:start w:val="25"/>
    </w:lvl>
    <w:lvl w:ilvl="1">
      <w:lvlJc w:val="left"/>
      <w:lvlText w:val="%2"/>
      <w:numFmt w:val="lowerLetter"/>
      <w:start w:val="1"/>
    </w:lvl>
  </w:abstractNum>
  <w:abstractNum w:abstractNumId="504">
    <w:nsid w:val="3B52115C"/>
    <w:multiLevelType w:val="hybridMultilevel"/>
    <w:lvl w:ilvl="0">
      <w:lvlJc w:val="left"/>
      <w:lvlText w:val="(%1)"/>
      <w:numFmt w:val="lowerLetter"/>
      <w:start w:val="1"/>
    </w:lvl>
  </w:abstractNum>
  <w:abstractNum w:abstractNumId="505">
    <w:nsid w:val="787AA59C"/>
    <w:multiLevelType w:val="hybridMultilevel"/>
    <w:lvl w:ilvl="0">
      <w:lvlJc w:val="left"/>
      <w:lvlText w:val="(%1)"/>
      <w:numFmt w:val="lowerLetter"/>
      <w:start w:val="1"/>
    </w:lvl>
  </w:abstractNum>
  <w:abstractNum w:abstractNumId="506">
    <w:nsid w:val="70BB9983"/>
    <w:multiLevelType w:val="hybridMultilevel"/>
    <w:lvl w:ilvl="0">
      <w:lvlJc w:val="left"/>
      <w:lvlText w:val="(%1)"/>
      <w:numFmt w:val="lowerLetter"/>
      <w:start w:val="1"/>
    </w:lvl>
  </w:abstractNum>
  <w:abstractNum w:abstractNumId="507">
    <w:nsid w:val="51EEBEEA"/>
    <w:multiLevelType w:val="hybridMultilevel"/>
    <w:lvl w:ilvl="0">
      <w:lvlJc w:val="left"/>
      <w:lvlText w:val="(%1)"/>
      <w:numFmt w:val="lowerLetter"/>
      <w:start w:val="1"/>
    </w:lvl>
  </w:abstractNum>
  <w:abstractNum w:abstractNumId="508">
    <w:nsid w:val="221A0CCD"/>
    <w:multiLevelType w:val="hybridMultilevel"/>
    <w:lvl w:ilvl="0">
      <w:lvlJc w:val="left"/>
      <w:lvlText w:val="(%1)"/>
      <w:numFmt w:val="lowerLetter"/>
      <w:start w:val="1"/>
    </w:lvl>
  </w:abstractNum>
  <w:abstractNum w:abstractNumId="509">
    <w:nsid w:val="1B7CA0ED"/>
    <w:multiLevelType w:val="hybridMultilevel"/>
    <w:lvl w:ilvl="0">
      <w:lvlJc w:val="left"/>
      <w:lvlText w:val="(%1)"/>
      <w:numFmt w:val="lowerLetter"/>
      <w:start w:val="3"/>
    </w:lvl>
  </w:abstractNum>
  <w:abstractNum w:abstractNumId="510">
    <w:nsid w:val="2395A7FF"/>
    <w:multiLevelType w:val="hybridMultilevel"/>
    <w:lvl w:ilvl="0">
      <w:lvlJc w:val="left"/>
      <w:lvlText w:val="(%1)"/>
      <w:numFmt w:val="lowerLetter"/>
      <w:start w:val="1"/>
    </w:lvl>
    <w:lvl w:ilvl="1">
      <w:lvlJc w:val="left"/>
      <w:lvlText w:val="(%2)"/>
      <w:numFmt w:val="lowerRoman"/>
      <w:start w:val="1"/>
    </w:lvl>
  </w:abstractNum>
  <w:abstractNum w:abstractNumId="511">
    <w:nsid w:val="3965EB66"/>
    <w:multiLevelType w:val="hybridMultilevel"/>
    <w:lvl w:ilvl="0">
      <w:lvlJc w:val="left"/>
      <w:lvlText w:val="(%1)"/>
      <w:numFmt w:val="lowerLetter"/>
      <w:start w:val="2"/>
    </w:lvl>
  </w:abstractNum>
  <w:abstractNum w:abstractNumId="512">
    <w:nsid w:val="3AA88B3C"/>
    <w:multiLevelType w:val="hybridMultilevel"/>
    <w:lvl w:ilvl="0">
      <w:lvlJc w:val="left"/>
      <w:lvlText w:val="(%1)"/>
      <w:numFmt w:val="lowerLetter"/>
      <w:start w:val="1"/>
    </w:lvl>
  </w:abstractNum>
  <w:abstractNum w:abstractNumId="513">
    <w:nsid w:val="26BAF231"/>
    <w:multiLevelType w:val="hybridMultilevel"/>
    <w:lvl w:ilvl="0">
      <w:lvlJc w:val="left"/>
      <w:lvlText w:val="(%1)"/>
      <w:numFmt w:val="lowerLetter"/>
      <w:start w:val="3"/>
    </w:lvl>
  </w:abstractNum>
  <w:abstractNum w:abstractNumId="514">
    <w:nsid w:val="4B13A15A"/>
    <w:multiLevelType w:val="hybridMultilevel"/>
    <w:lvl w:ilvl="0">
      <w:lvlJc w:val="left"/>
      <w:lvlText w:val="(%1)"/>
      <w:numFmt w:val="lowerLetter"/>
      <w:start w:val="1"/>
    </w:lvl>
  </w:abstractNum>
  <w:abstractNum w:abstractNumId="515">
    <w:nsid w:val="701E8A0D"/>
    <w:multiLevelType w:val="hybridMultilevel"/>
    <w:lvl w:ilvl="0">
      <w:lvlJc w:val="left"/>
      <w:lvlText w:val="(%1)"/>
      <w:numFmt w:val="lowerLetter"/>
      <w:start w:val="1"/>
    </w:lvl>
  </w:abstractNum>
  <w:abstractNum w:abstractNumId="516">
    <w:nsid w:val="41E690CF"/>
    <w:multiLevelType w:val="hybridMultilevel"/>
    <w:lvl w:ilvl="0">
      <w:lvlJc w:val="left"/>
      <w:lvlText w:val="(%1)"/>
      <w:numFmt w:val="lowerLetter"/>
      <w:start w:val="1"/>
    </w:lvl>
  </w:abstractNum>
  <w:abstractNum w:abstractNumId="517">
    <w:nsid w:val="7C6489B6"/>
    <w:multiLevelType w:val="hybridMultilevel"/>
    <w:lvl w:ilvl="0">
      <w:lvlJc w:val="left"/>
      <w:lvlText w:val="%1."/>
      <w:numFmt w:val="decimal"/>
      <w:start w:val="26"/>
    </w:lvl>
  </w:abstractNum>
  <w:abstractNum w:abstractNumId="518">
    <w:nsid w:val="53AE65DE"/>
    <w:multiLevelType w:val="hybridMultilevel"/>
    <w:lvl w:ilvl="0">
      <w:lvlJc w:val="left"/>
      <w:lvlText w:val="(%1)"/>
      <w:numFmt w:val="lowerLetter"/>
      <w:start w:val="1"/>
    </w:lvl>
  </w:abstractNum>
  <w:abstractNum w:abstractNumId="519">
    <w:nsid w:val="527F603D"/>
    <w:multiLevelType w:val="hybridMultilevel"/>
    <w:lvl w:ilvl="0">
      <w:lvlJc w:val="left"/>
      <w:lvlText w:val="(%1)"/>
      <w:numFmt w:val="lowerLetter"/>
      <w:start w:val="1"/>
    </w:lvl>
    <w:lvl w:ilvl="1">
      <w:lvlJc w:val="left"/>
      <w:lvlText w:val="(%2)"/>
      <w:numFmt w:val="lowerRoman"/>
      <w:start w:val="1"/>
    </w:lvl>
  </w:abstractNum>
  <w:abstractNum w:abstractNumId="520">
    <w:nsid w:val="7E13D013"/>
    <w:multiLevelType w:val="hybridMultilevel"/>
    <w:lvl w:ilvl="0">
      <w:lvlJc w:val="left"/>
      <w:lvlText w:val="(%1)"/>
      <w:numFmt w:val="lowerLetter"/>
      <w:start w:val="3"/>
    </w:lvl>
    <w:lvl w:ilvl="1">
      <w:lvlJc w:val="left"/>
      <w:lvlText w:val="(%2)"/>
      <w:numFmt w:val="lowerRoman"/>
      <w:start w:val="1"/>
    </w:lvl>
  </w:abstractNum>
  <w:abstractNum w:abstractNumId="521">
    <w:nsid w:val="663BFE95"/>
    <w:multiLevelType w:val="hybridMultilevel"/>
    <w:lvl w:ilvl="0">
      <w:lvlJc w:val="left"/>
      <w:lvlText w:val="(%1)"/>
      <w:numFmt w:val="lowerLetter"/>
      <w:start w:val="4"/>
    </w:lvl>
    <w:lvl w:ilvl="1">
      <w:lvlJc w:val="left"/>
      <w:lvlText w:val="(%2)"/>
      <w:numFmt w:val="lowerRoman"/>
      <w:start w:val="1"/>
    </w:lvl>
  </w:abstractNum>
  <w:abstractNum w:abstractNumId="522">
    <w:nsid w:val="31E0986F"/>
    <w:multiLevelType w:val="hybridMultilevel"/>
    <w:lvl w:ilvl="0">
      <w:lvlJc w:val="left"/>
      <w:lvlText w:val="(%1)"/>
      <w:numFmt w:val="lowerLetter"/>
      <w:start w:val="1"/>
    </w:lvl>
    <w:lvl w:ilvl="1">
      <w:lvlJc w:val="left"/>
      <w:lvlText w:val="(%2)"/>
      <w:numFmt w:val="lowerRoman"/>
      <w:start w:val="1"/>
    </w:lvl>
  </w:abstractNum>
  <w:abstractNum w:abstractNumId="523">
    <w:nsid w:val="41FCF274"/>
    <w:multiLevelType w:val="hybridMultilevel"/>
    <w:lvl w:ilvl="0">
      <w:lvlJc w:val="left"/>
      <w:lvlText w:val="(%1)"/>
      <w:numFmt w:val="lowerLetter"/>
      <w:start w:val="2"/>
    </w:lvl>
    <w:lvl w:ilvl="1">
      <w:lvlJc w:val="left"/>
      <w:lvlText w:val="(%2)"/>
      <w:numFmt w:val="lowerRoman"/>
      <w:start w:val="1"/>
    </w:lvl>
  </w:abstractNum>
  <w:abstractNum w:abstractNumId="524">
    <w:nsid w:val="294614F7"/>
    <w:multiLevelType w:val="hybridMultilevel"/>
    <w:lvl w:ilvl="0">
      <w:lvlJc w:val="left"/>
      <w:lvlText w:val="(%1)"/>
      <w:numFmt w:val="lowerLetter"/>
      <w:start w:val="3"/>
    </w:lvl>
    <w:lvl w:ilvl="1">
      <w:lvlJc w:val="left"/>
      <w:lvlText w:val="(%2)"/>
      <w:numFmt w:val="lowerRoman"/>
      <w:start w:val="1"/>
    </w:lvl>
  </w:abstractNum>
  <w:abstractNum w:abstractNumId="525">
    <w:nsid w:val="517DF487"/>
    <w:multiLevelType w:val="hybridMultilevel"/>
    <w:lvl w:ilvl="0">
      <w:lvlJc w:val="left"/>
      <w:lvlText w:val="(%1)"/>
      <w:numFmt w:val="lowerLetter"/>
      <w:start w:val="1"/>
    </w:lvl>
    <w:lvl w:ilvl="1">
      <w:lvlJc w:val="left"/>
      <w:lvlText w:val="(%2)"/>
      <w:numFmt w:val="lowerRoman"/>
      <w:start w:val="1"/>
    </w:lvl>
  </w:abstractNum>
  <w:abstractNum w:abstractNumId="526">
    <w:nsid w:val="5EBE0EAB"/>
    <w:multiLevelType w:val="hybridMultilevel"/>
    <w:lvl w:ilvl="0">
      <w:lvlJc w:val="left"/>
      <w:lvlText w:val="(%1)"/>
      <w:numFmt w:val="lowerRoman"/>
      <w:start w:val="4"/>
    </w:lvl>
  </w:abstractNum>
  <w:abstractNum w:abstractNumId="527">
    <w:nsid w:val="6E9DEAD0"/>
    <w:multiLevelType w:val="hybridMultilevel"/>
    <w:lvl w:ilvl="0">
      <w:lvlJc w:val="left"/>
      <w:lvlText w:val="(%1)"/>
      <w:numFmt w:val="lowerLetter"/>
      <w:start w:val="1"/>
    </w:lvl>
    <w:lvl w:ilvl="1">
      <w:lvlJc w:val="left"/>
      <w:lvlText w:val="(%2)"/>
      <w:numFmt w:val="lowerRoman"/>
      <w:start w:val="1"/>
    </w:lvl>
  </w:abstractNum>
  <w:abstractNum w:abstractNumId="528">
    <w:nsid w:val="4450AA00"/>
    <w:multiLevelType w:val="hybridMultilevel"/>
    <w:lvl w:ilvl="0">
      <w:lvlJc w:val="left"/>
      <w:lvlText w:val="(%1)"/>
      <w:numFmt w:val="lowerLetter"/>
      <w:start w:val="1"/>
    </w:lvl>
  </w:abstractNum>
  <w:abstractNum w:abstractNumId="529">
    <w:nsid w:val="4AC9F3E2"/>
    <w:multiLevelType w:val="hybridMultilevel"/>
    <w:lvl w:ilvl="0">
      <w:lvlJc w:val="left"/>
      <w:lvlText w:val="(%1)"/>
      <w:numFmt w:val="lowerRoman"/>
      <w:start w:val="1"/>
    </w:lvl>
  </w:abstractNum>
  <w:abstractNum w:abstractNumId="530">
    <w:nsid w:val="CC0A782"/>
    <w:multiLevelType w:val="hybridMultilevel"/>
    <w:lvl w:ilvl="0">
      <w:lvlJc w:val="left"/>
      <w:lvlText w:val="%1."/>
      <w:numFmt w:val="decimal"/>
      <w:start w:val="27"/>
    </w:lvl>
  </w:abstractNum>
  <w:abstractNum w:abstractNumId="531">
    <w:nsid w:val="79B69BC9"/>
    <w:multiLevelType w:val="hybridMultilevel"/>
    <w:lvl w:ilvl="0">
      <w:lvlJc w:val="left"/>
      <w:lvlText w:val="(%1)"/>
      <w:numFmt w:val="lowerLetter"/>
      <w:start w:val="1"/>
    </w:lvl>
    <w:lvl w:ilvl="1">
      <w:lvlJc w:val="left"/>
      <w:lvlText w:val="(%2)"/>
      <w:numFmt w:val="lowerLetter"/>
      <w:start w:val="9"/>
    </w:lvl>
  </w:abstractNum>
  <w:abstractNum w:abstractNumId="532">
    <w:nsid w:val="2970CC78"/>
    <w:multiLevelType w:val="hybridMultilevel"/>
    <w:lvl w:ilvl="0">
      <w:lvlJc w:val="left"/>
      <w:lvlText w:val="(%1)"/>
      <w:numFmt w:val="lowerRoman"/>
      <w:start w:val="2"/>
    </w:lvl>
  </w:abstractNum>
  <w:abstractNum w:abstractNumId="533">
    <w:nsid w:val="49CA1341"/>
    <w:multiLevelType w:val="hybridMultilevel"/>
    <w:lvl w:ilvl="0">
      <w:lvlJc w:val="left"/>
      <w:lvlText w:val="(%1)"/>
      <w:numFmt w:val="lowerRoman"/>
      <w:start w:val="2"/>
    </w:lvl>
  </w:abstractNum>
  <w:abstractNum w:abstractNumId="534">
    <w:nsid w:val="58D717E"/>
    <w:multiLevelType w:val="hybridMultilevel"/>
    <w:lvl w:ilvl="0">
      <w:lvlJc w:val="left"/>
      <w:lvlText w:val="(%1)"/>
      <w:numFmt w:val="lowerRoman"/>
      <w:start w:val="2"/>
    </w:lvl>
  </w:abstractNum>
  <w:abstractNum w:abstractNumId="535">
    <w:nsid w:val="64C2DDD5"/>
    <w:multiLevelType w:val="hybridMultilevel"/>
    <w:lvl w:ilvl="0">
      <w:lvlJc w:val="left"/>
      <w:lvlText w:val="%1"/>
      <w:numFmt w:val="lowerLetter"/>
      <w:start w:val="1"/>
    </w:lvl>
    <w:lvl w:ilvl="1">
      <w:lvlJc w:val="left"/>
      <w:lvlText w:val="(%2)"/>
      <w:numFmt w:val="lowerRoman"/>
      <w:start w:val="3"/>
    </w:lvl>
  </w:abstractNum>
  <w:abstractNum w:abstractNumId="536">
    <w:nsid w:val="4244B8DE"/>
    <w:multiLevelType w:val="hybridMultilevel"/>
    <w:lvl w:ilvl="0">
      <w:lvlJc w:val="left"/>
      <w:lvlText w:val="(%1)"/>
      <w:numFmt w:val="lowerLetter"/>
      <w:start w:val="5"/>
    </w:lvl>
    <w:lvl w:ilvl="1">
      <w:lvlJc w:val="left"/>
      <w:lvlText w:val="(%2)"/>
      <w:numFmt w:val="lowerRoman"/>
      <w:start w:val="1"/>
    </w:lvl>
  </w:abstractNum>
  <w:abstractNum w:abstractNumId="537">
    <w:nsid w:val="76490B01"/>
    <w:multiLevelType w:val="hybridMultilevel"/>
    <w:lvl w:ilvl="0">
      <w:lvlJc w:val="left"/>
      <w:lvlText w:val="(%1)"/>
      <w:numFmt w:val="lowerLetter"/>
      <w:start w:val="1"/>
    </w:lvl>
    <w:lvl w:ilvl="1">
      <w:lvlJc w:val="left"/>
      <w:lvlText w:val="(%2)"/>
      <w:numFmt w:val="lowerRoman"/>
      <w:start w:val="1"/>
    </w:lvl>
  </w:abstractNum>
  <w:abstractNum w:abstractNumId="538">
    <w:nsid w:val="36B19CBF"/>
    <w:multiLevelType w:val="hybridMultilevel"/>
    <w:lvl w:ilvl="0">
      <w:lvlJc w:val="left"/>
      <w:lvlText w:val="(%1)"/>
      <w:numFmt w:val="lowerLetter"/>
      <w:start w:val="4"/>
    </w:lvl>
    <w:lvl w:ilvl="1">
      <w:lvlJc w:val="left"/>
      <w:lvlText w:val="(%2)"/>
      <w:numFmt w:val="lowerRoman"/>
      <w:start w:val="1"/>
    </w:lvl>
  </w:abstractNum>
  <w:abstractNum w:abstractNumId="539">
    <w:nsid w:val="645EC5AB"/>
    <w:multiLevelType w:val="hybridMultilevel"/>
    <w:lvl w:ilvl="0">
      <w:lvlJc w:val="left"/>
      <w:lvlText w:val="%1."/>
      <w:numFmt w:val="decimal"/>
      <w:start w:val="28"/>
    </w:lvl>
  </w:abstractNum>
  <w:abstractNum w:abstractNumId="540">
    <w:nsid w:val="11C5ABEF"/>
    <w:multiLevelType w:val="hybridMultilevel"/>
    <w:lvl w:ilvl="0">
      <w:lvlJc w:val="left"/>
      <w:lvlText w:val="%1."/>
      <w:numFmt w:val="decimal"/>
      <w:start w:val="29"/>
    </w:lvl>
    <w:lvl w:ilvl="1">
      <w:lvlJc w:val="left"/>
      <w:lvlText w:val="(%2)"/>
      <w:numFmt w:val="lowerLetter"/>
      <w:start w:val="1"/>
    </w:lvl>
  </w:abstractNum>
  <w:abstractNum w:abstractNumId="541">
    <w:nsid w:val="5A4744BE"/>
    <w:multiLevelType w:val="hybridMultilevel"/>
    <w:lvl w:ilvl="0">
      <w:lvlJc w:val="left"/>
      <w:lvlText w:val="(%1)"/>
      <w:numFmt w:val="lowerLetter"/>
      <w:start w:val="1"/>
    </w:lvl>
  </w:abstractNum>
  <w:abstractNum w:abstractNumId="542">
    <w:nsid w:val="1DC4B111"/>
    <w:multiLevelType w:val="hybridMultilevel"/>
    <w:lvl w:ilvl="0">
      <w:lvlJc w:val="left"/>
      <w:lvlText w:val="(%1)"/>
      <w:numFmt w:val="lowerLetter"/>
      <w:start w:val="1"/>
    </w:lvl>
  </w:abstractNum>
  <w:abstractNum w:abstractNumId="543">
    <w:nsid w:val="4C6E372B"/>
    <w:multiLevelType w:val="hybridMultilevel"/>
    <w:lvl w:ilvl="0">
      <w:lvlJc w:val="left"/>
      <w:lvlText w:val="(%1)"/>
      <w:numFmt w:val="lowerLetter"/>
      <w:start w:val="1"/>
    </w:lvl>
  </w:abstractNum>
  <w:abstractNum w:abstractNumId="544">
    <w:nsid w:val="10236EF"/>
    <w:multiLevelType w:val="hybridMultilevel"/>
    <w:lvl w:ilvl="0">
      <w:lvlJc w:val="left"/>
      <w:lvlText w:val="(%1)"/>
      <w:numFmt w:val="lowerLetter"/>
      <w:start w:val="1"/>
    </w:lvl>
    <w:lvl w:ilvl="1">
      <w:lvlJc w:val="left"/>
      <w:lvlText w:val="(%2)"/>
      <w:numFmt w:val="lowerRoman"/>
      <w:start w:val="1"/>
    </w:lvl>
  </w:abstractNum>
  <w:abstractNum w:abstractNumId="545">
    <w:nsid w:val="68D8526B"/>
    <w:multiLevelType w:val="hybridMultilevel"/>
    <w:lvl w:ilvl="0">
      <w:lvlJc w:val="left"/>
      <w:lvlText w:val="(%1)"/>
      <w:numFmt w:val="lowerLetter"/>
      <w:start w:val="1"/>
    </w:lvl>
  </w:abstractNum>
  <w:abstractNum w:abstractNumId="546">
    <w:nsid w:val="3C8CC138"/>
    <w:multiLevelType w:val="hybridMultilevel"/>
    <w:lvl w:ilvl="0">
      <w:lvlJc w:val="left"/>
      <w:lvlText w:val="(%1)"/>
      <w:numFmt w:val="lowerLetter"/>
      <w:start w:val="3"/>
    </w:lvl>
  </w:abstractNum>
  <w:abstractNum w:abstractNumId="547">
    <w:nsid w:val="42E8C7BE"/>
    <w:multiLevelType w:val="hybridMultilevel"/>
    <w:lvl w:ilvl="0">
      <w:lvlJc w:val="left"/>
      <w:lvlText w:val="(%1)"/>
      <w:numFmt w:val="lowerLetter"/>
      <w:start w:val="1"/>
    </w:lvl>
  </w:abstractNum>
  <w:abstractNum w:abstractNumId="548">
    <w:nsid w:val="653CDC22"/>
    <w:multiLevelType w:val="hybridMultilevel"/>
    <w:lvl w:ilvl="0">
      <w:lvlJc w:val="left"/>
      <w:lvlText w:val="(%1)"/>
      <w:numFmt w:val="lowerLetter"/>
      <w:start w:val="1"/>
    </w:lvl>
  </w:abstractNum>
  <w:abstractNum w:abstractNumId="549">
    <w:nsid w:val="103B2716"/>
    <w:multiLevelType w:val="hybridMultilevel"/>
    <w:lvl w:ilvl="0">
      <w:lvlJc w:val="left"/>
      <w:lvlText w:val="(%1)"/>
      <w:numFmt w:val="lowerLetter"/>
      <w:start w:val="1"/>
    </w:lvl>
  </w:abstractNum>
  <w:abstractNum w:abstractNumId="550">
    <w:nsid w:val="156827FB"/>
    <w:multiLevelType w:val="hybridMultilevel"/>
    <w:lvl w:ilvl="0">
      <w:lvlJc w:val="left"/>
      <w:lvlText w:val="(%1)"/>
      <w:numFmt w:val="lowerLetter"/>
      <w:start w:val="1"/>
    </w:lvl>
  </w:abstractNum>
  <w:abstractNum w:abstractNumId="551">
    <w:nsid w:val="6350AC35"/>
    <w:multiLevelType w:val="hybridMultilevel"/>
    <w:lvl w:ilvl="0">
      <w:lvlJc w:val="left"/>
      <w:lvlText w:val="(%1)"/>
      <w:numFmt w:val="lowerLetter"/>
      <w:start w:val="7"/>
    </w:lvl>
    <w:lvl w:ilvl="1">
      <w:lvlJc w:val="left"/>
      <w:lvlText w:val="(%2)"/>
      <w:numFmt w:val="lowerRoman"/>
      <w:start w:val="1"/>
    </w:lvl>
  </w:abstractNum>
  <w:abstractNum w:abstractNumId="552">
    <w:nsid w:val="767725AB"/>
    <w:multiLevelType w:val="hybridMultilevel"/>
    <w:lvl w:ilvl="0">
      <w:lvlJc w:val="left"/>
      <w:lvlText w:val="(%1)"/>
      <w:numFmt w:val="lowerLetter"/>
      <w:start w:val="1"/>
    </w:lvl>
  </w:abstractNum>
  <w:abstractNum w:abstractNumId="553">
    <w:nsid w:val="4748C06A"/>
    <w:multiLevelType w:val="hybridMultilevel"/>
    <w:lvl w:ilvl="0">
      <w:lvlJc w:val="left"/>
      <w:lvlText w:val="(%1)"/>
      <w:numFmt w:val="lowerLetter"/>
      <w:start w:val="1"/>
    </w:lvl>
  </w:abstractNum>
  <w:abstractNum w:abstractNumId="554">
    <w:nsid w:val="254D9EA9"/>
    <w:multiLevelType w:val="hybridMultilevel"/>
    <w:lvl w:ilvl="0">
      <w:lvlJc w:val="left"/>
      <w:lvlText w:val="(%1)"/>
      <w:numFmt w:val="lowerLetter"/>
      <w:start w:val="1"/>
    </w:lvl>
  </w:abstractNum>
  <w:abstractNum w:abstractNumId="555">
    <w:nsid w:val="1FBD3AA3"/>
    <w:multiLevelType w:val="hybridMultilevel"/>
    <w:lvl w:ilvl="0">
      <w:lvlJc w:val="left"/>
      <w:lvlText w:val="%1."/>
      <w:numFmt w:val="decimal"/>
      <w:start w:val="30"/>
    </w:lvl>
    <w:lvl w:ilvl="1">
      <w:lvlJc w:val="left"/>
      <w:lvlText w:val="(%2)"/>
      <w:numFmt w:val="lowerLetter"/>
      <w:start w:val="1"/>
    </w:lvl>
  </w:abstractNum>
  <w:abstractNum w:abstractNumId="556">
    <w:nsid w:val="18C6B4F2"/>
    <w:multiLevelType w:val="hybridMultilevel"/>
    <w:lvl w:ilvl="0">
      <w:lvlJc w:val="left"/>
      <w:lvlText w:val="(%1)"/>
      <w:numFmt w:val="lowerLetter"/>
      <w:start w:val="1"/>
    </w:lvl>
  </w:abstractNum>
  <w:abstractNum w:abstractNumId="557">
    <w:nsid w:val="40BAD55"/>
    <w:multiLevelType w:val="hybridMultilevel"/>
    <w:lvl w:ilvl="0">
      <w:lvlJc w:val="left"/>
      <w:lvlText w:val="(%1)"/>
      <w:numFmt w:val="lowerLetter"/>
      <w:start w:val="1"/>
    </w:lvl>
  </w:abstractNum>
  <w:abstractNum w:abstractNumId="558">
    <w:nsid w:val="E5B2573"/>
    <w:multiLevelType w:val="hybridMultilevel"/>
    <w:lvl w:ilvl="0">
      <w:lvlJc w:val="left"/>
      <w:lvlText w:val="(%1)"/>
      <w:numFmt w:val="lowerLetter"/>
      <w:start w:val="1"/>
    </w:lvl>
  </w:abstractNum>
  <w:abstractNum w:abstractNumId="559">
    <w:nsid w:val="5D175EF2"/>
    <w:multiLevelType w:val="hybridMultilevel"/>
    <w:lvl w:ilvl="0">
      <w:lvlJc w:val="left"/>
      <w:lvlText w:val="(%1)"/>
      <w:numFmt w:val="lowerLetter"/>
      <w:start w:val="1"/>
    </w:lvl>
    <w:lvl w:ilvl="1">
      <w:lvlJc w:val="left"/>
      <w:lvlText w:val="(%2)"/>
      <w:numFmt w:val="lowerRoman"/>
      <w:start w:val="1"/>
    </w:lvl>
  </w:abstractNum>
  <w:abstractNum w:abstractNumId="560">
    <w:nsid w:val="4ED5A137"/>
    <w:multiLevelType w:val="hybridMultilevel"/>
    <w:lvl w:ilvl="0">
      <w:lvlJc w:val="left"/>
      <w:lvlText w:val="%1."/>
      <w:numFmt w:val="decimal"/>
      <w:start w:val="32"/>
    </w:lvl>
    <w:lvl w:ilvl="1">
      <w:lvlJc w:val="left"/>
      <w:lvlText w:val="(%2)"/>
      <w:numFmt w:val="lowerLetter"/>
      <w:start w:val="1"/>
    </w:lvl>
  </w:abstractNum>
  <w:abstractNum w:abstractNumId="561">
    <w:nsid w:val="1B1BCCF5"/>
    <w:multiLevelType w:val="hybridMultilevel"/>
    <w:lvl w:ilvl="0">
      <w:lvlJc w:val="left"/>
      <w:lvlText w:val="(%1)"/>
      <w:numFmt w:val="lowerLetter"/>
      <w:start w:val="1"/>
    </w:lvl>
  </w:abstractNum>
  <w:abstractNum w:abstractNumId="562">
    <w:nsid w:val="56CDFABB"/>
    <w:multiLevelType w:val="hybridMultilevel"/>
    <w:lvl w:ilvl="0">
      <w:lvlJc w:val="left"/>
      <w:lvlText w:val="(%1)"/>
      <w:numFmt w:val="lowerLetter"/>
      <w:start w:val="1"/>
    </w:lvl>
    <w:lvl w:ilvl="1">
      <w:lvlJc w:val="left"/>
      <w:lvlText w:val="(%2)"/>
      <w:numFmt w:val="lowerLetter"/>
      <w:start w:val="9"/>
    </w:lvl>
  </w:abstractNum>
  <w:abstractNum w:abstractNumId="563">
    <w:nsid w:val="78466DAF"/>
    <w:multiLevelType w:val="hybridMultilevel"/>
    <w:lvl w:ilvl="0">
      <w:lvlJc w:val="left"/>
      <w:lvlText w:val="(%1)"/>
      <w:numFmt w:val="lowerRoman"/>
      <w:start w:val="2"/>
    </w:lvl>
  </w:abstractNum>
  <w:abstractNum w:abstractNumId="564">
    <w:nsid w:val="64E5E036"/>
    <w:multiLevelType w:val="hybridMultilevel"/>
    <w:lvl w:ilvl="0">
      <w:lvlJc w:val="left"/>
      <w:lvlText w:val="(%1)"/>
      <w:numFmt w:val="lowerLetter"/>
      <w:start w:val="1"/>
    </w:lvl>
    <w:lvl w:ilvl="1">
      <w:lvlJc w:val="left"/>
      <w:lvlText w:val="(%2)"/>
      <w:numFmt w:val="lowerRoman"/>
      <w:start w:val="1"/>
    </w:lvl>
  </w:abstractNum>
  <w:abstractNum w:abstractNumId="565">
    <w:nsid w:val="5C5B6C3A"/>
    <w:multiLevelType w:val="hybridMultilevel"/>
    <w:lvl w:ilvl="0">
      <w:lvlJc w:val="left"/>
      <w:lvlText w:val="(%1)"/>
      <w:numFmt w:val="lowerLetter"/>
      <w:start w:val="2"/>
    </w:lvl>
    <w:lvl w:ilvl="1">
      <w:lvlJc w:val="left"/>
      <w:lvlText w:val="(%2)"/>
      <w:numFmt w:val="lowerRoman"/>
      <w:start w:val="1"/>
    </w:lvl>
  </w:abstractNum>
  <w:abstractNum w:abstractNumId="566">
    <w:nsid w:val="5D094B84"/>
    <w:multiLevelType w:val="hybridMultilevel"/>
    <w:lvl w:ilvl="0">
      <w:lvlJc w:val="left"/>
      <w:lvlText w:val="(%1)"/>
      <w:numFmt w:val="lowerLetter"/>
      <w:start w:val="1"/>
    </w:lvl>
    <w:lvl w:ilvl="1">
      <w:lvlJc w:val="left"/>
      <w:lvlText w:val="(%2)"/>
      <w:numFmt w:val="lowerRoman"/>
      <w:start w:val="1"/>
    </w:lvl>
  </w:abstractNum>
  <w:abstractNum w:abstractNumId="567">
    <w:nsid w:val="272A9914"/>
    <w:multiLevelType w:val="hybridMultilevel"/>
    <w:lvl w:ilvl="0">
      <w:lvlJc w:val="left"/>
      <w:lvlText w:val="(%1)"/>
      <w:numFmt w:val="lowerLetter"/>
      <w:start w:val="1"/>
    </w:lvl>
  </w:abstractNum>
  <w:abstractNum w:abstractNumId="568">
    <w:nsid w:val="52A4773B"/>
    <w:multiLevelType w:val="hybridMultilevel"/>
    <w:lvl w:ilvl="0">
      <w:lvlJc w:val="left"/>
      <w:lvlText w:val="(%1)"/>
      <w:numFmt w:val="lowerLetter"/>
      <w:start w:val="1"/>
    </w:lvl>
  </w:abstractNum>
  <w:abstractNum w:abstractNumId="569">
    <w:nsid w:val="13BAE843"/>
    <w:multiLevelType w:val="hybridMultilevel"/>
    <w:lvl w:ilvl="0">
      <w:lvlJc w:val="left"/>
      <w:lvlText w:val="(%1)"/>
      <w:numFmt w:val="lowerLetter"/>
      <w:start w:val="5"/>
    </w:lvl>
  </w:abstractNum>
  <w:abstractNum w:abstractNumId="570">
    <w:nsid w:val="B895EBF"/>
    <w:multiLevelType w:val="hybridMultilevel"/>
    <w:lvl w:ilvl="0">
      <w:lvlJc w:val="left"/>
      <w:lvlText w:val="(%1)"/>
      <w:numFmt w:val="lowerLetter"/>
      <w:start w:val="1"/>
    </w:lvl>
  </w:abstractNum>
  <w:abstractNum w:abstractNumId="571">
    <w:nsid w:val="646A232A"/>
    <w:multiLevelType w:val="hybridMultilevel"/>
    <w:lvl w:ilvl="0">
      <w:lvlJc w:val="left"/>
      <w:lvlText w:val="(%1)"/>
      <w:numFmt w:val="lowerRoman"/>
      <w:start w:val="1"/>
    </w:lvl>
  </w:abstractNum>
  <w:abstractNum w:abstractNumId="572">
    <w:nsid w:val="6E022D01"/>
    <w:multiLevelType w:val="hybridMultilevel"/>
    <w:lvl w:ilvl="0">
      <w:lvlJc w:val="left"/>
      <w:lvlText w:val="(%1)"/>
      <w:numFmt w:val="lowerLetter"/>
      <w:start w:val="2"/>
    </w:lvl>
  </w:abstractNum>
  <w:abstractNum w:abstractNumId="573">
    <w:nsid w:val="294E0FD0"/>
    <w:multiLevelType w:val="hybridMultilevel"/>
    <w:lvl w:ilvl="0">
      <w:lvlJc w:val="left"/>
      <w:lvlText w:val="(%1)"/>
      <w:numFmt w:val="lowerLetter"/>
      <w:start w:val="1"/>
    </w:lvl>
  </w:abstractNum>
  <w:abstractNum w:abstractNumId="574">
    <w:nsid w:val="30D85A55"/>
    <w:multiLevelType w:val="hybridMultilevel"/>
    <w:lvl w:ilvl="0">
      <w:lvlJc w:val="left"/>
      <w:lvlText w:val="%1."/>
      <w:numFmt w:val="decimal"/>
      <w:start w:val="33"/>
    </w:lvl>
  </w:abstractNum>
  <w:abstractNum w:abstractNumId="575">
    <w:nsid w:val="6F0463F1"/>
    <w:multiLevelType w:val="hybridMultilevel"/>
    <w:lvl w:ilvl="0">
      <w:lvlJc w:val="left"/>
      <w:lvlText w:val="(%1)"/>
      <w:numFmt w:val="lowerLetter"/>
      <w:start w:val="1"/>
    </w:lvl>
  </w:abstractNum>
  <w:abstractNum w:abstractNumId="576">
    <w:nsid w:val="1226623C"/>
    <w:multiLevelType w:val="hybridMultilevel"/>
    <w:lvl w:ilvl="0">
      <w:lvlJc w:val="left"/>
      <w:lvlText w:val="(%1)"/>
      <w:numFmt w:val="lowerLetter"/>
      <w:start w:val="2"/>
    </w:lvl>
  </w:abstractNum>
  <w:abstractNum w:abstractNumId="577">
    <w:nsid w:val="6D651B8D"/>
    <w:multiLevelType w:val="hybridMultilevel"/>
    <w:lvl w:ilvl="0">
      <w:lvlJc w:val="left"/>
      <w:lvlText w:val="(%1)"/>
      <w:numFmt w:val="lowerLetter"/>
      <w:start w:val="1"/>
    </w:lvl>
    <w:lvl w:ilvl="1">
      <w:lvlJc w:val="left"/>
      <w:lvlText w:val="(%2)"/>
      <w:numFmt w:val="lowerRoman"/>
      <w:start w:val="1"/>
    </w:lvl>
  </w:abstractNum>
  <w:abstractNum w:abstractNumId="578">
    <w:nsid w:val="31ED2BAF"/>
    <w:multiLevelType w:val="hybridMultilevel"/>
    <w:lvl w:ilvl="0">
      <w:lvlJc w:val="left"/>
      <w:lvlText w:val="(%1)"/>
      <w:numFmt w:val="lowerLetter"/>
      <w:start w:val="2"/>
    </w:lvl>
  </w:abstractNum>
  <w:abstractNum w:abstractNumId="579">
    <w:nsid w:val="77633E5E"/>
    <w:multiLevelType w:val="hybridMultilevel"/>
    <w:lvl w:ilvl="0">
      <w:lvlJc w:val="left"/>
      <w:lvlText w:val="(%1)"/>
      <w:numFmt w:val="lowerLetter"/>
      <w:start w:val="1"/>
    </w:lvl>
    <w:lvl w:ilvl="1">
      <w:lvlJc w:val="left"/>
      <w:lvlText w:val="(%2)"/>
      <w:numFmt w:val="lowerRoman"/>
      <w:start w:val="1"/>
    </w:lvl>
  </w:abstractNum>
  <w:abstractNum w:abstractNumId="580">
    <w:nsid w:val="7DA042A3"/>
    <w:multiLevelType w:val="hybridMultilevel"/>
    <w:lvl w:ilvl="0">
      <w:lvlJc w:val="left"/>
      <w:lvlText w:val="(%1)"/>
      <w:numFmt w:val="lowerLetter"/>
      <w:start w:val="4"/>
    </w:lvl>
    <w:lvl w:ilvl="1">
      <w:lvlJc w:val="left"/>
      <w:lvlText w:val="(%2)"/>
      <w:numFmt w:val="lowerRoman"/>
      <w:start w:val="1"/>
    </w:lvl>
  </w:abstractNum>
  <w:abstractNum w:abstractNumId="581">
    <w:nsid w:val="475553AB"/>
    <w:multiLevelType w:val="hybridMultilevel"/>
    <w:lvl w:ilvl="0">
      <w:lvlJc w:val="left"/>
      <w:lvlText w:val="(%1)"/>
      <w:numFmt w:val="lowerLetter"/>
      <w:start w:val="8"/>
    </w:lvl>
    <w:lvl w:ilvl="1">
      <w:lvlJc w:val="left"/>
      <w:lvlText w:val="(%2)"/>
      <w:numFmt w:val="lowerRoman"/>
      <w:start w:val="1"/>
    </w:lvl>
  </w:abstractNum>
  <w:abstractNum w:abstractNumId="582">
    <w:nsid w:val="5AB3EA9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3">
    <w:nsid w:val="7417684F"/>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584">
    <w:nsid w:val="E9E1415"/>
    <w:multiLevelType w:val="hybridMultilevel"/>
    <w:lvl w:ilvl="0">
      <w:lvlJc w:val="left"/>
      <w:lvlText w:val="(%1)"/>
      <w:numFmt w:val="lowerLetter"/>
      <w:start w:val="1"/>
    </w:lvl>
    <w:lvl w:ilvl="1">
      <w:lvlJc w:val="left"/>
      <w:lvlText w:val="(%2)"/>
      <w:numFmt w:val="lowerRoman"/>
      <w:start w:val="1"/>
    </w:lvl>
  </w:abstractNum>
  <w:abstractNum w:abstractNumId="585">
    <w:nsid w:val="189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86">
    <w:nsid w:val="13D4A2F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87">
    <w:nsid w:val="2764C907"/>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1"/>
    </w:lvl>
  </w:abstractNum>
  <w:abstractNum w:abstractNumId="588">
    <w:nsid w:val="40D3692"/>
    <w:multiLevelType w:val="hybridMultilevel"/>
    <w:lvl w:ilvl="0">
      <w:lvlJc w:val="left"/>
      <w:lvlText w:val="(%1)"/>
      <w:numFmt w:val="lowerLetter"/>
      <w:start w:val="1"/>
    </w:lvl>
    <w:lvl w:ilvl="1">
      <w:lvlJc w:val="left"/>
      <w:lvlText w:val="(%2)"/>
      <w:numFmt w:val="lowerRoman"/>
      <w:start w:val="1"/>
    </w:lvl>
  </w:abstractNum>
  <w:abstractNum w:abstractNumId="589">
    <w:nsid w:val="222FC865"/>
    <w:multiLevelType w:val="hybridMultilevel"/>
    <w:lvl w:ilvl="0">
      <w:lvlJc w:val="left"/>
      <w:lvlText w:val="(%1)"/>
      <w:numFmt w:val="lowerLetter"/>
      <w:start w:val="1"/>
    </w:lvl>
    <w:lvl w:ilvl="1">
      <w:lvlJc w:val="left"/>
      <w:lvlText w:val="(%2)"/>
      <w:numFmt w:val="lowerRoman"/>
      <w:start w:val="1"/>
    </w:lvl>
  </w:abstractNum>
  <w:abstractNum w:abstractNumId="590">
    <w:nsid w:val="47C27FA"/>
    <w:multiLevelType w:val="hybridMultilevel"/>
    <w:lvl w:ilvl="0">
      <w:lvlJc w:val="left"/>
      <w:lvlText w:val="(%1)"/>
      <w:numFmt w:val="lowerLetter"/>
      <w:start w:val="1"/>
    </w:lvl>
    <w:lvl w:ilvl="1">
      <w:lvlJc w:val="left"/>
      <w:lvlText w:val="(%2)"/>
      <w:numFmt w:val="lowerRoman"/>
      <w:start w:val="1"/>
    </w:lvl>
  </w:abstractNum>
  <w:abstractNum w:abstractNumId="591">
    <w:nsid w:val="52E2D7C9"/>
    <w:multiLevelType w:val="hybridMultilevel"/>
    <w:lvl w:ilvl="0">
      <w:lvlJc w:val="left"/>
      <w:lvlText w:val="%1"/>
      <w:numFmt w:val="lowerLetter"/>
      <w:start w:val="1"/>
    </w:lvl>
    <w:lvl w:ilvl="1">
      <w:lvlJc w:val="left"/>
      <w:lvlText w:val="(%2)"/>
      <w:numFmt w:val="lowerLetter"/>
      <w:start w:val="35"/>
    </w:lvl>
  </w:abstractNum>
  <w:abstractNum w:abstractNumId="592">
    <w:nsid w:val="3D4B955A"/>
    <w:multiLevelType w:val="hybridMultilevel"/>
    <w:lvl w:ilvl="0">
      <w:lvlJc w:val="left"/>
      <w:lvlText w:val="(%1)"/>
      <w:numFmt w:val="lowerLetter"/>
      <w:start w:val="2"/>
    </w:lvl>
    <w:lvl w:ilvl="1">
      <w:lvlJc w:val="left"/>
      <w:lvlText w:val="(%2)"/>
      <w:numFmt w:val="lowerLetter"/>
      <w:start w:val="9"/>
    </w:lvl>
  </w:abstractNum>
  <w:abstractNum w:abstractNumId="593">
    <w:nsid w:val="5B4A22B5"/>
    <w:multiLevelType w:val="hybridMultilevel"/>
    <w:lvl w:ilvl="0">
      <w:lvlJc w:val="left"/>
      <w:lvlText w:val="(%1)"/>
      <w:numFmt w:val="lowerRoman"/>
      <w:start w:val="2"/>
    </w:lvl>
  </w:abstractNum>
  <w:abstractNum w:abstractNumId="594">
    <w:nsid w:val="4B294578"/>
    <w:multiLevelType w:val="hybridMultilevel"/>
    <w:lvl w:ilvl="0">
      <w:lvlJc w:val="left"/>
      <w:lvlText w:val="%1"/>
      <w:numFmt w:val="lowerLetter"/>
      <w:start w:val="1"/>
    </w:lvl>
    <w:lvl w:ilvl="1">
      <w:lvlJc w:val="left"/>
      <w:lvlText w:val="(%2)"/>
      <w:numFmt w:val="decimal"/>
      <w:start w:val="15"/>
    </w:lvl>
  </w:abstractNum>
  <w:abstractNum w:abstractNumId="595">
    <w:nsid w:val="22317590"/>
    <w:multiLevelType w:val="hybridMultilevel"/>
    <w:lvl w:ilvl="0">
      <w:lvlJc w:val="left"/>
      <w:lvlText w:val="(%1)"/>
      <w:numFmt w:val="lowerLetter"/>
      <w:start w:val="1"/>
    </w:lvl>
    <w:lvl w:ilvl="1">
      <w:lvlJc w:val="left"/>
      <w:lvlText w:val="%2"/>
      <w:numFmt w:val="decimal"/>
      <w:start w:val="1"/>
    </w:lvl>
  </w:abstractNum>
  <w:abstractNum w:abstractNumId="596">
    <w:nsid w:val="37A58EEF"/>
    <w:multiLevelType w:val="hybridMultilevel"/>
    <w:lvl w:ilvl="0">
      <w:lvlJc w:val="left"/>
      <w:lvlText w:val="(%1)"/>
      <w:numFmt w:val="lowerLetter"/>
      <w:start w:val="2"/>
    </w:lvl>
  </w:abstractNum>
  <w:abstractNum w:abstractNumId="597">
    <w:nsid w:val="283290FD"/>
    <w:multiLevelType w:val="hybridMultilevel"/>
    <w:lvl w:ilvl="0">
      <w:lvlJc w:val="left"/>
      <w:lvlText w:val="(%1)"/>
      <w:numFmt w:val="lowerLetter"/>
      <w:start w:val="1"/>
    </w:lvl>
  </w:abstractNum>
  <w:abstractNum w:abstractNumId="598">
    <w:nsid w:val="495C0EA5"/>
    <w:multiLevelType w:val="hybridMultilevel"/>
    <w:lvl w:ilvl="0">
      <w:lvlJc w:val="left"/>
      <w:lvlText w:val="(%1)"/>
      <w:numFmt w:val="lowerRoman"/>
      <w:start w:val="1"/>
    </w:lvl>
    <w:lvl w:ilvl="1">
      <w:lvlJc w:val="left"/>
      <w:lvlText w:val="(%2)"/>
      <w:numFmt w:val="upperLetter"/>
      <w:start w:val="1"/>
    </w:lvl>
  </w:abstractNum>
  <w:abstractNum w:abstractNumId="599">
    <w:nsid w:val="A4A062B"/>
    <w:multiLevelType w:val="hybridMultilevel"/>
    <w:lvl w:ilvl="0">
      <w:lvlJc w:val="left"/>
      <w:lvlText w:val="(%1)"/>
      <w:numFmt w:val="lowerLetter"/>
      <w:start w:val="2"/>
    </w:lvl>
    <w:lvl w:ilvl="1">
      <w:lvlJc w:val="left"/>
      <w:lvlText w:val="(%2)"/>
      <w:numFmt w:val="lowerRoman"/>
      <w:start w:val="1"/>
    </w:lvl>
  </w:abstractNum>
  <w:abstractNum w:abstractNumId="600">
    <w:nsid w:val="3BED7940"/>
    <w:multiLevelType w:val="hybridMultilevel"/>
    <w:lvl w:ilvl="0">
      <w:lvlJc w:val="left"/>
      <w:lvlText w:val="(%1)"/>
      <w:numFmt w:val="lowerRoman"/>
      <w:start w:val="1"/>
    </w:lvl>
  </w:abstractNum>
  <w:abstractNum w:abstractNumId="601">
    <w:nsid w:val="54E56D64"/>
    <w:multiLevelType w:val="hybridMultilevel"/>
    <w:lvl w:ilvl="0">
      <w:lvlJc w:val="left"/>
      <w:lvlText w:val="(%1)"/>
      <w:numFmt w:val="upperLetter"/>
      <w:start w:val="1"/>
    </w:lvl>
  </w:abstractNum>
  <w:abstractNum w:abstractNumId="602">
    <w:nsid w:val="6EB42955"/>
    <w:multiLevelType w:val="hybridMultilevel"/>
    <w:lvl w:ilvl="0">
      <w:lvlJc w:val="left"/>
      <w:lvlText w:val="(%1)"/>
      <w:numFmt w:val="decimal"/>
      <w:start w:val="2"/>
    </w:lvl>
  </w:abstractNum>
  <w:abstractNum w:abstractNumId="603">
    <w:nsid w:val="29EFA642"/>
    <w:multiLevelType w:val="hybridMultilevel"/>
    <w:lvl w:ilvl="0">
      <w:lvlJc w:val="left"/>
      <w:lvlText w:val="%1"/>
      <w:numFmt w:val="lowerRoman"/>
      <w:start w:val="1"/>
    </w:lvl>
    <w:lvl w:ilvl="1">
      <w:lvlJc w:val="left"/>
      <w:lvlText w:val="(%2)"/>
      <w:numFmt w:val="upperLetter"/>
      <w:start w:val="2"/>
    </w:lvl>
  </w:abstractNum>
  <w:abstractNum w:abstractNumId="604">
    <w:nsid w:val="7E337D35"/>
    <w:multiLevelType w:val="hybridMultilevel"/>
    <w:lvl w:ilvl="0">
      <w:lvlJc w:val="left"/>
      <w:lvlText w:val="(%1)"/>
      <w:numFmt w:val="lowerRoman"/>
      <w:start w:val="3"/>
    </w:lvl>
    <w:lvl w:ilvl="1">
      <w:lvlJc w:val="left"/>
      <w:lvlText w:val="(%2)"/>
      <w:numFmt w:val="upperLetter"/>
      <w:start w:val="1"/>
    </w:lvl>
  </w:abstractNum>
  <w:abstractNum w:abstractNumId="605">
    <w:nsid w:val="1F8C83AB"/>
    <w:multiLevelType w:val="hybridMultilevel"/>
    <w:lvl w:ilvl="0">
      <w:lvlJc w:val="left"/>
      <w:lvlText w:val="(%1)"/>
      <w:numFmt w:val="lowerRoman"/>
      <w:start w:val="1"/>
    </w:lvl>
    <w:lvl w:ilvl="1">
      <w:lvlJc w:val="left"/>
      <w:lvlText w:val="(%2)"/>
      <w:numFmt w:val="upperLetter"/>
      <w:start w:val="1"/>
    </w:lvl>
  </w:abstractNum>
  <w:abstractNum w:abstractNumId="606">
    <w:nsid w:val="18F40A33"/>
    <w:multiLevelType w:val="hybridMultilevel"/>
    <w:lvl w:ilvl="0">
      <w:lvlJc w:val="left"/>
      <w:lvlText w:val="(%1)"/>
      <w:numFmt w:val="lowerRoman"/>
      <w:start w:val="2"/>
    </w:lvl>
  </w:abstractNum>
  <w:abstractNum w:abstractNumId="607">
    <w:nsid w:val="1059DF71"/>
    <w:multiLevelType w:val="hybridMultilevel"/>
    <w:lvl w:ilvl="0">
      <w:lvlJc w:val="left"/>
      <w:lvlText w:val="(%1)"/>
      <w:numFmt w:val="lowerLetter"/>
      <w:start w:val="1"/>
    </w:lvl>
    <w:lvl w:ilvl="1">
      <w:lvlJc w:val="left"/>
      <w:lvlText w:val="(%2)"/>
      <w:numFmt w:val="lowerRoman"/>
      <w:start w:val="1"/>
    </w:lvl>
  </w:abstractNum>
  <w:abstractNum w:abstractNumId="608">
    <w:nsid w:val="CF19F38"/>
    <w:multiLevelType w:val="hybridMultilevel"/>
    <w:lvl w:ilvl="0">
      <w:lvlJc w:val="left"/>
      <w:lvlText w:val="(%1)"/>
      <w:numFmt w:val="lowerLetter"/>
      <w:start w:val="2"/>
    </w:lvl>
    <w:lvl w:ilvl="1">
      <w:lvlJc w:val="left"/>
      <w:lvlText w:val="(%2)"/>
      <w:numFmt w:val="lowerRoman"/>
      <w:start w:val="1"/>
    </w:lvl>
  </w:abstractNum>
  <w:abstractNum w:abstractNumId="609">
    <w:nsid w:val="4AE135E2"/>
    <w:multiLevelType w:val="hybridMultilevel"/>
    <w:lvl w:ilvl="0">
      <w:lvlJc w:val="left"/>
      <w:lvlText w:val="(%1)"/>
      <w:numFmt w:val="lowerLetter"/>
      <w:start w:val="3"/>
    </w:lvl>
    <w:lvl w:ilvl="1">
      <w:lvlJc w:val="left"/>
      <w:lvlText w:val="(%2)"/>
      <w:numFmt w:val="lowerRoman"/>
      <w:start w:val="1"/>
    </w:lvl>
  </w:abstractNum>
  <w:abstractNum w:abstractNumId="610">
    <w:nsid w:val="7BD1DCF"/>
    <w:multiLevelType w:val="hybridMultilevel"/>
    <w:lvl w:ilvl="0">
      <w:lvlJc w:val="left"/>
      <w:lvlText w:val="(%1)"/>
      <w:numFmt w:val="lowerLetter"/>
      <w:start w:val="1"/>
    </w:lvl>
    <w:lvl w:ilvl="1">
      <w:lvlJc w:val="left"/>
      <w:lvlText w:val="(%2)"/>
      <w:numFmt w:val="lowerRoman"/>
      <w:start w:val="1"/>
    </w:lvl>
  </w:abstractNum>
  <w:abstractNum w:abstractNumId="611">
    <w:nsid w:val="A91E1DC"/>
    <w:multiLevelType w:val="hybridMultilevel"/>
    <w:lvl w:ilvl="0">
      <w:lvlJc w:val="left"/>
      <w:lvlText w:val="(%1)"/>
      <w:numFmt w:val="lowerLetter"/>
      <w:start w:val="1"/>
    </w:lvl>
    <w:lvl w:ilvl="1">
      <w:lvlJc w:val="left"/>
      <w:lvlText w:val="(%2)"/>
      <w:numFmt w:val="lowerRoman"/>
      <w:start w:val="1"/>
    </w:lvl>
  </w:abstractNum>
  <w:abstractNum w:abstractNumId="612">
    <w:nsid w:val="1236898D"/>
    <w:multiLevelType w:val="hybridMultilevel"/>
    <w:lvl w:ilvl="0">
      <w:lvlJc w:val="left"/>
      <w:lvlText w:val="(%1)"/>
      <w:numFmt w:val="lowerRoman"/>
      <w:start w:val="2"/>
    </w:lvl>
  </w:abstractNum>
  <w:abstractNum w:abstractNumId="613">
    <w:nsid w:val="627108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14">
    <w:nsid w:val="7EA94A2B"/>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615">
    <w:nsid w:val="20D49DA3"/>
    <w:multiLevelType w:val="hybridMultilevel"/>
    <w:lvl w:ilvl="0">
      <w:lvlJc w:val="left"/>
      <w:lvlText w:val="(%1)"/>
      <w:numFmt w:val="lowerLetter"/>
      <w:start w:val="1"/>
    </w:lvl>
    <w:lvl w:ilvl="1">
      <w:lvlJc w:val="left"/>
      <w:lvlText w:val="(%2)"/>
      <w:numFmt w:val="lowerRoman"/>
      <w:start w:val="1"/>
    </w:lvl>
  </w:abstractNum>
  <w:abstractNum w:abstractNumId="616">
    <w:nsid w:val="6272919F"/>
    <w:multiLevelType w:val="hybridMultilevel"/>
    <w:lvl w:ilvl="0">
      <w:lvlJc w:val="left"/>
      <w:lvlText w:val="(%1)"/>
      <w:numFmt w:val="lowerLetter"/>
      <w:start w:val="3"/>
    </w:lvl>
    <w:lvl w:ilvl="1">
      <w:lvlJc w:val="left"/>
      <w:lvlText w:val="(%2)"/>
      <w:numFmt w:val="lowerRoman"/>
      <w:start w:val="1"/>
    </w:lvl>
  </w:abstractNum>
  <w:abstractNum w:abstractNumId="617">
    <w:nsid w:val="127DED1D"/>
    <w:multiLevelType w:val="hybridMultilevel"/>
    <w:lvl w:ilvl="0">
      <w:lvlJc w:val="left"/>
      <w:lvlText w:val="(%1)"/>
      <w:numFmt w:val="lowerRoman"/>
      <w:start w:val="1"/>
    </w:lvl>
  </w:abstractNum>
  <w:abstractNum w:abstractNumId="618">
    <w:nsid w:val="483966AA"/>
    <w:multiLevelType w:val="hybridMultilevel"/>
    <w:lvl w:ilvl="0">
      <w:lvlJc w:val="left"/>
      <w:lvlText w:val="(%1)"/>
      <w:numFmt w:val="lowerLetter"/>
      <w:start w:val="1"/>
    </w:lvl>
    <w:lvl w:ilvl="1">
      <w:lvlJc w:val="left"/>
      <w:lvlText w:val="(%2)"/>
      <w:numFmt w:val="lowerRoman"/>
      <w:start w:val="1"/>
    </w:lvl>
  </w:abstractNum>
  <w:abstractNum w:abstractNumId="619">
    <w:nsid w:val="667FC831"/>
    <w:multiLevelType w:val="hybridMultilevel"/>
    <w:lvl w:ilvl="0">
      <w:lvlJc w:val="left"/>
      <w:lvlText w:val="(%1)"/>
      <w:numFmt w:val="lowerLetter"/>
      <w:start w:val="2"/>
    </w:lvl>
  </w:abstractNum>
  <w:abstractNum w:abstractNumId="620">
    <w:nsid w:val="34ADB58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1">
    <w:nsid w:val="4CB58EA4"/>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622">
    <w:nsid w:val="39629FFA"/>
    <w:multiLevelType w:val="hybridMultilevel"/>
    <w:lvl w:ilvl="0">
      <w:lvlJc w:val="left"/>
      <w:lvlText w:val="(%1)"/>
      <w:numFmt w:val="lowerLetter"/>
      <w:start w:val="1"/>
    </w:lvl>
    <w:lvl w:ilvl="1">
      <w:lvlJc w:val="left"/>
      <w:lvlText w:val="(%2)"/>
      <w:numFmt w:val="lowerRoman"/>
      <w:start w:val="1"/>
    </w:lvl>
  </w:abstractNum>
  <w:abstractNum w:abstractNumId="623">
    <w:nsid w:val="71F94ADC"/>
    <w:multiLevelType w:val="hybridMultilevel"/>
    <w:lvl w:ilvl="0">
      <w:lvlJc w:val="left"/>
      <w:lvlText w:val="%1"/>
      <w:numFmt w:val="lowerLetter"/>
      <w:start w:val="1"/>
    </w:lvl>
    <w:lvl w:ilvl="1">
      <w:lvlJc w:val="left"/>
      <w:lvlText w:val="(%2)"/>
      <w:numFmt w:val="lowerRoman"/>
      <w:start w:val="3"/>
    </w:lvl>
  </w:abstractNum>
  <w:abstractNum w:abstractNumId="624">
    <w:nsid w:val="27FFB15A"/>
    <w:multiLevelType w:val="hybridMultilevel"/>
    <w:lvl w:ilvl="0">
      <w:lvlJc w:val="left"/>
      <w:lvlText w:val="(%1)"/>
      <w:numFmt w:val="lowerLetter"/>
      <w:start w:val="4"/>
    </w:lvl>
    <w:lvl w:ilvl="1">
      <w:lvlJc w:val="left"/>
      <w:lvlText w:val="%2"/>
      <w:numFmt w:val="lowerRoman"/>
      <w:start w:val="1"/>
    </w:lvl>
  </w:abstractNum>
  <w:abstractNum w:abstractNumId="625">
    <w:nsid w:val="48BE573"/>
    <w:multiLevelType w:val="hybridMultilevel"/>
    <w:lvl w:ilvl="0">
      <w:lvlJc w:val="left"/>
      <w:lvlText w:val="(%1)"/>
      <w:numFmt w:val="lowerLetter"/>
      <w:start w:val="1"/>
    </w:lvl>
    <w:lvl w:ilvl="1">
      <w:lvlJc w:val="left"/>
      <w:lvlText w:val="(%2)"/>
      <w:numFmt w:val="lowerRoman"/>
      <w:start w:val="1"/>
    </w:lvl>
  </w:abstractNum>
  <w:abstractNum w:abstractNumId="626">
    <w:nsid w:val="142AC06C"/>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27">
    <w:nsid w:val="5FA5404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28">
    <w:nsid w:val="2CBE76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29">
    <w:nsid w:val="5D86CF1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630">
    <w:nsid w:val="69EF4674"/>
    <w:multiLevelType w:val="hybridMultilevel"/>
    <w:lvl w:ilvl="0">
      <w:lvlJc w:val="left"/>
      <w:lvlText w:val="(%1)"/>
      <w:numFmt w:val="lowerRoman"/>
      <w:start w:val="1"/>
    </w:lvl>
  </w:abstractNum>
  <w:abstractNum w:abstractNumId="631">
    <w:nsid w:val="68ABEFB0"/>
    <w:multiLevelType w:val="hybridMultilevel"/>
    <w:lvl w:ilvl="0">
      <w:lvlJc w:val="left"/>
      <w:lvlText w:val="(%1)"/>
      <w:numFmt w:val="lowerRoman"/>
      <w:start w:val="1"/>
    </w:lvl>
  </w:abstractNum>
  <w:abstractNum w:abstractNumId="632">
    <w:nsid w:val="326C3C7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633">
    <w:nsid w:val="58A36FCA"/>
    <w:multiLevelType w:val="hybridMultilevel"/>
    <w:lvl w:ilvl="0">
      <w:lvlJc w:val="left"/>
      <w:lvlText w:val="%1."/>
      <w:numFmt w:val="decimal"/>
      <w:start w:val="42"/>
    </w:lvl>
    <w:lvl w:ilvl="1">
      <w:lvlJc w:val="left"/>
      <w:lvlText w:val="%2"/>
      <w:numFmt w:val="lowerRoman"/>
      <w:start w:val="1"/>
    </w:lvl>
    <w:lvl w:ilvl="2">
      <w:lvlJc w:val="left"/>
      <w:lvlText w:val="%3"/>
      <w:numFmt w:val="upperLetter"/>
      <w:start w:val="1"/>
    </w:lvl>
  </w:abstractNum>
  <w:abstractNum w:abstractNumId="634">
    <w:nsid w:val="129B95F2"/>
    <w:multiLevelType w:val="hybridMultilevel"/>
    <w:lvl w:ilvl="0">
      <w:lvlJc w:val="left"/>
      <w:lvlText w:val="%1."/>
      <w:numFmt w:val="decimal"/>
      <w:start w:val="45"/>
    </w:lvl>
    <w:lvl w:ilvl="1">
      <w:lvlJc w:val="left"/>
      <w:lvlText w:val="(%2)"/>
      <w:numFmt w:val="lowerLetter"/>
      <w:start w:val="1"/>
    </w:lvl>
  </w:abstractNum>
  <w:abstractNum w:abstractNumId="635">
    <w:nsid w:val="309FB9AB"/>
    <w:multiLevelType w:val="hybridMultilevel"/>
    <w:lvl w:ilvl="0">
      <w:lvlJc w:val="left"/>
      <w:lvlText w:val="%1."/>
      <w:numFmt w:val="decimal"/>
      <w:start w:val="46"/>
    </w:lvl>
  </w:abstractNum>
  <w:abstractNum w:abstractNumId="636">
    <w:nsid w:val="782FF375"/>
    <w:multiLevelType w:val="hybridMultilevel"/>
    <w:lvl w:ilvl="0">
      <w:lvlJc w:val="left"/>
      <w:lvlText w:val="(%1)"/>
      <w:numFmt w:val="lowerLetter"/>
      <w:start w:val="1"/>
    </w:lvl>
  </w:abstractNum>
  <w:abstractNum w:abstractNumId="637">
    <w:nsid w:val="2B8FA025"/>
    <w:multiLevelType w:val="hybridMultilevel"/>
    <w:lvl w:ilvl="0">
      <w:lvlJc w:val="left"/>
      <w:lvlText w:val="(%1)"/>
      <w:numFmt w:val="lowerLetter"/>
      <w:start w:val="1"/>
    </w:lvl>
    <w:lvl w:ilvl="1">
      <w:lvlJc w:val="left"/>
      <w:lvlText w:val="(%2)"/>
      <w:numFmt w:val="lowerRoman"/>
      <w:start w:val="1"/>
    </w:lvl>
  </w:abstractNum>
  <w:abstractNum w:abstractNumId="638">
    <w:nsid w:val="40F9991C"/>
    <w:multiLevelType w:val="hybridMultilevel"/>
    <w:lvl w:ilvl="0">
      <w:lvlJc w:val="left"/>
      <w:lvlText w:val="(%1)"/>
      <w:numFmt w:val="lowerLetter"/>
      <w:start w:val="1"/>
    </w:lvl>
  </w:abstractNum>
  <w:abstractNum w:abstractNumId="639">
    <w:nsid w:val="52192AD"/>
    <w:multiLevelType w:val="hybridMultilevel"/>
    <w:lvl w:ilvl="0">
      <w:lvlJc w:val="left"/>
      <w:lvlText w:val="(%1)"/>
      <w:numFmt w:val="lowerLetter"/>
      <w:start w:val="5"/>
    </w:lvl>
  </w:abstractNum>
  <w:abstractNum w:abstractNumId="640">
    <w:nsid w:val="7670D6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1">
    <w:nsid w:val="48B6B6E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2">
    <w:nsid w:val="FB3748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3">
    <w:nsid w:val="8A75F95"/>
    <w:multiLevelType w:val="hybridMultilevel"/>
    <w:lvl w:ilvl="0">
      <w:lvlJc w:val="left"/>
      <w:lvlText w:val="(%1)"/>
      <w:numFmt w:val="lowerRoman"/>
      <w:start w:val="1"/>
    </w:lvl>
  </w:abstractNum>
  <w:abstractNum w:abstractNumId="644">
    <w:nsid w:val="2B27BF4D"/>
    <w:multiLevelType w:val="hybridMultilevel"/>
    <w:lvl w:ilvl="0">
      <w:lvlJc w:val="left"/>
      <w:lvlText w:val="%1."/>
      <w:numFmt w:val="decimal"/>
      <w:start w:val="1"/>
    </w:lvl>
  </w:abstractNum>
  <w:abstractNum w:abstractNumId="645">
    <w:nsid w:val="E5CBEB4"/>
    <w:multiLevelType w:val="hybridMultilevel"/>
    <w:lvl w:ilvl="0">
      <w:lvlJc w:val="left"/>
      <w:lvlText w:val="%1."/>
      <w:numFmt w:val="decimal"/>
      <w:start w:val="3"/>
    </w:lvl>
  </w:abstractNum>
  <w:abstractNum w:abstractNumId="646">
    <w:nsid w:val="297BFD38"/>
    <w:multiLevelType w:val="hybridMultilevel"/>
    <w:lvl w:ilvl="0">
      <w:lvlJc w:val="left"/>
      <w:lvlText w:val="%1."/>
      <w:numFmt w:val="decimal"/>
      <w:start w:val="1"/>
    </w:lvl>
    <w:lvl w:ilvl="1">
      <w:lvlJc w:val="left"/>
      <w:lvlText w:val="(%2)"/>
      <w:numFmt w:val="lowerLetter"/>
      <w:start w:val="1"/>
    </w:lvl>
  </w:abstractNum>
  <w:abstractNum w:abstractNumId="647">
    <w:nsid w:val="D9A50ED"/>
    <w:multiLevelType w:val="hybridMultilevel"/>
    <w:lvl w:ilvl="0">
      <w:lvlJc w:val="left"/>
      <w:lvlText w:val="%1."/>
      <w:numFmt w:val="decimal"/>
      <w:start w:val="7"/>
    </w:lvl>
  </w:abstractNum>
  <w:abstractNum w:abstractNumId="648">
    <w:nsid w:val="20DAABD1"/>
    <w:multiLevelType w:val="hybridMultilevel"/>
    <w:lvl w:ilvl="0">
      <w:lvlJc w:val="left"/>
      <w:lvlText w:val="%1."/>
      <w:numFmt w:val="decimal"/>
      <w:start w:val="1"/>
    </w:lvl>
    <w:lvl w:ilvl="1">
      <w:lvlJc w:val="left"/>
      <w:lvlText w:val="(%2)"/>
      <w:numFmt w:val="lowerLetter"/>
      <w:start w:val="1"/>
    </w:lvl>
  </w:abstractNum>
  <w:abstractNum w:abstractNumId="649">
    <w:nsid w:val="71B563E3"/>
    <w:multiLevelType w:val="hybridMultilevel"/>
    <w:lvl w:ilvl="0">
      <w:lvlJc w:val="left"/>
      <w:lvlText w:val="%1."/>
      <w:numFmt w:val="decimal"/>
      <w:start w:val="9"/>
    </w:lvl>
  </w:abstractNum>
  <w:abstractNum w:abstractNumId="650">
    <w:nsid w:val="741A191E"/>
    <w:multiLevelType w:val="hybridMultilevel"/>
    <w:lvl w:ilvl="0">
      <w:lvlJc w:val="left"/>
      <w:lvlText w:val="%1."/>
      <w:numFmt w:val="decimal"/>
      <w:start w:val="1"/>
    </w:lvl>
    <w:lvl w:ilvl="1">
      <w:lvlJc w:val="left"/>
      <w:lvlText w:val="(%2)"/>
      <w:numFmt w:val="lowerLetter"/>
      <w:start w:val="1"/>
    </w:lvl>
  </w:abstractNum>
  <w:abstractNum w:abstractNumId="651">
    <w:nsid w:val="55886153"/>
    <w:multiLevelType w:val="hybridMultilevel"/>
    <w:lvl w:ilvl="0">
      <w:lvlJc w:val="left"/>
      <w:lvlText w:val="*"/>
      <w:numFmt w:val="bullet"/>
      <w:start w:val="1"/>
    </w:lvl>
  </w:abstractNum>
  <w:abstractNum w:abstractNumId="652">
    <w:nsid w:val="3E6AF287"/>
    <w:multiLevelType w:val="hybridMultilevel"/>
    <w:lvl w:ilvl="0">
      <w:lvlJc w:val="left"/>
      <w:lvlText w:val="(%1)"/>
      <w:numFmt w:val="lowerLetter"/>
      <w:start w:val="1"/>
    </w:lvl>
  </w:abstractNum>
  <w:abstractNum w:abstractNumId="653">
    <w:nsid w:val="2D7CB919"/>
    <w:multiLevelType w:val="hybridMultilevel"/>
    <w:lvl w:ilvl="0">
      <w:lvlJc w:val="left"/>
      <w:lvlText w:val="%1."/>
      <w:numFmt w:val="decimal"/>
      <w:start w:val="1"/>
    </w:lvl>
  </w:abstractNum>
  <w:abstractNum w:abstractNumId="654">
    <w:nsid w:val="4781AC2F"/>
    <w:multiLevelType w:val="hybridMultilevel"/>
    <w:lvl w:ilvl="0">
      <w:lvlJc w:val="left"/>
      <w:lvlText w:val="%1."/>
      <w:numFmt w:val="decimal"/>
      <w:start w:val="2"/>
    </w:lvl>
  </w:abstractNum>
  <w:abstractNum w:abstractNumId="655">
    <w:nsid w:val="666AA3E1"/>
    <w:multiLevelType w:val="hybridMultilevel"/>
    <w:lvl w:ilvl="0">
      <w:lvlJc w:val="left"/>
      <w:lvlText w:val="%1."/>
      <w:numFmt w:val="decimal"/>
      <w:start w:val="3"/>
    </w:lvl>
  </w:abstractNum>
  <w:abstractNum w:abstractNumId="656">
    <w:nsid w:val="32089E8C"/>
    <w:multiLevelType w:val="hybridMultilevel"/>
    <w:lvl w:ilvl="0">
      <w:lvlJc w:val="left"/>
      <w:lvlText w:val="%1."/>
      <w:numFmt w:val="decimal"/>
      <w:start w:val="1"/>
    </w:lvl>
  </w:abstractNum>
  <w:abstractNum w:abstractNumId="657">
    <w:nsid w:val="5BAC6C9C"/>
    <w:multiLevelType w:val="hybridMultilevel"/>
    <w:lvl w:ilvl="0">
      <w:lvlJc w:val="left"/>
      <w:lvlText w:val="*"/>
      <w:numFmt w:val="bullet"/>
      <w:start w:val="1"/>
    </w:lvl>
  </w:abstractNum>
  <w:abstractNum w:abstractNumId="658">
    <w:nsid w:val="460FE42B"/>
    <w:multiLevelType w:val="hybridMultilevel"/>
    <w:lvl w:ilvl="0">
      <w:lvlJc w:val="left"/>
      <w:lvlText w:val="%1."/>
      <w:numFmt w:val="decimal"/>
      <w:start w:val="1"/>
    </w:lvl>
  </w:abstractNum>
  <w:abstractNum w:abstractNumId="659">
    <w:nsid w:val="5EC714FC"/>
    <w:multiLevelType w:val="hybridMultilevel"/>
    <w:lvl w:ilvl="0">
      <w:lvlJc w:val="left"/>
      <w:lvlText w:val="*"/>
      <w:numFmt w:val="bullet"/>
      <w:start w:val="1"/>
    </w:lvl>
  </w:abstractNum>
  <w:abstractNum w:abstractNumId="660">
    <w:nsid w:val="39333BAD"/>
    <w:multiLevelType w:val="hybridMultilevel"/>
    <w:lvl w:ilvl="0">
      <w:lvlJc w:val="left"/>
      <w:lvlText w:val="**"/>
      <w:numFmt w:val="bullet"/>
      <w:start w:val="1"/>
    </w:lvl>
  </w:abstractNum>
  <w:abstractNum w:abstractNumId="661">
    <w:nsid w:val="2FFF2A9F"/>
    <w:multiLevelType w:val="hybridMultilevel"/>
    <w:lvl w:ilvl="0">
      <w:lvlJc w:val="left"/>
      <w:lvlText w:val="%1."/>
      <w:numFmt w:val="decimal"/>
      <w:start w:val="1"/>
    </w:lvl>
  </w:abstractNum>
  <w:abstractNum w:abstractNumId="662">
    <w:nsid w:val="477304AC"/>
    <w:multiLevelType w:val="hybridMultilevel"/>
    <w:lvl w:ilvl="0">
      <w:lvlJc w:val="left"/>
      <w:lvlText w:val="*"/>
      <w:numFmt w:val="bullet"/>
      <w:start w:val="1"/>
    </w:lvl>
  </w:abstractNum>
  <w:abstractNum w:abstractNumId="663">
    <w:nsid w:val="6B9F7823"/>
    <w:multiLevelType w:val="hybridMultilevel"/>
    <w:lvl w:ilvl="0">
      <w:lvlJc w:val="left"/>
      <w:lvlText w:val="**"/>
      <w:numFmt w:val="bullet"/>
      <w:start w:val="1"/>
    </w:lvl>
  </w:abstractNum>
  <w:abstractNum w:abstractNumId="664">
    <w:nsid w:val="8A29A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5">
    <w:nsid w:val="5A0E9A9F"/>
    <w:multiLevelType w:val="hybridMultilevel"/>
    <w:lvl w:ilvl="0">
      <w:lvlJc w:val="left"/>
      <w:lvlText w:val="%1."/>
      <w:numFmt w:val="decimal"/>
      <w:start w:val="1"/>
    </w:lvl>
  </w:abstractNum>
  <w:abstractNum w:abstractNumId="666">
    <w:nsid w:val="1C3F31CE"/>
    <w:multiLevelType w:val="hybridMultilevel"/>
    <w:lvl w:ilvl="0">
      <w:lvlJc w:val="left"/>
      <w:lvlText w:val="%1."/>
      <w:numFmt w:val="decimal"/>
      <w:start w:val="1"/>
    </w:lvl>
    <w:lvl w:ilvl="1">
      <w:lvlJc w:val="left"/>
      <w:lvlText w:val="(%2)"/>
      <w:numFmt w:val="lowerLetter"/>
      <w:start w:val="1"/>
    </w:lvl>
  </w:abstractNum>
  <w:abstractNum w:abstractNumId="667">
    <w:nsid w:val="D28DDE"/>
    <w:multiLevelType w:val="hybridMultilevel"/>
    <w:lvl w:ilvl="0">
      <w:lvlJc w:val="left"/>
      <w:lvlText w:val="%1."/>
      <w:numFmt w:val="decimal"/>
      <w:start w:val="1"/>
    </w:lvl>
    <w:lvl w:ilvl="1">
      <w:lvlJc w:val="left"/>
      <w:lvlText w:val="(%2)"/>
      <w:numFmt w:val="lowerLetter"/>
      <w:start w:val="1"/>
    </w:lvl>
  </w:abstractNum>
  <w:abstractNum w:abstractNumId="668">
    <w:nsid w:val="59E3AC4"/>
    <w:multiLevelType w:val="hybridMultilevel"/>
    <w:lvl w:ilvl="0">
      <w:lvlJc w:val="left"/>
      <w:lvlText w:val="%1."/>
      <w:numFmt w:val="decimal"/>
      <w:start w:val="1"/>
    </w:lvl>
  </w:abstractNum>
  <w:abstractNum w:abstractNumId="669">
    <w:nsid w:val="5D38CAEA"/>
    <w:multiLevelType w:val="hybridMultilevel"/>
    <w:lvl w:ilvl="0">
      <w:lvlJc w:val="left"/>
      <w:lvlText w:val="%1."/>
      <w:numFmt w:val="decimal"/>
      <w:start w:val="1"/>
    </w:lvl>
  </w:abstractNum>
  <w:abstractNum w:abstractNumId="670">
    <w:nsid w:val="5F4208C"/>
    <w:multiLevelType w:val="hybridMultilevel"/>
    <w:lvl w:ilvl="0">
      <w:lvlJc w:val="left"/>
      <w:lvlText w:val="%1."/>
      <w:numFmt w:val="decimal"/>
      <w:start w:val="1"/>
    </w:lvl>
  </w:abstractNum>
  <w:abstractNum w:abstractNumId="671">
    <w:nsid w:val="7C0F10CC"/>
    <w:multiLevelType w:val="hybridMultilevel"/>
    <w:lvl w:ilvl="0">
      <w:lvlJc w:val="left"/>
      <w:lvlText w:val="%1."/>
      <w:numFmt w:val="decimal"/>
      <w:start w:val="1"/>
    </w:lvl>
  </w:abstractNum>
  <w:abstractNum w:abstractNumId="672">
    <w:nsid w:val="25EF81D5"/>
    <w:multiLevelType w:val="hybridMultilevel"/>
    <w:lvl w:ilvl="0">
      <w:lvlJc w:val="left"/>
      <w:lvlText w:val="%1."/>
      <w:numFmt w:val="upperLetter"/>
      <w:start w:val="9"/>
    </w:lvl>
  </w:abstractNum>
  <w:abstractNum w:abstractNumId="673">
    <w:nsid w:val="15A79515"/>
    <w:multiLevelType w:val="hybridMultilevel"/>
    <w:lvl w:ilvl="0">
      <w:lvlJc w:val="left"/>
      <w:lvlText w:val="%1."/>
      <w:numFmt w:val="upperLetter"/>
      <w:start w:val="35"/>
    </w:lvl>
  </w:abstractNum>
  <w:abstractNum w:abstractNumId="674">
    <w:nsid w:val="4B67062"/>
    <w:multiLevelType w:val="hybridMultilevel"/>
    <w:lvl w:ilvl="0">
      <w:lvlJc w:val="left"/>
      <w:lvlText w:val="%1."/>
      <w:numFmt w:val="upperLetter"/>
      <w:start w:val="1"/>
    </w:lvl>
  </w:abstractNum>
  <w:abstractNum w:abstractNumId="675">
    <w:nsid w:val="51174123"/>
    <w:multiLevelType w:val="hybridMultilevel"/>
    <w:lvl w:ilvl="0">
      <w:lvlJc w:val="left"/>
      <w:lvlText w:val="%1."/>
      <w:numFmt w:val="upperLetter"/>
      <w:start w:val="2"/>
    </w:lvl>
  </w:abstractNum>
  <w:abstractNum w:abstractNumId="676">
    <w:nsid w:val="240453CA"/>
    <w:multiLevelType w:val="hybridMultilevel"/>
    <w:lvl w:ilvl="0">
      <w:lvlJc w:val="left"/>
      <w:lvlText w:val="%1."/>
      <w:numFmt w:val="upperLetter"/>
      <w:start w:val="3"/>
    </w:lvl>
  </w:abstractNum>
  <w:abstractNum w:abstractNumId="677">
    <w:nsid w:val="2E326D9A"/>
    <w:multiLevelType w:val="hybridMultilevel"/>
    <w:lvl w:ilvl="0">
      <w:lvlJc w:val="left"/>
      <w:lvlText w:val="%1."/>
      <w:numFmt w:val="upperLetter"/>
      <w:start w:val="4"/>
    </w:lvl>
  </w:abstractNum>
  <w:abstractNum w:abstractNumId="678">
    <w:nsid w:val="5EB19210"/>
    <w:multiLevelType w:val="hybridMultilevel"/>
    <w:lvl w:ilvl="0">
      <w:lvlJc w:val="left"/>
      <w:lvlText w:val="%1."/>
      <w:numFmt w:val="upperLetter"/>
      <w:start w:val="5"/>
    </w:lvl>
  </w:abstractNum>
  <w:abstractNum w:abstractNumId="679">
    <w:nsid w:val="44DEFF9B"/>
    <w:multiLevelType w:val="hybridMultilevel"/>
    <w:lvl w:ilvl="0">
      <w:lvlJc w:val="left"/>
      <w:lvlText w:val="%1."/>
      <w:numFmt w:val="upperLetter"/>
      <w:start w:val="6"/>
    </w:lvl>
  </w:abstractNum>
  <w:abstractNum w:abstractNumId="680">
    <w:nsid w:val="1FE7D17D"/>
    <w:multiLevelType w:val="hybridMultilevel"/>
    <w:lvl w:ilvl="0">
      <w:lvlJc w:val="left"/>
      <w:lvlText w:val="%1."/>
      <w:numFmt w:val="upperLetter"/>
      <w:start w:val="7"/>
    </w:lvl>
  </w:abstractNum>
  <w:abstractNum w:abstractNumId="681">
    <w:nsid w:val="52CBAB2E"/>
    <w:multiLevelType w:val="hybridMultilevel"/>
    <w:lvl w:ilvl="0">
      <w:lvlJc w:val="left"/>
      <w:lvlText w:val="%1."/>
      <w:numFmt w:val="upperLetter"/>
      <w:start w:val="8"/>
    </w:lvl>
  </w:abstractNum>
  <w:abstractNum w:abstractNumId="682">
    <w:nsid w:val="1A6760EF"/>
    <w:multiLevelType w:val="hybridMultilevel"/>
    <w:lvl w:ilvl="0">
      <w:lvlJc w:val="left"/>
      <w:lvlText w:val="%1."/>
      <w:numFmt w:val="upperLetter"/>
      <w:start w:val="9"/>
    </w:lvl>
  </w:abstractNum>
  <w:abstractNum w:abstractNumId="683">
    <w:nsid w:val="5E52C405"/>
    <w:multiLevelType w:val="hybridMultilevel"/>
    <w:lvl w:ilvl="0">
      <w:lvlJc w:val="left"/>
      <w:lvlText w:val="%1."/>
      <w:numFmt w:val="upperLetter"/>
      <w:start w:val="10"/>
    </w:lvl>
  </w:abstractNum>
  <w:abstractNum w:abstractNumId="684">
    <w:nsid w:val="48644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24" Type="http://schemas.openxmlformats.org/officeDocument/2006/relationships/image" Target="media/image209.png"/><Relationship Id="rId237" Type="http://schemas.openxmlformats.org/officeDocument/2006/relationships/image" Target="media/image210.png"/><Relationship Id="rId247" Type="http://schemas.openxmlformats.org/officeDocument/2006/relationships/image" Target="media/image211.png"/><Relationship Id="rId257" Type="http://schemas.openxmlformats.org/officeDocument/2006/relationships/image" Target="media/image212.png"/><Relationship Id="rId266"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jpe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jpe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416" Type="http://schemas.openxmlformats.org/officeDocument/2006/relationships/image" Target="media/image359.png"/><Relationship Id="rId417" Type="http://schemas.openxmlformats.org/officeDocument/2006/relationships/image" Target="media/image360.png"/><Relationship Id="rId418" Type="http://schemas.openxmlformats.org/officeDocument/2006/relationships/image" Target="media/image361.png"/><Relationship Id="rId419" Type="http://schemas.openxmlformats.org/officeDocument/2006/relationships/image" Target="media/image362.png"/><Relationship Id="rId420" Type="http://schemas.openxmlformats.org/officeDocument/2006/relationships/image" Target="media/image363.png"/><Relationship Id="rId421" Type="http://schemas.openxmlformats.org/officeDocument/2006/relationships/image" Target="media/image364.png"/><Relationship Id="rId422" Type="http://schemas.openxmlformats.org/officeDocument/2006/relationships/image" Target="media/image365.png"/><Relationship Id="rId423" Type="http://schemas.openxmlformats.org/officeDocument/2006/relationships/image" Target="media/image366.png"/><Relationship Id="rId424" Type="http://schemas.openxmlformats.org/officeDocument/2006/relationships/image" Target="media/image367.png"/><Relationship Id="rId425" Type="http://schemas.openxmlformats.org/officeDocument/2006/relationships/image" Target="media/image368.png"/><Relationship Id="rId426" Type="http://schemas.openxmlformats.org/officeDocument/2006/relationships/image" Target="media/image369.png"/><Relationship Id="rId427" Type="http://schemas.openxmlformats.org/officeDocument/2006/relationships/image" Target="media/image370.png"/><Relationship Id="rId428" Type="http://schemas.openxmlformats.org/officeDocument/2006/relationships/image" Target="media/image371.png"/><Relationship Id="rId429" Type="http://schemas.openxmlformats.org/officeDocument/2006/relationships/image" Target="media/image372.png"/><Relationship Id="rId430" Type="http://schemas.openxmlformats.org/officeDocument/2006/relationships/image" Target="media/image373.png"/><Relationship Id="rId431" Type="http://schemas.openxmlformats.org/officeDocument/2006/relationships/image" Target="media/image374.png"/><Relationship Id="rId432" Type="http://schemas.openxmlformats.org/officeDocument/2006/relationships/image" Target="media/image375.png"/><Relationship Id="rId433" Type="http://schemas.openxmlformats.org/officeDocument/2006/relationships/image" Target="media/image376.png"/><Relationship Id="rId434" Type="http://schemas.openxmlformats.org/officeDocument/2006/relationships/image" Target="media/image377.png"/><Relationship Id="rId435" Type="http://schemas.openxmlformats.org/officeDocument/2006/relationships/image" Target="media/image378.png"/><Relationship Id="rId436" Type="http://schemas.openxmlformats.org/officeDocument/2006/relationships/image" Target="media/image379.png"/><Relationship Id="rId437" Type="http://schemas.openxmlformats.org/officeDocument/2006/relationships/image" Target="media/image380.png"/><Relationship Id="rId438" Type="http://schemas.openxmlformats.org/officeDocument/2006/relationships/image" Target="media/image381.png"/><Relationship Id="rId439" Type="http://schemas.openxmlformats.org/officeDocument/2006/relationships/image" Target="media/image382.png"/><Relationship Id="rId440" Type="http://schemas.openxmlformats.org/officeDocument/2006/relationships/image" Target="media/image383.png"/><Relationship Id="rId441" Type="http://schemas.openxmlformats.org/officeDocument/2006/relationships/image" Target="media/image384.png"/><Relationship Id="rId442" Type="http://schemas.openxmlformats.org/officeDocument/2006/relationships/image" Target="media/image385.png"/><Relationship Id="rId443" Type="http://schemas.openxmlformats.org/officeDocument/2006/relationships/image" Target="media/image386.png"/><Relationship Id="rId444" Type="http://schemas.openxmlformats.org/officeDocument/2006/relationships/image" Target="media/image387.png"/><Relationship Id="rId445" Type="http://schemas.openxmlformats.org/officeDocument/2006/relationships/image" Target="media/image388.png"/><Relationship Id="rId446" Type="http://schemas.openxmlformats.org/officeDocument/2006/relationships/image" Target="media/image389.png"/><Relationship Id="rId447" Type="http://schemas.openxmlformats.org/officeDocument/2006/relationships/image" Target="media/image390.png"/><Relationship Id="rId448" Type="http://schemas.openxmlformats.org/officeDocument/2006/relationships/image" Target="media/image391.png"/><Relationship Id="rId449" Type="http://schemas.openxmlformats.org/officeDocument/2006/relationships/image" Target="media/image392.png"/><Relationship Id="rId450" Type="http://schemas.openxmlformats.org/officeDocument/2006/relationships/image" Target="media/image393.png"/><Relationship Id="rId451" Type="http://schemas.openxmlformats.org/officeDocument/2006/relationships/image" Target="media/image394.png"/><Relationship Id="rId452" Type="http://schemas.openxmlformats.org/officeDocument/2006/relationships/image" Target="media/image395.png"/><Relationship Id="rId453" Type="http://schemas.openxmlformats.org/officeDocument/2006/relationships/image" Target="media/image396.png"/><Relationship Id="rId454" Type="http://schemas.openxmlformats.org/officeDocument/2006/relationships/image" Target="media/image397.png"/><Relationship Id="rId455" Type="http://schemas.openxmlformats.org/officeDocument/2006/relationships/image" Target="media/image398.png"/><Relationship Id="rId456" Type="http://schemas.openxmlformats.org/officeDocument/2006/relationships/image" Target="media/image399.png"/><Relationship Id="rId457" Type="http://schemas.openxmlformats.org/officeDocument/2006/relationships/image" Target="media/image400.png"/><Relationship Id="rId458" Type="http://schemas.openxmlformats.org/officeDocument/2006/relationships/image" Target="media/image401.png"/><Relationship Id="rId459" Type="http://schemas.openxmlformats.org/officeDocument/2006/relationships/image" Target="media/image402.png"/><Relationship Id="rId460" Type="http://schemas.openxmlformats.org/officeDocument/2006/relationships/image" Target="media/image403.png"/><Relationship Id="rId461" Type="http://schemas.openxmlformats.org/officeDocument/2006/relationships/image" Target="media/image404.png"/><Relationship Id="rId462" Type="http://schemas.openxmlformats.org/officeDocument/2006/relationships/image" Target="media/image405.png"/><Relationship Id="rId463" Type="http://schemas.openxmlformats.org/officeDocument/2006/relationships/image" Target="media/image406.png"/><Relationship Id="rId464" Type="http://schemas.openxmlformats.org/officeDocument/2006/relationships/image" Target="media/image407.png"/><Relationship Id="rId465" Type="http://schemas.openxmlformats.org/officeDocument/2006/relationships/image" Target="media/image408.png"/><Relationship Id="rId466" Type="http://schemas.openxmlformats.org/officeDocument/2006/relationships/image" Target="media/image409.png"/><Relationship Id="rId467" Type="http://schemas.openxmlformats.org/officeDocument/2006/relationships/image" Target="media/image410.png"/><Relationship Id="rId468" Type="http://schemas.openxmlformats.org/officeDocument/2006/relationships/image" Target="media/image411.png"/><Relationship Id="rId469" Type="http://schemas.openxmlformats.org/officeDocument/2006/relationships/image" Target="media/image412.png"/><Relationship Id="rId470" Type="http://schemas.openxmlformats.org/officeDocument/2006/relationships/image" Target="media/image413.png"/><Relationship Id="rId471" Type="http://schemas.openxmlformats.org/officeDocument/2006/relationships/image" Target="media/image414.png"/><Relationship Id="rId472" Type="http://schemas.openxmlformats.org/officeDocument/2006/relationships/image" Target="media/image415.png"/><Relationship Id="rId473" Type="http://schemas.openxmlformats.org/officeDocument/2006/relationships/image" Target="media/image416.png"/><Relationship Id="rId474" Type="http://schemas.openxmlformats.org/officeDocument/2006/relationships/image" Target="media/image417.png"/><Relationship Id="rId475" Type="http://schemas.openxmlformats.org/officeDocument/2006/relationships/image" Target="media/image418.png"/><Relationship Id="rId476" Type="http://schemas.openxmlformats.org/officeDocument/2006/relationships/image" Target="media/image419.png"/><Relationship Id="rId477" Type="http://schemas.openxmlformats.org/officeDocument/2006/relationships/image" Target="media/image420.png"/><Relationship Id="rId478" Type="http://schemas.openxmlformats.org/officeDocument/2006/relationships/image" Target="media/image421.png"/><Relationship Id="rId479" Type="http://schemas.openxmlformats.org/officeDocument/2006/relationships/image" Target="media/image422.png"/><Relationship Id="rId480" Type="http://schemas.openxmlformats.org/officeDocument/2006/relationships/image" Target="media/image423.png"/><Relationship Id="rId481" Type="http://schemas.openxmlformats.org/officeDocument/2006/relationships/image" Target="media/image424.png"/><Relationship Id="rId482" Type="http://schemas.openxmlformats.org/officeDocument/2006/relationships/image" Target="media/image425.png"/><Relationship Id="rId483" Type="http://schemas.openxmlformats.org/officeDocument/2006/relationships/image" Target="media/image426.png"/><Relationship Id="rId484" Type="http://schemas.openxmlformats.org/officeDocument/2006/relationships/image" Target="media/image427.png"/><Relationship Id="rId485" Type="http://schemas.openxmlformats.org/officeDocument/2006/relationships/image" Target="media/image428.png"/><Relationship Id="rId486" Type="http://schemas.openxmlformats.org/officeDocument/2006/relationships/image" Target="media/image429.png"/><Relationship Id="rId487" Type="http://schemas.openxmlformats.org/officeDocument/2006/relationships/image" Target="media/image430.png"/><Relationship Id="rId488" Type="http://schemas.openxmlformats.org/officeDocument/2006/relationships/image" Target="media/image431.png"/><Relationship Id="rId489" Type="http://schemas.openxmlformats.org/officeDocument/2006/relationships/image" Target="media/image432.png"/><Relationship Id="rId490" Type="http://schemas.openxmlformats.org/officeDocument/2006/relationships/image" Target="media/image433.png"/><Relationship Id="rId491" Type="http://schemas.openxmlformats.org/officeDocument/2006/relationships/image" Target="media/image434.png"/><Relationship Id="rId492" Type="http://schemas.openxmlformats.org/officeDocument/2006/relationships/image" Target="media/image435.png"/><Relationship Id="rId493" Type="http://schemas.openxmlformats.org/officeDocument/2006/relationships/image" Target="media/image436.png"/><Relationship Id="rId494" Type="http://schemas.openxmlformats.org/officeDocument/2006/relationships/image" Target="media/image437.png"/><Relationship Id="rId495" Type="http://schemas.openxmlformats.org/officeDocument/2006/relationships/image" Target="media/image438.png"/><Relationship Id="rId496" Type="http://schemas.openxmlformats.org/officeDocument/2006/relationships/image" Target="media/image439.png"/><Relationship Id="rId497" Type="http://schemas.openxmlformats.org/officeDocument/2006/relationships/image" Target="media/image440.png"/><Relationship Id="rId498" Type="http://schemas.openxmlformats.org/officeDocument/2006/relationships/image" Target="media/image441.png"/><Relationship Id="rId499" Type="http://schemas.openxmlformats.org/officeDocument/2006/relationships/image" Target="media/image442.png"/><Relationship Id="rId500"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3" Type="http://schemas.openxmlformats.org/officeDocument/2006/relationships/image" Target="media/image446.png"/><Relationship Id="rId504" Type="http://schemas.openxmlformats.org/officeDocument/2006/relationships/image" Target="media/image447.png"/><Relationship Id="rId505" Type="http://schemas.openxmlformats.org/officeDocument/2006/relationships/image" Target="media/image448.png"/><Relationship Id="rId506" Type="http://schemas.openxmlformats.org/officeDocument/2006/relationships/image" Target="media/image449.png"/><Relationship Id="rId507" Type="http://schemas.openxmlformats.org/officeDocument/2006/relationships/image" Target="media/image450.png"/><Relationship Id="rId508" Type="http://schemas.openxmlformats.org/officeDocument/2006/relationships/image" Target="media/image451.png"/><Relationship Id="rId509" Type="http://schemas.openxmlformats.org/officeDocument/2006/relationships/image" Target="media/image452.png"/><Relationship Id="rId510" Type="http://schemas.openxmlformats.org/officeDocument/2006/relationships/image" Target="media/image453.png"/><Relationship Id="rId511" Type="http://schemas.openxmlformats.org/officeDocument/2006/relationships/image" Target="media/image454.png"/><Relationship Id="rId512" Type="http://schemas.openxmlformats.org/officeDocument/2006/relationships/image" Target="media/image455.png"/><Relationship Id="rId513" Type="http://schemas.openxmlformats.org/officeDocument/2006/relationships/image" Target="media/image456.png"/><Relationship Id="rId514" Type="http://schemas.openxmlformats.org/officeDocument/2006/relationships/image" Target="media/image457.png"/><Relationship Id="rId515" Type="http://schemas.openxmlformats.org/officeDocument/2006/relationships/image" Target="media/image458.png"/><Relationship Id="rId516" Type="http://schemas.openxmlformats.org/officeDocument/2006/relationships/image" Target="media/image459.png"/><Relationship Id="rId517" Type="http://schemas.openxmlformats.org/officeDocument/2006/relationships/image" Target="media/image460.png"/><Relationship Id="rId518" Type="http://schemas.openxmlformats.org/officeDocument/2006/relationships/image" Target="media/image461.png"/><Relationship Id="rId519" Type="http://schemas.openxmlformats.org/officeDocument/2006/relationships/image" Target="media/image462.png"/><Relationship Id="rId520" Type="http://schemas.openxmlformats.org/officeDocument/2006/relationships/image" Target="media/image463.png"/><Relationship Id="rId521" Type="http://schemas.openxmlformats.org/officeDocument/2006/relationships/image" Target="media/image464.png"/><Relationship Id="rId522" Type="http://schemas.openxmlformats.org/officeDocument/2006/relationships/image" Target="media/image465.png"/><Relationship Id="rId523" Type="http://schemas.openxmlformats.org/officeDocument/2006/relationships/image" Target="media/image466.png"/><Relationship Id="rId524" Type="http://schemas.openxmlformats.org/officeDocument/2006/relationships/image" Target="media/image467.png"/><Relationship Id="rId525" Type="http://schemas.openxmlformats.org/officeDocument/2006/relationships/image" Target="media/image468.png"/><Relationship Id="rId526" Type="http://schemas.openxmlformats.org/officeDocument/2006/relationships/image" Target="media/image469.png"/><Relationship Id="rId527" Type="http://schemas.openxmlformats.org/officeDocument/2006/relationships/image" Target="media/image470.png"/><Relationship Id="rId528" Type="http://schemas.openxmlformats.org/officeDocument/2006/relationships/image" Target="media/image471.png"/><Relationship Id="rId529" Type="http://schemas.openxmlformats.org/officeDocument/2006/relationships/image" Target="media/image472.png"/><Relationship Id="rId530" Type="http://schemas.openxmlformats.org/officeDocument/2006/relationships/image" Target="media/image473.png"/><Relationship Id="rId531" Type="http://schemas.openxmlformats.org/officeDocument/2006/relationships/image" Target="media/image474.png"/><Relationship Id="rId532" Type="http://schemas.openxmlformats.org/officeDocument/2006/relationships/image" Target="media/image475.png"/><Relationship Id="rId533" Type="http://schemas.openxmlformats.org/officeDocument/2006/relationships/image" Target="media/image476.png"/><Relationship Id="rId534" Type="http://schemas.openxmlformats.org/officeDocument/2006/relationships/image" Target="media/image477.png"/><Relationship Id="rId535" Type="http://schemas.openxmlformats.org/officeDocument/2006/relationships/image" Target="media/image478.png"/><Relationship Id="rId536" Type="http://schemas.openxmlformats.org/officeDocument/2006/relationships/image" Target="media/image479.png"/><Relationship Id="rId537" Type="http://schemas.openxmlformats.org/officeDocument/2006/relationships/image" Target="media/image480.png"/><Relationship Id="rId538" Type="http://schemas.openxmlformats.org/officeDocument/2006/relationships/image" Target="media/image481.png"/><Relationship Id="rId539" Type="http://schemas.openxmlformats.org/officeDocument/2006/relationships/image" Target="media/image482.png"/><Relationship Id="rId540" Type="http://schemas.openxmlformats.org/officeDocument/2006/relationships/image" Target="media/image483.png"/><Relationship Id="rId541" Type="http://schemas.openxmlformats.org/officeDocument/2006/relationships/image" Target="media/image484.png"/><Relationship Id="rId542" Type="http://schemas.openxmlformats.org/officeDocument/2006/relationships/image" Target="media/image485.png"/><Relationship Id="rId543" Type="http://schemas.openxmlformats.org/officeDocument/2006/relationships/image" Target="media/image486.png"/><Relationship Id="rId544" Type="http://schemas.openxmlformats.org/officeDocument/2006/relationships/image" Target="media/image487.png"/><Relationship Id="rId545" Type="http://schemas.openxmlformats.org/officeDocument/2006/relationships/image" Target="media/image488.png"/><Relationship Id="rId546" Type="http://schemas.openxmlformats.org/officeDocument/2006/relationships/image" Target="media/image489.png"/><Relationship Id="rId547" Type="http://schemas.openxmlformats.org/officeDocument/2006/relationships/image" Target="media/image490.png"/><Relationship Id="rId548" Type="http://schemas.openxmlformats.org/officeDocument/2006/relationships/image" Target="media/image491.png"/><Relationship Id="rId549" Type="http://schemas.openxmlformats.org/officeDocument/2006/relationships/image" Target="media/image492.png"/><Relationship Id="rId550" Type="http://schemas.openxmlformats.org/officeDocument/2006/relationships/image" Target="media/image493.png"/><Relationship Id="rId551" Type="http://schemas.openxmlformats.org/officeDocument/2006/relationships/image" Target="media/image494.jpeg"/><Relationship Id="rId552" Type="http://schemas.openxmlformats.org/officeDocument/2006/relationships/image" Target="media/image495.jpeg"/><Relationship Id="rId553" Type="http://schemas.openxmlformats.org/officeDocument/2006/relationships/image" Target="media/image496.png"/><Relationship Id="rId554" Type="http://schemas.openxmlformats.org/officeDocument/2006/relationships/image" Target="media/image497.png"/><Relationship Id="rId555" Type="http://schemas.openxmlformats.org/officeDocument/2006/relationships/image" Target="media/image498.png"/><Relationship Id="rId556" Type="http://schemas.openxmlformats.org/officeDocument/2006/relationships/image" Target="media/image499.png"/><Relationship Id="rId216" Type="http://schemas.openxmlformats.org/officeDocument/2006/relationships/hyperlink" Target="http://www.sec.gov/Archives/edgar/data/1381640/000119312517119393/d259833dex11.htm" TargetMode="External"/><Relationship Id="rId217" Type="http://schemas.openxmlformats.org/officeDocument/2006/relationships/hyperlink" Target="http://www.sec.gov/Archives/edgar/data/1381640/000095012711000296/a11-132_ex4.htm" TargetMode="External"/><Relationship Id="rId218" Type="http://schemas.openxmlformats.org/officeDocument/2006/relationships/hyperlink" Target="http://www.sec.gov/Archives/edgar/data/1381640/000119312506245453/dex42.htm" TargetMode="External"/><Relationship Id="rId219" Type="http://schemas.openxmlformats.org/officeDocument/2006/relationships/hyperlink" Target="http://www.sec.gov/Archives/edgar/data/1381640/000119312507220974/dex411.htm" TargetMode="External"/><Relationship Id="rId220" Type="http://schemas.openxmlformats.org/officeDocument/2006/relationships/hyperlink" Target="http://www.sec.gov/Archives/edgar/data/1381640/000119312506250469/dex410.htm" TargetMode="External"/><Relationship Id="rId221" Type="http://schemas.openxmlformats.org/officeDocument/2006/relationships/hyperlink" Target="http://www.sec.gov/Archives/edgar/data/1381640/000119312517119393/d259833dex219.htm" TargetMode="External"/><Relationship Id="rId222" Type="http://schemas.openxmlformats.org/officeDocument/2006/relationships/hyperlink" Target="http://www.sec.gov/Archives/edgar/data/1381640/000119312518115018/d403262dex224.htm" TargetMode="External"/><Relationship Id="rId223" Type="http://schemas.openxmlformats.org/officeDocument/2006/relationships/hyperlink" Target="http://www.sec.gov/Archives/edgar/data/1381640/000119312513159811/d480016dex216.htm" TargetMode="External"/><Relationship Id="rId225" Type="http://schemas.openxmlformats.org/officeDocument/2006/relationships/hyperlink" Target="http://www.sec.gov/Archives/edgar/data/1381640/000119312513159811/d480016dex218.htm" TargetMode="External"/><Relationship Id="rId226" Type="http://schemas.openxmlformats.org/officeDocument/2006/relationships/hyperlink" Target="http://www.sec.gov/Archives/edgar/data/1381640/000119312518115018/d403262dex225.htm" TargetMode="External"/><Relationship Id="rId227" Type="http://schemas.openxmlformats.org/officeDocument/2006/relationships/hyperlink" Target="http://www.sec.gov/Archives/edgar/data/1381640/000119312520091982/d837105dex228.htm" TargetMode="External"/><Relationship Id="rId228" Type="http://schemas.openxmlformats.org/officeDocument/2006/relationships/hyperlink" Target="http://www.sec.gov/Archives/edgar/data/1381640/000119312520091982/d837105dex229.htm" TargetMode="External"/><Relationship Id="rId229" Type="http://schemas.openxmlformats.org/officeDocument/2006/relationships/hyperlink" Target="http://www.sec.gov/Archives/edgar/data/1381640/000119312520091982/d837105dex230.htm" TargetMode="External"/><Relationship Id="rId230" Type="http://schemas.openxmlformats.org/officeDocument/2006/relationships/hyperlink" Target="http://www.sec.gov/Archives/edgar/data/0001381640/000119312521101281/d51718dex232.htm" TargetMode="External"/><Relationship Id="rId231" Type="http://schemas.openxmlformats.org/officeDocument/2006/relationships/hyperlink" Target="http://www.sec.gov/Archives/edgar/data/0001381640/000119312521101281/d51718dex233.htm" TargetMode="External"/><Relationship Id="rId232" Type="http://schemas.openxmlformats.org/officeDocument/2006/relationships/hyperlink" Target="http://www.sec.gov/Archives/edgar/data/0001381640/000119312521101281/d51718dex234.htm" TargetMode="External"/><Relationship Id="rId233" Type="http://schemas.openxmlformats.org/officeDocument/2006/relationships/hyperlink" Target="http://www.sec.gov/Archives/edgar/data/0001381640/000119312521101281/d51718dex235.htm" TargetMode="External"/><Relationship Id="rId234" Type="http://schemas.openxmlformats.org/officeDocument/2006/relationships/hyperlink" Target="http://www.sec.gov/Archives/edgar/data/0001381640/000119312521101281/d51718dex236.htm" TargetMode="External"/><Relationship Id="rId235" Type="http://schemas.openxmlformats.org/officeDocument/2006/relationships/hyperlink" Target="http://www.sec.gov/Archives/edgar/data/0001381640/000119312521101281/d51718dex237.htm" TargetMode="External"/><Relationship Id="rId236" Type="http://schemas.openxmlformats.org/officeDocument/2006/relationships/hyperlink" Target="http://www.sec.gov/Archives/edgar/data/1381640/000119312523086859/d396630dex220.htm" TargetMode="External"/><Relationship Id="rId238" Type="http://schemas.openxmlformats.org/officeDocument/2006/relationships/hyperlink" Target="http://www.sec.gov/Archives/edgar/data/1381640/000119312522090588/d202624dex224.htm" TargetMode="External"/><Relationship Id="rId239" Type="http://schemas.openxmlformats.org/officeDocument/2006/relationships/hyperlink" Target="http://www.sec.gov/Archives/edgar/data/1381640/000119312522090588/d202624dex225.htm" TargetMode="External"/><Relationship Id="rId240" Type="http://schemas.openxmlformats.org/officeDocument/2006/relationships/hyperlink" Target="http://www.sec.gov/Archives/edgar/data/1381640/000119312522090588/d202624dex226.htm" TargetMode="External"/><Relationship Id="rId241" Type="http://schemas.openxmlformats.org/officeDocument/2006/relationships/hyperlink" Target="http://www.sec.gov/Archives/edgar/data/1381640/000119312506250469/dex101.htm" TargetMode="External"/><Relationship Id="rId242" Type="http://schemas.openxmlformats.org/officeDocument/2006/relationships/hyperlink" Target="http://www.sec.gov/Archives/edgar/data/1381640/000119312506250469/dex102.htm" TargetMode="External"/><Relationship Id="rId243" Type="http://schemas.openxmlformats.org/officeDocument/2006/relationships/hyperlink" Target="http://www.sec.gov/Archives/edgar/data/1381640/000119312523086859/d396630dex43.htm" TargetMode="External"/><Relationship Id="rId244" Type="http://schemas.openxmlformats.org/officeDocument/2006/relationships/hyperlink" Target="http://www.sec.gov/Archives/edgar/data/1381640/000119312506245453/dex1013.htm" TargetMode="External"/><Relationship Id="rId245" Type="http://schemas.openxmlformats.org/officeDocument/2006/relationships/hyperlink" Target="http://www.sec.gov/Archives/edgar/data/1381640/000095012311031782/c13917exv4w30.htm" TargetMode="External"/><Relationship Id="rId246" Type="http://schemas.openxmlformats.org/officeDocument/2006/relationships/hyperlink" Target="http://www.sec.gov/Archives/edgar/data/1381640/000119312513159811/d480016dex436.htm" TargetMode="External"/><Relationship Id="rId248" Type="http://schemas.openxmlformats.org/officeDocument/2006/relationships/hyperlink" Target="http://www.sec.gov/Archives/edgar/data/1381640/000119312513159811/d480016dex437.htm" TargetMode="External"/><Relationship Id="rId249" Type="http://schemas.openxmlformats.org/officeDocument/2006/relationships/hyperlink" Target="http://www.sec.gov/Archives/edgar/data/1381640/000119312513159811/d480016dex438.htm" TargetMode="External"/><Relationship Id="rId250" Type="http://schemas.openxmlformats.org/officeDocument/2006/relationships/hyperlink" Target="http://www.sec.gov/Archives/edgar/data/1381640/000119312513159811/d480016dex442.htm" TargetMode="External"/><Relationship Id="rId251" Type="http://schemas.openxmlformats.org/officeDocument/2006/relationships/hyperlink" Target="http://www.sec.gov/Archives/edgar/data/1381640/000119312517119393/d259833dex425.htm" TargetMode="External"/><Relationship Id="rId252" Type="http://schemas.openxmlformats.org/officeDocument/2006/relationships/hyperlink" Target="http://www.sec.gov/Archives/edgar/data/1381640/000119312516537953/d215050dex445.htm" TargetMode="External"/><Relationship Id="rId253" Type="http://schemas.openxmlformats.org/officeDocument/2006/relationships/hyperlink" Target="http://www.sec.gov/Archives/edgar/data/1381640/000119312516537953/d215050dex446.htm" TargetMode="External"/><Relationship Id="rId254" Type="http://schemas.openxmlformats.org/officeDocument/2006/relationships/hyperlink" Target="http://www.sec.gov/Archives/edgar/data/1381640/000119312516537953/d215050dex447.htm" TargetMode="External"/><Relationship Id="rId255" Type="http://schemas.openxmlformats.org/officeDocument/2006/relationships/hyperlink" Target="http://www.sec.gov/Archives/edgar/data/1381640/000119312516793135/d298555dex997.htm" TargetMode="External"/><Relationship Id="rId256" Type="http://schemas.openxmlformats.org/officeDocument/2006/relationships/hyperlink" Target="http://www.sec.gov/Archives/edgar/data/1381640/000119312516793135/d298555dex9910.htm" TargetMode="External"/><Relationship Id="rId258" Type="http://schemas.openxmlformats.org/officeDocument/2006/relationships/hyperlink" Target="http://www.sec.gov/Archives/edgar/data/1381640/000119312518115018/d403262dex435.htm" TargetMode="External"/><Relationship Id="rId259" Type="http://schemas.openxmlformats.org/officeDocument/2006/relationships/hyperlink" Target="http://www.sec.gov/Archives/edgar/data/1381640/000119312518115018/d403262dex436.htm" TargetMode="External"/><Relationship Id="rId260" Type="http://schemas.openxmlformats.org/officeDocument/2006/relationships/hyperlink" Target="http://www.sec.gov/Archives/edgar/data/1381640/000119312519091845/d493392dex425.htm" TargetMode="External"/><Relationship Id="rId261" Type="http://schemas.openxmlformats.org/officeDocument/2006/relationships/hyperlink" Target="http://www.sec.gov/Archives/edgar/data/1381640/000119312520091982/d837105dex427.htm" TargetMode="External"/><Relationship Id="rId262" Type="http://schemas.openxmlformats.org/officeDocument/2006/relationships/hyperlink" Target="http://www.sec.gov/Archives/edgar/data/1381640/000119312520091982/d837105dex429.htm" TargetMode="External"/><Relationship Id="rId263" Type="http://schemas.openxmlformats.org/officeDocument/2006/relationships/hyperlink" Target="http://www.sec.gov/Archives/edgar/data/1381640/000119312520091982/d837105dex430.htm" TargetMode="External"/><Relationship Id="rId264" Type="http://schemas.openxmlformats.org/officeDocument/2006/relationships/hyperlink" Target="http://www.sec.gov/Archives/edgar/data/1381640/000119312520091982/d837105dex431.htm" TargetMode="External"/><Relationship Id="rId265" Type="http://schemas.openxmlformats.org/officeDocument/2006/relationships/hyperlink" Target="http://www.sec.gov/Archives/edgar/data/1381640/000119312520091982/d837105dex433.htm" TargetMode="External"/><Relationship Id="rId267" Type="http://schemas.openxmlformats.org/officeDocument/2006/relationships/hyperlink" Target="http://www.sec.gov/Archives/edgar/data/0001381640/000119312521101281/d51718dex435.htm" TargetMode="External"/><Relationship Id="rId268" Type="http://schemas.openxmlformats.org/officeDocument/2006/relationships/hyperlink" Target="http://www.sec.gov/Archives/edgar/data/0001381640/000119312521101281/d51718dex436.htm" TargetMode="External"/><Relationship Id="rId269" Type="http://schemas.openxmlformats.org/officeDocument/2006/relationships/hyperlink" Target="http://www.sec.gov/Archives/edgar/data/1381640/000119312521352054/d237604dex45.htm" TargetMode="External"/><Relationship Id="rId270" Type="http://schemas.openxmlformats.org/officeDocument/2006/relationships/hyperlink" Target="http://www.sec.gov/Archives/edgar/data/1381640/000119312522307814/d408504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2024-03-22T06:51:15Z</dcterms:created>
  <dcterms:modified xsi:type="dcterms:W3CDTF">2024-03-22T06:51:15Z</dcterms:modified>
</cp:coreProperties>
</file>