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255270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PURSUANT TO RULE 13a–16 OR 15d–16 OF</w:t>
      </w:r>
    </w:p>
    <w:p>
      <w:pPr>
        <w:ind w:left="32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For the month of April 2020</w:t>
      </w:r>
    </w:p>
    <w:p>
      <w:pPr>
        <w:spacing w:after="0" w:line="225"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840"/>
        <w:spacing w:after="0"/>
        <w:rPr>
          <w:sz w:val="20"/>
          <w:szCs w:val="20"/>
          <w:color w:val="auto"/>
        </w:rPr>
      </w:pPr>
      <w:r>
        <w:rPr>
          <w:rFonts w:ascii="Arial" w:cs="Arial" w:eastAsia="Arial" w:hAnsi="Arial"/>
          <w:sz w:val="40"/>
          <w:szCs w:val="40"/>
          <w:b w:val="1"/>
          <w:bCs w:val="1"/>
          <w:color w:val="auto"/>
        </w:rPr>
        <w:t>MELCO RESORTS &amp; ENTERTAINMENT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243840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36</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The Centrium</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60 Wyndham Street</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Central</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Hong Kong</w:t>
      </w:r>
    </w:p>
    <w:p>
      <w:pPr>
        <w:spacing w:after="0" w:line="2"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by furnishing the information contained in this Form, the registrant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82– </w:t>
      </w:r>
      <w:r>
        <w:rPr>
          <w:rFonts w:ascii="Arial" w:cs="Arial" w:eastAsia="Arial" w:hAnsi="Arial"/>
          <w:sz w:val="18"/>
          <w:szCs w:val="18"/>
          <w:u w:val="single" w:color="auto"/>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660"/>
          </w:cols>
          <w:pgMar w:left="440" w:top="368" w:right="79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MELCO RESORTS &amp; ENTERTAINMENT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6–K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w:t>
              </w:r>
            </w:hyperlink>
          </w:p>
        </w:tc>
        <w:tc>
          <w:tcPr>
            <w:tcW w:w="51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Exhibit 99.1</w:t>
        </w:r>
      </w:hyperlink>
    </w:p>
    <w:p>
      <w:pPr>
        <w:sectPr>
          <w:pgSz w:w="11900" w:h="16838" w:orient="portrait"/>
          <w:cols w:equalWidth="0" w:num="1">
            <w:col w:w="10960"/>
          </w:cols>
          <w:pgMar w:left="440" w:top="270"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jc w:val="right"/>
        <w:ind w:right="180"/>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Stephanie Cheung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Stephanie Cheung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Legal Officer and Company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0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60" w:type="dxa"/>
            <w:vAlign w:val="bottom"/>
          </w:tcPr>
          <w:p>
            <w:pPr>
              <w:spacing w:after="0"/>
              <w:rPr>
                <w:sz w:val="14"/>
                <w:szCs w:val="14"/>
                <w:color w:val="auto"/>
              </w:rPr>
            </w:pPr>
          </w:p>
        </w:tc>
      </w:tr>
      <w:tr>
        <w:trPr>
          <w:trHeight w:val="318"/>
        </w:trPr>
        <w:tc>
          <w:tcPr>
            <w:tcW w:w="132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980" w:type="dxa"/>
            <w:vAlign w:val="bottom"/>
            <w:gridSpan w:val="2"/>
          </w:tcPr>
          <w:p>
            <w:pPr>
              <w:spacing w:after="0"/>
              <w:rPr>
                <w:sz w:val="20"/>
                <w:szCs w:val="20"/>
                <w:color w:val="auto"/>
              </w:rPr>
            </w:pPr>
            <w:r>
              <w:rPr>
                <w:rFonts w:ascii="Arial" w:cs="Arial" w:eastAsia="Arial" w:hAnsi="Arial"/>
                <w:sz w:val="18"/>
                <w:szCs w:val="18"/>
                <w:color w:val="auto"/>
                <w:w w:val="81"/>
              </w:rPr>
              <w:t>Press Release</w:t>
            </w:r>
          </w:p>
        </w:tc>
      </w:tr>
    </w:tbl>
    <w:p>
      <w:pPr>
        <w:sectPr>
          <w:pgSz w:w="11900" w:h="16838" w:orient="portrait"/>
          <w:cols w:equalWidth="0" w:num="1">
            <w:col w:w="10019"/>
          </w:cols>
          <w:pgMar w:left="4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1450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Sells Entire Interest in Crown Resorts Limited</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Macau, Wednesday, April 29, 2020 </w:t>
      </w:r>
      <w:r>
        <w:rPr>
          <w:rFonts w:ascii="Arial" w:cs="Arial" w:eastAsia="Arial" w:hAnsi="Arial"/>
          <w:sz w:val="16"/>
          <w:szCs w:val="16"/>
          <w:color w:val="auto"/>
        </w:rPr>
        <w:t>– Melco Resorts &amp; Entertainment Limited (Nasdaq: MLCO) (“Melco” or the “Company”), a developer, owner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operator of casino gaming and entertainment casino resort facilities in Asia and Europe, today announces that its subsidiary, MCO (KittyHawk) Investments Limited (“MCO KittyHawk”), has sold 67,675,000 ordinary shares of Crown Resorts Limited (“Crown”) for a sale price of AUD8.15 per Crown share ultimately to Midnight Acacia Holdings Pte. Limited, a Blackstone Real Estate Asia entity owned by certain funds managed and/or advised by The Blackstone Group Inc. and its affiliates. As a result of the transaction, MCO KittyHawk has ceased to be a shareholder of Crown.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press release contains forward-looking statements. These statements are made under the “safe harbor” provisions of the U.S. Private Securities Litigation Reform Act of 1995. Melco Resorts &amp; Entertainment Limited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growth of the gaming market and visitations in Macau, the Philippines and the Republic of Cyprus, (ii) capital and credit market volatility, (iii) local and global economic conditions, (iv) our anticipated growth strategies, (v) gaming authority and other governmental approvals and regulations, and (vi)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Melco Resorts &amp; Entertainment Limited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with its American depositary shares listed on the NASDAQ Global Select Market (NASDAQ: MLCO), is a developer, owner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operator of casino gaming and entertainment casino resort facilities in Asia and Europe. The Company currently operates Altira Macau</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www.altiramacau.com</w:t>
      </w:r>
      <w:r>
        <w:rPr>
          <w:rFonts w:ascii="Arial" w:cs="Arial" w:eastAsia="Arial" w:hAnsi="Arial"/>
          <w:sz w:val="16"/>
          <w:szCs w:val="16"/>
          <w:color w:val="auto"/>
        </w:rPr>
        <w:t>), a casino hotel located at Taipa, Macau and City of Dreams (</w:t>
      </w:r>
      <w:r>
        <w:rPr>
          <w:rFonts w:ascii="Arial" w:cs="Arial" w:eastAsia="Arial" w:hAnsi="Arial"/>
          <w:sz w:val="16"/>
          <w:szCs w:val="16"/>
          <w:u w:val="single" w:color="auto"/>
          <w:color w:val="auto"/>
        </w:rPr>
        <w:t>www.cityofdreamsmacau.com</w:t>
      </w:r>
      <w:r>
        <w:rPr>
          <w:rFonts w:ascii="Arial" w:cs="Arial" w:eastAsia="Arial" w:hAnsi="Arial"/>
          <w:sz w:val="16"/>
          <w:szCs w:val="16"/>
          <w:color w:val="auto"/>
        </w:rPr>
        <w:t>), an integrated urban casino resort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located in Cotai, Macau. Its business also includes the Mocha Clubs (</w:t>
      </w:r>
      <w:r>
        <w:rPr>
          <w:rFonts w:ascii="Arial" w:cs="Arial" w:eastAsia="Arial" w:hAnsi="Arial"/>
          <w:sz w:val="16"/>
          <w:szCs w:val="16"/>
          <w:u w:val="single" w:color="auto"/>
          <w:color w:val="auto"/>
        </w:rPr>
        <w:t>www.mochaclubs.com</w:t>
      </w:r>
      <w:r>
        <w:rPr>
          <w:rFonts w:ascii="Arial" w:cs="Arial" w:eastAsia="Arial" w:hAnsi="Arial"/>
          <w:sz w:val="16"/>
          <w:szCs w:val="16"/>
          <w:color w:val="auto"/>
        </w:rPr>
        <w:t>), which comprise the largest non-casino based operations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electronic gaming machines in Macau. The Company also majority owns and operates Studio City (</w:t>
      </w:r>
      <w:r>
        <w:rPr>
          <w:rFonts w:ascii="Arial" w:cs="Arial" w:eastAsia="Arial" w:hAnsi="Arial"/>
          <w:sz w:val="17"/>
          <w:szCs w:val="17"/>
          <w:u w:val="single" w:color="auto"/>
          <w:color w:val="auto"/>
        </w:rPr>
        <w:t>www.studiocity-macau.com</w:t>
      </w:r>
      <w:r>
        <w:rPr>
          <w:rFonts w:ascii="Arial" w:cs="Arial" w:eastAsia="Arial" w:hAnsi="Arial"/>
          <w:sz w:val="17"/>
          <w:szCs w:val="17"/>
          <w:color w:val="auto"/>
        </w:rPr>
        <w:t>), a cinematically-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themed integrated entertainment, retail and gaming resort in Cotai, Macau. In the Philippines, a Philippine subsidiary of the Company currently operates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manages City of Dreams Manila (</w:t>
      </w:r>
      <w:r>
        <w:rPr>
          <w:rFonts w:ascii="Arial" w:cs="Arial" w:eastAsia="Arial" w:hAnsi="Arial"/>
          <w:sz w:val="16"/>
          <w:szCs w:val="16"/>
          <w:u w:val="single" w:color="auto"/>
          <w:color w:val="auto"/>
        </w:rPr>
        <w:t>www.cityofdreamsmanila.com</w:t>
      </w:r>
      <w:r>
        <w:rPr>
          <w:rFonts w:ascii="Arial" w:cs="Arial" w:eastAsia="Arial" w:hAnsi="Arial"/>
          <w:sz w:val="16"/>
          <w:szCs w:val="16"/>
          <w:color w:val="auto"/>
        </w:rPr>
        <w:t>), a casino, hotel, retail and entertainment integrated resort in the Entertainment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City complex in Manila. In Europe, the Company is currently developing City of Dreams Mediterranean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172275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22755" cy="3257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 w:name="page6"/>
    <w:bookmarkEnd w:id="5"/>
    <w:p>
      <w:pPr>
        <w:jc w:val="both"/>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1450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51155"/>
                    </a:xfrm>
                    <a:prstGeom prst="rect">
                      <a:avLst/>
                    </a:prstGeom>
                    <a:noFill/>
                  </pic:spPr>
                </pic:pic>
              </a:graphicData>
            </a:graphic>
          </wp:anchor>
        </w:drawing>
        <w:t>(</w:t>
      </w:r>
      <w:r>
        <w:rPr>
          <w:rFonts w:ascii="Arial" w:cs="Arial" w:eastAsia="Arial" w:hAnsi="Arial"/>
          <w:sz w:val="17"/>
          <w:szCs w:val="17"/>
          <w:u w:val="single" w:color="auto"/>
          <w:color w:val="auto"/>
        </w:rPr>
        <w:t>www.cityofdreamsmed.com.cy</w:t>
      </w:r>
      <w:r>
        <w:rPr>
          <w:rFonts w:ascii="Arial" w:cs="Arial" w:eastAsia="Arial" w:hAnsi="Arial"/>
          <w:sz w:val="17"/>
          <w:szCs w:val="17"/>
          <w:color w:val="auto"/>
        </w:rPr>
        <w:t xml:space="preserve">) in the Republic of Cyprus, which is expected to be the largest and premier integrated destination resort in Europe. The Company is currently operating a temporary casino, the first casino in the Republic of Cyprus, and four satellite casinos (“Cyprus Casinos”). Upon the opening of City of Dreams Mediterranean, the Company will also continue to operate the four satellite casinos while operation of the temporary casino will cease. For more information about the Company, please visit </w:t>
      </w:r>
      <w:r>
        <w:rPr>
          <w:rFonts w:ascii="Arial" w:cs="Arial" w:eastAsia="Arial" w:hAnsi="Arial"/>
          <w:sz w:val="17"/>
          <w:szCs w:val="17"/>
          <w:u w:val="single" w:color="auto"/>
          <w:color w:val="auto"/>
        </w:rPr>
        <w:t>www.melco-resorts.com</w:t>
      </w:r>
      <w:r>
        <w:rPr>
          <w:rFonts w:ascii="Arial" w:cs="Arial" w:eastAsia="Arial" w:hAnsi="Arial"/>
          <w:sz w:val="17"/>
          <w:szCs w:val="17"/>
          <w:color w:val="auto"/>
        </w:rPr>
        <w:t>.</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is strongly supported by its single largest shareholder, Melco International Development Limited, a company listed on the Main Board of The Stock Exchange of Hong Kong Limited and is substantially owned and led by Mr. Lawrence Ho, who is the Chairman, Executive Director and Chief Executive Officer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investment community, please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Richard Huang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+852 2598 3619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richardlshuang@melco-resorts.com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media enquiries, please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Chimmy Leung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+852 3151 3765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chimmyleung@melco-resorts.com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172275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22755" cy="325755"/>
                    </a:xfrm>
                    <a:prstGeom prst="rect">
                      <a:avLst/>
                    </a:prstGeom>
                    <a:noFill/>
                  </pic:spPr>
                </pic:pic>
              </a:graphicData>
            </a:graphic>
          </wp:anchor>
        </w:drawing>
      </w:r>
    </w:p>
    <w:sectPr>
      <w:pgSz w:w="11900" w:h="16838" w:orient="portrait"/>
      <w:cols w:equalWidth="0" w:num="1">
        <w:col w:w="10940"/>
      </w:cols>
      <w:pgMar w:left="440" w:top="10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2020-04-30T17:45:15Z</dcterms:created>
  <dcterms:modified xsi:type="dcterms:W3CDTF">2020-04-30T17:45:15Z</dcterms:modified>
</cp:coreProperties>
</file>