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135255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ind w:left="4140"/>
        <w:spacing w:after="0"/>
        <w:rPr>
          <w:sz w:val="20"/>
          <w:szCs w:val="20"/>
          <w:color w:val="auto"/>
        </w:rPr>
      </w:pPr>
      <w:r>
        <w:rPr>
          <w:rFonts w:ascii="Arial" w:cs="Arial" w:eastAsia="Arial" w:hAnsi="Arial"/>
          <w:sz w:val="22"/>
          <w:szCs w:val="22"/>
          <w:b w:val="1"/>
          <w:bCs w:val="1"/>
          <w:color w:val="auto"/>
        </w:rPr>
        <w:t>REPORT OF FOREIGN ISSUER</w:t>
      </w:r>
    </w:p>
    <w:p>
      <w:pPr>
        <w:spacing w:after="0" w:line="4" w:lineRule="exact"/>
        <w:rPr>
          <w:sz w:val="24"/>
          <w:szCs w:val="24"/>
          <w:color w:val="auto"/>
        </w:rPr>
      </w:pPr>
    </w:p>
    <w:p>
      <w:pPr>
        <w:ind w:left="3540"/>
        <w:spacing w:after="0"/>
        <w:rPr>
          <w:sz w:val="20"/>
          <w:szCs w:val="20"/>
          <w:color w:val="auto"/>
        </w:rPr>
      </w:pPr>
      <w:r>
        <w:rPr>
          <w:rFonts w:ascii="Arial" w:cs="Arial" w:eastAsia="Arial" w:hAnsi="Arial"/>
          <w:sz w:val="22"/>
          <w:szCs w:val="22"/>
          <w:b w:val="1"/>
          <w:bCs w:val="1"/>
          <w:color w:val="auto"/>
        </w:rPr>
        <w:t>PURSUANT TO RULE 13a–16 OR 15d–16 OF</w:t>
      </w:r>
    </w:p>
    <w:p>
      <w:pPr>
        <w:ind w:left="348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month of May 2013</w:t>
      </w:r>
    </w:p>
    <w:p>
      <w:pPr>
        <w:spacing w:after="0" w:line="17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001-33178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MELCO CROWN ENTERTAINMENT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133985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36</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Floor, The Centrium</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60 Wyndham Street</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Central</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Hong Kong</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9" w:lineRule="exact"/>
        <w:rPr>
          <w:sz w:val="24"/>
          <w:szCs w:val="24"/>
          <w:color w:val="auto"/>
        </w:rPr>
      </w:pPr>
    </w:p>
    <w:p>
      <w:pPr>
        <w:spacing w:after="0" w:line="207" w:lineRule="exact"/>
        <w:tabs>
          <w:tab w:leader="none" w:pos="8320" w:val="left"/>
          <w:tab w:leader="none" w:pos="9500" w:val="left"/>
        </w:tabs>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tab/>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197"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Indicate by check mark whether by furnishing the information contained in this Form, the registrant is also thereby furnishing the information to the Commission pursuant to Rule 12g3–2(b) under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 82– </w:t>
      </w:r>
      <w:r>
        <w:rPr>
          <w:rFonts w:ascii="Arial" w:cs="Arial" w:eastAsia="Arial" w:hAnsi="Arial"/>
          <w:sz w:val="18"/>
          <w:szCs w:val="18"/>
          <w:u w:val="single" w:color="auto"/>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30" w:right="3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MELCO CROWN ENTERTAINMENT LIMITED</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Form 6–K</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TABLE OF CONTENTS</w:t>
      </w:r>
    </w:p>
    <w:p>
      <w:pPr>
        <w:spacing w:after="0" w:line="16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Signature</w:t>
        </w:r>
      </w:hyperlink>
    </w:p>
    <w:p>
      <w:pPr>
        <w:spacing w:after="0" w:line="1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6"/>
          <w:szCs w:val="16"/>
          <w:u w:val="single" w:color="auto"/>
          <w:color w:val="0000EE"/>
        </w:rPr>
        <w:t>Quarterly Report of MCE Finance Limited</w:t>
      </w:r>
    </w:p>
    <w:p>
      <w:pPr>
        <w:spacing w:after="0" w:line="16"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Exhibit 99.2</w:t>
      </w:r>
      <w:r>
        <w:rPr>
          <w:sz w:val="20"/>
          <w:szCs w:val="20"/>
          <w:color w:val="auto"/>
        </w:rPr>
        <w:tab/>
      </w:r>
      <w:r>
        <w:rPr>
          <w:rFonts w:ascii="Arial" w:cs="Arial" w:eastAsia="Arial" w:hAnsi="Arial"/>
          <w:sz w:val="16"/>
          <w:szCs w:val="16"/>
          <w:u w:val="single" w:color="auto"/>
          <w:color w:val="0000EE"/>
        </w:rPr>
        <w:t>Quarterly Report of Studio City Finance Limited</w:t>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MELCO CROWN ENTERTAINMENT LIMITED</w:t>
      </w:r>
    </w:p>
    <w:p>
      <w:pPr>
        <w:spacing w:after="0" w:line="231"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Geoffrey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Geoffrey Davis, CFA</w:t>
      </w:r>
    </w:p>
    <w:p>
      <w:pPr>
        <w:spacing w:after="0" w:line="1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May 30, 2013</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680"/>
          </w:cols>
          <w:pgMar w:left="240" w:top="459" w:right="9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3819"/>
        <w:spacing w:after="0"/>
        <w:rPr>
          <w:sz w:val="20"/>
          <w:szCs w:val="20"/>
          <w:color w:val="auto"/>
        </w:rPr>
      </w:pPr>
      <w:r>
        <w:rPr>
          <w:rFonts w:ascii="Arial" w:cs="Arial" w:eastAsia="Arial" w:hAnsi="Arial"/>
          <w:sz w:val="18"/>
          <w:szCs w:val="18"/>
          <w:b w:val="1"/>
          <w:bCs w:val="1"/>
          <w:color w:val="auto"/>
        </w:rPr>
        <w:t>EXHIBIT INDEX</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spacing w:after="0"/>
        <w:tabs>
          <w:tab w:leader="none" w:pos="440" w:val="left"/>
        </w:tabs>
        <w:rPr>
          <w:sz w:val="20"/>
          <w:szCs w:val="20"/>
          <w:color w:val="auto"/>
        </w:rPr>
      </w:pPr>
      <w:r>
        <w:rPr>
          <w:rFonts w:ascii="Arial" w:cs="Arial" w:eastAsia="Arial" w:hAnsi="Arial"/>
          <w:sz w:val="14"/>
          <w:szCs w:val="14"/>
          <w:u w:val="single" w:color="auto"/>
          <w:color w:val="auto"/>
        </w:rPr>
        <w:t>No.</w:t>
      </w:r>
      <w:r>
        <w:rPr>
          <w:sz w:val="20"/>
          <w:szCs w:val="20"/>
          <w:color w:val="auto"/>
        </w:rPr>
        <w:tab/>
      </w:r>
      <w:r>
        <w:rPr>
          <w:rFonts w:ascii="Arial" w:cs="Arial" w:eastAsia="Arial" w:hAnsi="Arial"/>
          <w:sz w:val="14"/>
          <w:szCs w:val="14"/>
          <w:u w:val="single" w:color="auto"/>
          <w:color w:val="auto"/>
        </w:rPr>
        <w:t>Description</w:t>
      </w:r>
    </w:p>
    <w:p>
      <w:pPr>
        <w:spacing w:after="0" w:line="10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Quarterly Report of MCE Finance Limited</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Quarterly Report of Studio City Finance Limited</w:t>
      </w:r>
    </w:p>
    <w:p>
      <w:pPr>
        <w:sectPr>
          <w:pgSz w:w="11900" w:h="16838" w:orient="portrait"/>
          <w:cols w:equalWidth="0" w:num="1">
            <w:col w:w="10219"/>
          </w:cols>
          <w:pgMar w:left="240" w:top="459"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MCE Finance Limited’s Quarterly Report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2013</w:t>
      </w:r>
    </w:p>
    <w:p>
      <w:pPr>
        <w:spacing w:after="0" w:line="16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This quarterly report serves to provide Holders of MCE Finance Limited’s US$1,000,000,000 5.00% senior notes due 2021 (the “2013 Senior Notes”) with MCE Finance Limited’s unaudited condensed consolidated financial statements, comprising condensed consolidated balance sheets, condensed consolidated statements of operations and condensed consolidated statements of cash flows, in respect of the first fiscal quarter of the fiscal year ending 2013, together with related information, pursuant to the terms of the indenture, dated February 7, 2013, relating to the 2013 Senior Notes. MCE Finance Limited is a wholly owned subsidiary of Melco Crown Entertainment Limited.</w:t>
      </w:r>
    </w:p>
    <w:p>
      <w:pPr>
        <w:sectPr>
          <w:pgSz w:w="11900" w:h="16838" w:orient="portrait"/>
          <w:cols w:equalWidth="0" w:num="1">
            <w:col w:w="11420"/>
          </w:cols>
          <w:pgMar w:left="240" w:top="125" w:right="239" w:bottom="1440" w:gutter="0" w:footer="0" w:header="0"/>
        </w:sectPr>
      </w:pPr>
    </w:p>
    <w:bookmarkStart w:id="5" w:name="page6"/>
    <w:bookmarkEnd w:id="5"/>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MCE Finance Limited</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Report for the First Quarter of 2013</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00" w:type="dxa"/>
            <w:vAlign w:val="bottom"/>
          </w:tcPr>
          <w:p>
            <w:pPr>
              <w:spacing w:after="0"/>
              <w:rPr>
                <w:sz w:val="20"/>
                <w:szCs w:val="20"/>
                <w:color w:val="auto"/>
              </w:rPr>
            </w:pPr>
            <w:r>
              <w:rPr>
                <w:rFonts w:ascii="Arial" w:cs="Arial" w:eastAsia="Arial" w:hAnsi="Arial"/>
                <w:sz w:val="18"/>
                <w:szCs w:val="18"/>
                <w:color w:val="auto"/>
              </w:rPr>
              <w:t>INTRODUCTION</w:t>
            </w:r>
          </w:p>
        </w:tc>
        <w:tc>
          <w:tcPr>
            <w:tcW w:w="2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8800" w:type="dxa"/>
            <w:vAlign w:val="bottom"/>
          </w:tcPr>
          <w:p>
            <w:pPr>
              <w:spacing w:after="0"/>
              <w:rPr>
                <w:sz w:val="20"/>
                <w:szCs w:val="20"/>
                <w:color w:val="auto"/>
              </w:rPr>
            </w:pPr>
            <w:r>
              <w:rPr>
                <w:rFonts w:ascii="Arial" w:cs="Arial" w:eastAsia="Arial" w:hAnsi="Arial"/>
                <w:sz w:val="18"/>
                <w:szCs w:val="18"/>
                <w:color w:val="auto"/>
              </w:rPr>
              <w:t>SPECIAL NOTE REGARDING FORWARD-LOOKING STATEMENTS</w:t>
            </w:r>
          </w:p>
        </w:tc>
        <w:tc>
          <w:tcPr>
            <w:tcW w:w="2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8800" w:type="dxa"/>
            <w:vAlign w:val="bottom"/>
          </w:tcPr>
          <w:p>
            <w:pPr>
              <w:spacing w:after="0"/>
              <w:rPr>
                <w:sz w:val="20"/>
                <w:szCs w:val="20"/>
                <w:color w:val="auto"/>
              </w:rPr>
            </w:pPr>
            <w:r>
              <w:rPr>
                <w:rFonts w:ascii="Arial" w:cs="Arial" w:eastAsia="Arial" w:hAnsi="Arial"/>
                <w:sz w:val="18"/>
                <w:szCs w:val="18"/>
                <w:color w:val="auto"/>
              </w:rPr>
              <w:t>GLOSSARY</w:t>
            </w:r>
          </w:p>
        </w:tc>
        <w:tc>
          <w:tcPr>
            <w:tcW w:w="25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8800" w:type="dxa"/>
            <w:vAlign w:val="bottom"/>
          </w:tcPr>
          <w:p>
            <w:pPr>
              <w:spacing w:after="0"/>
              <w:rPr>
                <w:sz w:val="20"/>
                <w:szCs w:val="20"/>
                <w:color w:val="auto"/>
              </w:rPr>
            </w:pPr>
            <w:r>
              <w:rPr>
                <w:rFonts w:ascii="Arial" w:cs="Arial" w:eastAsia="Arial" w:hAnsi="Arial"/>
                <w:sz w:val="18"/>
                <w:szCs w:val="18"/>
                <w:color w:val="auto"/>
              </w:rPr>
              <w:t>EXCHANGE RATE INFORMATION</w:t>
            </w:r>
          </w:p>
        </w:tc>
        <w:tc>
          <w:tcPr>
            <w:tcW w:w="25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8800" w:type="dxa"/>
            <w:vAlign w:val="bottom"/>
          </w:tcPr>
          <w:p>
            <w:pPr>
              <w:spacing w:after="0"/>
              <w:rPr>
                <w:sz w:val="20"/>
                <w:szCs w:val="20"/>
                <w:color w:val="auto"/>
              </w:rPr>
            </w:pPr>
            <w:r>
              <w:rPr>
                <w:rFonts w:ascii="Arial" w:cs="Arial" w:eastAsia="Arial" w:hAnsi="Arial"/>
                <w:sz w:val="18"/>
                <w:szCs w:val="18"/>
                <w:color w:val="auto"/>
              </w:rPr>
              <w:t>FINANCIAL CONDITION AND RESULTS OF OPERATIONS</w:t>
            </w:r>
          </w:p>
        </w:tc>
        <w:tc>
          <w:tcPr>
            <w:tcW w:w="25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8800" w:type="dxa"/>
            <w:vAlign w:val="bottom"/>
          </w:tcPr>
          <w:p>
            <w:pPr>
              <w:spacing w:after="0"/>
              <w:rPr>
                <w:sz w:val="20"/>
                <w:szCs w:val="20"/>
                <w:color w:val="auto"/>
              </w:rPr>
            </w:pPr>
            <w:r>
              <w:rPr>
                <w:rFonts w:ascii="Arial" w:cs="Arial" w:eastAsia="Arial" w:hAnsi="Arial"/>
                <w:sz w:val="18"/>
                <w:szCs w:val="18"/>
                <w:color w:val="auto"/>
              </w:rPr>
              <w:t>INDEX TO UNAUDITED CONDENSED CONSOLIDATED FINANCIAL STATEMENTS</w:t>
            </w:r>
          </w:p>
        </w:tc>
        <w:tc>
          <w:tcPr>
            <w:tcW w:w="2520" w:type="dxa"/>
            <w:vAlign w:val="bottom"/>
          </w:tcPr>
          <w:p>
            <w:pPr>
              <w:jc w:val="right"/>
              <w:spacing w:after="0"/>
              <w:rPr>
                <w:sz w:val="20"/>
                <w:szCs w:val="20"/>
                <w:color w:val="auto"/>
              </w:rPr>
            </w:pPr>
            <w:r>
              <w:rPr>
                <w:rFonts w:ascii="Arial" w:cs="Arial" w:eastAsia="Arial" w:hAnsi="Arial"/>
                <w:sz w:val="18"/>
                <w:szCs w:val="18"/>
                <w:color w:val="auto"/>
              </w:rPr>
              <w:t>F-1</w:t>
            </w:r>
          </w:p>
        </w:tc>
      </w:tr>
    </w:tbl>
    <w:p>
      <w:pPr>
        <w:sectPr>
          <w:pgSz w:w="11900" w:h="16838" w:orient="portrait"/>
          <w:cols w:equalWidth="0" w:num="1">
            <w:col w:w="11320"/>
          </w:cols>
          <w:pgMar w:left="240" w:top="274" w:right="339" w:bottom="1440" w:gutter="0" w:footer="0" w:header="0"/>
        </w:sectPr>
      </w:pPr>
    </w:p>
    <w:bookmarkStart w:id="6" w:name="page7"/>
    <w:bookmarkEnd w:id="6"/>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INTRODUCTION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quarterly report, unless otherwise indicated:</w:t>
      </w:r>
    </w:p>
    <w:p>
      <w:pPr>
        <w:spacing w:after="0" w:line="90" w:lineRule="exact"/>
        <w:rPr>
          <w:sz w:val="20"/>
          <w:szCs w:val="20"/>
          <w:color w:val="auto"/>
        </w:rPr>
      </w:pPr>
    </w:p>
    <w:p>
      <w:pPr>
        <w:ind w:left="440" w:hanging="324"/>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“2010 Senior Notes” refers to the Initial Notes and the Exchange Notes, collectively, which were fully redeemed on March 28, 2013;</w:t>
      </w:r>
    </w:p>
    <w:p>
      <w:pPr>
        <w:spacing w:after="0" w:line="90" w:lineRule="exact"/>
        <w:rPr>
          <w:rFonts w:ascii="Arial" w:cs="Arial" w:eastAsia="Arial" w:hAnsi="Arial"/>
          <w:sz w:val="18"/>
          <w:szCs w:val="18"/>
          <w:color w:val="auto"/>
        </w:rPr>
      </w:pPr>
    </w:p>
    <w:p>
      <w:pPr>
        <w:ind w:left="440" w:right="60" w:hanging="324"/>
        <w:spacing w:after="0" w:line="256"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“2011 Credit Facilities” refers to the credit facilities entered into pursuant to an amendment agreement dated June 22, 2011 between, among others, Melco Crown Macau, Deutsche Bank AG, Hong Kong Branch as agent and DB Trustees (Hong Kong) Limited as security agent, comprising a term loan facility and a revolving credit facility, for a total amount of HK$9.36 billion (equivalent to approximately US$1.2 billion), and which reduce and remove certain restrictions in the City of Dreams Project Facility;</w:t>
      </w:r>
    </w:p>
    <w:p>
      <w:pPr>
        <w:spacing w:after="0" w:line="62" w:lineRule="exact"/>
        <w:rPr>
          <w:rFonts w:ascii="Arial" w:cs="Arial" w:eastAsia="Arial" w:hAnsi="Arial"/>
          <w:sz w:val="18"/>
          <w:szCs w:val="18"/>
          <w:color w:val="auto"/>
        </w:rPr>
      </w:pPr>
    </w:p>
    <w:p>
      <w:pPr>
        <w:ind w:left="440" w:hanging="324"/>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“Altira Developments Limited” refers to the Macau company through which we hold the land and building for Altira Macau;</w:t>
      </w:r>
    </w:p>
    <w:p>
      <w:pPr>
        <w:spacing w:after="0" w:line="90" w:lineRule="exact"/>
        <w:rPr>
          <w:rFonts w:ascii="Arial" w:cs="Arial" w:eastAsia="Arial" w:hAnsi="Arial"/>
          <w:sz w:val="18"/>
          <w:szCs w:val="18"/>
          <w:color w:val="auto"/>
        </w:rPr>
      </w:pPr>
    </w:p>
    <w:p>
      <w:pPr>
        <w:ind w:left="440" w:right="60" w:hanging="324"/>
        <w:spacing w:after="0" w:line="268"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“Altira Macau” refers to an integrated casino and hotel development that caters to Asian rolling chip customers, which opened in May 2007 and owned by Altira Developments Limited;</w:t>
      </w:r>
    </w:p>
    <w:p>
      <w:pPr>
        <w:spacing w:after="0" w:line="50" w:lineRule="exact"/>
        <w:rPr>
          <w:rFonts w:ascii="Arial" w:cs="Arial" w:eastAsia="Arial" w:hAnsi="Arial"/>
          <w:sz w:val="18"/>
          <w:szCs w:val="18"/>
          <w:color w:val="auto"/>
        </w:rPr>
      </w:pPr>
    </w:p>
    <w:p>
      <w:pPr>
        <w:jc w:val="both"/>
        <w:ind w:left="440" w:hanging="324"/>
        <w:spacing w:after="0" w:line="259"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“City of Dreams” refers to an integrated resort located on two adjacent pieces of land in Cotai, Macau, which opened in June 2009, and currently features a casino areas and three luxury hotels, including a collection of retail brands, a wet stage performance theater and other entertainment venues, and owned by Melco Crown (COD) Developments Limited;</w:t>
      </w:r>
    </w:p>
    <w:p>
      <w:pPr>
        <w:spacing w:after="0" w:line="59" w:lineRule="exact"/>
        <w:rPr>
          <w:rFonts w:ascii="Arial" w:cs="Arial" w:eastAsia="Arial" w:hAnsi="Arial"/>
          <w:sz w:val="18"/>
          <w:szCs w:val="18"/>
          <w:color w:val="auto"/>
        </w:rPr>
      </w:pPr>
    </w:p>
    <w:p>
      <w:pPr>
        <w:ind w:left="440" w:right="100" w:hanging="324"/>
        <w:spacing w:after="0" w:line="259"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“City of Dreams Project Facility” refers to the project facility dated September 5, 2007 entered into between, amongst others, Melco Crown Macau as borrower and certain other subsidiaries as guarantors, for a total sum of US$1.75 billion for the purposes of financing, among other things, certain project costs of City of Dreams, as amended and supplemented from time to time;</w:t>
      </w:r>
    </w:p>
    <w:p>
      <w:pPr>
        <w:spacing w:after="0" w:line="59" w:lineRule="exact"/>
        <w:rPr>
          <w:rFonts w:ascii="Arial" w:cs="Arial" w:eastAsia="Arial" w:hAnsi="Arial"/>
          <w:sz w:val="18"/>
          <w:szCs w:val="18"/>
          <w:color w:val="auto"/>
        </w:rPr>
      </w:pPr>
    </w:p>
    <w:p>
      <w:pPr>
        <w:ind w:left="440" w:hanging="324"/>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“Cotai” refers to an area of reclaimed land located between the islands of Taipa and Coloane in Macau;</w:t>
      </w:r>
    </w:p>
    <w:p>
      <w:pPr>
        <w:spacing w:after="0" w:line="90" w:lineRule="exact"/>
        <w:rPr>
          <w:rFonts w:ascii="Arial" w:cs="Arial" w:eastAsia="Arial" w:hAnsi="Arial"/>
          <w:sz w:val="18"/>
          <w:szCs w:val="18"/>
          <w:color w:val="auto"/>
        </w:rPr>
      </w:pPr>
    </w:p>
    <w:p>
      <w:pPr>
        <w:ind w:left="440" w:right="120" w:hanging="324"/>
        <w:spacing w:after="0" w:line="268"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“Exchange Notes” refers to approximately 99.96% of the Initial Notes which were, on December 27, 2010, exchanged for 10.25% senior notes due 2018, registered under the Securities Act of 1933;</w:t>
      </w:r>
    </w:p>
    <w:p>
      <w:pPr>
        <w:spacing w:after="0" w:line="50" w:lineRule="exact"/>
        <w:rPr>
          <w:rFonts w:ascii="Arial" w:cs="Arial" w:eastAsia="Arial" w:hAnsi="Arial"/>
          <w:sz w:val="18"/>
          <w:szCs w:val="18"/>
          <w:color w:val="auto"/>
        </w:rPr>
      </w:pPr>
    </w:p>
    <w:p>
      <w:pPr>
        <w:ind w:left="440" w:right="280" w:hanging="324"/>
        <w:spacing w:after="0" w:line="268"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“Initial Notes” refers to the US$600 million aggregate principal amount of 10.25% senior notes due 2018 issued by our company on May 17, 2010 and fully redeemed on March 28, 2013;</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“Macau” and “Macau SAR” refer to the Macau Special Administrative Region of the People’s Republic of China;</w:t>
      </w:r>
    </w:p>
    <w:p>
      <w:pPr>
        <w:spacing w:after="0" w:line="90" w:lineRule="exact"/>
        <w:rPr>
          <w:rFonts w:ascii="Arial" w:cs="Arial" w:eastAsia="Arial" w:hAnsi="Arial"/>
          <w:sz w:val="18"/>
          <w:szCs w:val="18"/>
          <w:color w:val="auto"/>
        </w:rPr>
      </w:pPr>
    </w:p>
    <w:p>
      <w:pPr>
        <w:ind w:left="440" w:right="100" w:hanging="324"/>
        <w:spacing w:after="0" w:line="268"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“Melco Crown Macau” refers to our subsidiary, Melco Crown (Macau) Limited (formerly known as “Melco Crown Gaming (Macau) Limited” or “Melco PBL Gaming (Macau) Limited”), a Macau company and the holder of our gaming subconcession;</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1"/>
        </w:numPr>
        <w:rPr>
          <w:rFonts w:ascii="Arial" w:cs="Arial" w:eastAsia="Arial" w:hAnsi="Arial"/>
          <w:sz w:val="16"/>
          <w:szCs w:val="16"/>
          <w:color w:val="auto"/>
        </w:rPr>
      </w:pPr>
      <w:r>
        <w:rPr>
          <w:rFonts w:ascii="Arial" w:cs="Arial" w:eastAsia="Arial" w:hAnsi="Arial"/>
          <w:sz w:val="16"/>
          <w:szCs w:val="16"/>
          <w:color w:val="auto"/>
        </w:rPr>
        <w:t>“Melco Crown (COD) Developments Limited” refers to the Macau company through which we hold the land and buildings for City of Dreams;</w:t>
      </w:r>
    </w:p>
    <w:p>
      <w:pPr>
        <w:spacing w:after="0" w:line="113" w:lineRule="exact"/>
        <w:rPr>
          <w:rFonts w:ascii="Arial" w:cs="Arial" w:eastAsia="Arial" w:hAnsi="Arial"/>
          <w:sz w:val="16"/>
          <w:szCs w:val="16"/>
          <w:color w:val="auto"/>
        </w:rPr>
      </w:pPr>
    </w:p>
    <w:p>
      <w:pPr>
        <w:ind w:left="440" w:right="80" w:hanging="324"/>
        <w:spacing w:after="0" w:line="268"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“Mocha Clubs” collectively refers to clubs with gaming machines, the first of which opened in September 2003, and are now the largest non-casino based operations of electronic gaming machines in Macau, and operated by Melco Crown Macau;</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“Parent” refers to Melco Crown Entertainment Limited, a Cayman Islands exempted company with limited liability;</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“Patacas” and “MOP” refer to the legal currency of Macau;</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“US$” and “U.S. dollars” refer to the legal currency of the United States;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“U.S. GAAP” refers to the accounting principles generally accepted in the United States;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
        </w:numPr>
        <w:rPr>
          <w:rFonts w:ascii="Arial" w:cs="Arial" w:eastAsia="Arial" w:hAnsi="Arial"/>
          <w:sz w:val="16"/>
          <w:szCs w:val="16"/>
          <w:color w:val="auto"/>
        </w:rPr>
      </w:pPr>
      <w:r>
        <w:rPr>
          <w:rFonts w:ascii="Arial" w:cs="Arial" w:eastAsia="Arial" w:hAnsi="Arial"/>
          <w:sz w:val="16"/>
          <w:szCs w:val="16"/>
          <w:color w:val="auto"/>
        </w:rPr>
        <w:t>“we,” “us,” “our company” and “our” refer to MCE Finance Limited and, as the context requires, its predecessor entities and its consolidated subsidiaries.</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274" w:right="319" w:bottom="1440" w:gutter="0" w:footer="0" w:header="0"/>
        </w:sectPr>
      </w:pPr>
    </w:p>
    <w:bookmarkStart w:id="7" w:name="page8"/>
    <w:bookmarkEnd w:id="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quarterly report includes our unaudited condensed consolidated financial statements for the three months ended March 31, 2013.</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Any discrepancies in any table between totals and sums of amounts listed therein are due to rounding. Accordingly, figures shown as totals in certain tables may not be an arithmetic aggregation of the figures preceding them.</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8" w:name="page9"/>
    <w:bookmarkEnd w:id="8"/>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SPECIAL NOTE REGARDING FORWARD-LOOKING STATEMENTS</w:t>
      </w:r>
    </w:p>
    <w:p>
      <w:pPr>
        <w:spacing w:after="0" w:line="17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This quarterly report contains forward-looking statements that relate to future events, including our future operating results and conditions, our prospects and our future financial performance and condition, all of which are largely based on our current expectations and projections. Known and unknown risks, uncertainties and other factors may cause our actual results, performance or achievements to be materially different from any future results, performances or achievements expressed or implied by the forward-looking statements. Moreover, because we operate in a heavily regulated and evolving industry, may become highly leveraged, and operate in Macau, a market that has recently experienced extremely rapid growth and intense competition, new risk factors may emerge from time to time. It is not possible for our management to predict all risk factors, nor can we assess the impact of these factors on our business or the extent to which any factor, or combination of factors, may cause actual results to differ materially from those expressed or implied in any forward-looking statement. Forward-looking statements involve inherent risks and uncertainties, and a number of factors could cause actual results to differ materially from those contained in any forward-looking statement. These factors include, but are not limited to, (i) growth of the gaming market and visitation in Macau, (ii) capital and credit market volatility, (iii) local and global economic conditions, (iv) our anticipated growth strategies, and (v) our future business development, results of operations and financial condition. In some cases, forward-looking statements can be identified by words or phrases such as “may”, “will”, “expect”, “anticipate”, “target”, “aim”, “estimate”, “intend”, “plan”, “believe”, “potential”, “continue”, “is/are likely to” or other similar expressions.</w:t>
      </w:r>
    </w:p>
    <w:p>
      <w:pPr>
        <w:spacing w:after="0" w:line="12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forward-looking statements made in this quarterly report relate only to events or information as of the date on which the statements are made in this quarterly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quarterly report with the understanding that our actual future results may be materially different from what we expect.</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274" w:right="339" w:bottom="1440" w:gutter="0" w:footer="0" w:header="0"/>
        </w:sectPr>
      </w:pPr>
    </w:p>
    <w:bookmarkStart w:id="9" w:name="page10"/>
    <w:bookmarkEnd w:id="9"/>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“average daily rate” or “ADR”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“chip”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“concession”</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“drop”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“drop box”</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“gaming machine handle (volume)”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“gaming promoter” or “junket representative”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“integrated resort”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“junket player”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“mass market patron”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“mass market segment”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“mass market table games drop”</w:t>
      </w:r>
    </w:p>
    <w:p>
      <w:pPr>
        <w:spacing w:after="0" w:line="117" w:lineRule="exact"/>
        <w:rPr>
          <w:sz w:val="20"/>
          <w:szCs w:val="20"/>
          <w:color w:val="auto"/>
        </w:rPr>
      </w:pPr>
    </w:p>
    <w:p>
      <w:pPr>
        <w:ind w:right="200"/>
        <w:spacing w:after="0" w:line="384" w:lineRule="auto"/>
        <w:rPr>
          <w:sz w:val="20"/>
          <w:szCs w:val="20"/>
          <w:color w:val="auto"/>
        </w:rPr>
      </w:pPr>
      <w:r>
        <w:rPr>
          <w:rFonts w:ascii="Arial" w:cs="Arial" w:eastAsia="Arial" w:hAnsi="Arial"/>
          <w:sz w:val="18"/>
          <w:szCs w:val="18"/>
          <w:color w:val="auto"/>
        </w:rPr>
        <w:t>“mass market table games hold percentage” “mass market table games segment” “MICE”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“non-negotiable chip”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“premium direct player”</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“rolling chip”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“rolling chip patron”</w:t>
      </w:r>
    </w:p>
    <w:p>
      <w:pPr>
        <w:spacing w:after="0" w:line="20" w:lineRule="exact"/>
        <w:rPr>
          <w:sz w:val="20"/>
          <w:szCs w:val="20"/>
          <w:color w:val="auto"/>
        </w:rPr>
      </w:pPr>
      <w:r>
        <w:rPr>
          <w:sz w:val="20"/>
          <w:szCs w:val="20"/>
          <w:color w:val="auto"/>
        </w:rPr>
        <w:br w:type="column"/>
      </w:r>
    </w:p>
    <w:p>
      <w:pPr>
        <w:ind w:left="1240"/>
        <w:spacing w:after="0"/>
        <w:rPr>
          <w:sz w:val="20"/>
          <w:szCs w:val="20"/>
          <w:color w:val="auto"/>
        </w:rPr>
      </w:pPr>
      <w:r>
        <w:rPr>
          <w:rFonts w:ascii="Arial" w:cs="Arial" w:eastAsia="Arial" w:hAnsi="Arial"/>
          <w:sz w:val="18"/>
          <w:szCs w:val="18"/>
          <w:b w:val="1"/>
          <w:bCs w:val="1"/>
          <w:color w:val="auto"/>
        </w:rPr>
        <w:t>GLOSSARY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-215900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0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calculated by dividing total room revenues (less service charges, if any) by total rooms occupied, i.e., average price of occupied rooms per day</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round token that is used on casino gaming tables in lieu of cash</w:t>
      </w:r>
    </w:p>
    <w:p>
      <w:pPr>
        <w:spacing w:after="0" w:line="117" w:lineRule="exact"/>
        <w:rPr>
          <w:sz w:val="20"/>
          <w:szCs w:val="20"/>
          <w:color w:val="auto"/>
        </w:rPr>
      </w:pPr>
    </w:p>
    <w:p>
      <w:pPr>
        <w:jc w:val="both"/>
        <w:ind w:right="460"/>
        <w:spacing w:after="0" w:line="306" w:lineRule="auto"/>
        <w:rPr>
          <w:sz w:val="20"/>
          <w:szCs w:val="20"/>
          <w:color w:val="auto"/>
        </w:rPr>
      </w:pPr>
      <w:r>
        <w:rPr>
          <w:rFonts w:ascii="Arial" w:cs="Arial" w:eastAsia="Arial" w:hAnsi="Arial"/>
          <w:sz w:val="16"/>
          <w:szCs w:val="16"/>
          <w:color w:val="auto"/>
        </w:rPr>
        <w:t>a government grant for the operation of games of fortune and chance in casinos in Macau under an administrative contract pursuant to which a concessionaire, or the entity holding the concession, is authorized to operate games of fortune and chance in casinos in Macau</w:t>
      </w:r>
    </w:p>
    <w:p>
      <w:pPr>
        <w:spacing w:after="0" w:line="5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amount of cash to purchase gaming chips and promotional vouchers that are deposited in a gaming table’s drop box, plus gaming chips purchased at the casino cage</w:t>
      </w:r>
    </w:p>
    <w:p>
      <w:pPr>
        <w:spacing w:after="0" w:line="78"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a box or container that serves as a repository for cash, chips, chip purchase vouchers, credit markers and forms used to record movements in the chip inventory on each table game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total amount wagered in gaming machines</w:t>
      </w:r>
    </w:p>
    <w:p>
      <w:pPr>
        <w:spacing w:after="0" w:line="11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an individual or corporate entity who, for the purpose of promoting rolling chip and other gaming activities, arranges customer transportation and accommodation, provides credit in its sole discretion if authorized by a gaming operator, and arranges food and beverage services and entertainment in exchange for commissions or other compensation from a gaming operator</w:t>
      </w:r>
    </w:p>
    <w:p>
      <w:pPr>
        <w:spacing w:after="0" w:line="59"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a resort which provides customers with a combination of hotel accommodations, casinos or gaming areas, retail and dining facilities, MICE space, entertainment venues and spas</w:t>
      </w:r>
    </w:p>
    <w:p>
      <w:pPr>
        <w:spacing w:after="0" w:line="31" w:lineRule="exact"/>
        <w:rPr>
          <w:sz w:val="20"/>
          <w:szCs w:val="20"/>
          <w:color w:val="auto"/>
        </w:rPr>
      </w:pPr>
    </w:p>
    <w:p>
      <w:pPr>
        <w:ind w:right="1760"/>
        <w:spacing w:after="0" w:line="375" w:lineRule="auto"/>
        <w:rPr>
          <w:sz w:val="20"/>
          <w:szCs w:val="20"/>
          <w:color w:val="auto"/>
        </w:rPr>
      </w:pPr>
      <w:r>
        <w:rPr>
          <w:rFonts w:ascii="Arial" w:cs="Arial" w:eastAsia="Arial" w:hAnsi="Arial"/>
          <w:sz w:val="18"/>
          <w:szCs w:val="18"/>
          <w:color w:val="auto"/>
        </w:rPr>
        <w:t>a player sourced by gaming promoters to play in the VIP gaming rooms or areas a customer who plays in the mass market segment</w:t>
      </w:r>
    </w:p>
    <w:p>
      <w:pPr>
        <w:spacing w:after="0" w:line="1"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consists of both table games and slot machines played on public mass gaming floors by mass market patrons for cash stakes that are typically lower than those in the rolling chip segment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amount of table games drop in the mass market table games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mass market table games win as a percentage of mass market table games drop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mass market segment consisting of mass market patrons who play table games</w:t>
      </w:r>
    </w:p>
    <w:p>
      <w:pPr>
        <w:spacing w:after="0" w:line="11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Meetings, Incentives, Conventions and Exhibitions, an acronym commonly used to refer to tourism involving large groups brought together for an event or specific purpose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promotional casino chip that is not to be exchanged for cash</w:t>
      </w:r>
    </w:p>
    <w:p>
      <w:pPr>
        <w:spacing w:after="0" w:line="117" w:lineRule="exact"/>
        <w:rPr>
          <w:sz w:val="20"/>
          <w:szCs w:val="20"/>
          <w:color w:val="auto"/>
        </w:rPr>
      </w:pPr>
    </w:p>
    <w:p>
      <w:pPr>
        <w:ind w:right="2620"/>
        <w:spacing w:after="0" w:line="335" w:lineRule="auto"/>
        <w:rPr>
          <w:sz w:val="20"/>
          <w:szCs w:val="20"/>
          <w:color w:val="auto"/>
        </w:rPr>
      </w:pPr>
      <w:r>
        <w:rPr>
          <w:rFonts w:ascii="Arial" w:cs="Arial" w:eastAsia="Arial" w:hAnsi="Arial"/>
          <w:sz w:val="15"/>
          <w:szCs w:val="15"/>
          <w:color w:val="auto"/>
        </w:rPr>
        <w:t>a rolling chip player who is a direct customer of the concessionaires or subconcessionaires and is attracted to the casino through direct marketing efforts and relationships with the gaming operator</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non-negotiable chip primarily used by rolling chip patrons to make wagers</w:t>
      </w:r>
    </w:p>
    <w:p>
      <w:pPr>
        <w:spacing w:after="0" w:line="117"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a player who is primarily a VIP player and typically receives various forms of complimentary services from the gaming promoters or concessionaires or subconcessionaires</w:t>
      </w:r>
    </w:p>
    <w:p>
      <w:pPr>
        <w:spacing w:after="0" w:line="72"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4</w:t>
      </w:r>
    </w:p>
    <w:p>
      <w:pPr>
        <w:sectPr>
          <w:pgSz w:w="11900" w:h="16838" w:orient="portrait"/>
          <w:cols w:equalWidth="0" w:num="2">
            <w:col w:w="3280" w:space="720"/>
            <w:col w:w="7400"/>
          </w:cols>
          <w:pgMar w:left="240" w:top="274" w:right="25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“rolling chip segment”</w:t>
      </w:r>
    </w:p>
    <w:p>
      <w:pPr>
        <w:spacing w:after="0" w:line="20" w:lineRule="exact"/>
        <w:rPr>
          <w:sz w:val="20"/>
          <w:szCs w:val="20"/>
          <w:color w:val="auto"/>
        </w:rPr>
      </w:pPr>
      <w:r>
        <w:rPr>
          <w:sz w:val="20"/>
          <w:szCs w:val="20"/>
          <w:color w:val="auto"/>
        </w:rPr>
        <w:br w:type="column"/>
      </w:r>
    </w:p>
    <w:p>
      <w:pPr>
        <w:ind w:right="320"/>
        <w:spacing w:after="0" w:line="268" w:lineRule="auto"/>
        <w:rPr>
          <w:sz w:val="20"/>
          <w:szCs w:val="20"/>
          <w:color w:val="auto"/>
        </w:rPr>
      </w:pPr>
      <w:r>
        <w:rPr>
          <w:rFonts w:ascii="Arial" w:cs="Arial" w:eastAsia="Arial" w:hAnsi="Arial"/>
          <w:sz w:val="18"/>
          <w:szCs w:val="18"/>
          <w:color w:val="auto"/>
        </w:rPr>
        <w:t>consists of table games played in private VIP gaming rooms or areas by rolling chip patrons who are either premium direct players or junket players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-450850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8" w:lineRule="exact"/>
        <w:rPr>
          <w:sz w:val="20"/>
          <w:szCs w:val="20"/>
          <w:color w:val="auto"/>
        </w:rPr>
      </w:pPr>
    </w:p>
    <w:p>
      <w:pPr>
        <w:sectPr>
          <w:pgSz w:w="11900" w:h="16838" w:orient="portrait"/>
          <w:cols w:equalWidth="0" w:num="2">
            <w:col w:w="3280" w:space="720"/>
            <w:col w:w="7400"/>
          </w:cols>
          <w:pgMar w:left="240" w:top="388" w:right="259" w:bottom="1440" w:gutter="0" w:footer="0" w:header="0"/>
        </w:sectPr>
      </w:pPr>
    </w:p>
    <w:p>
      <w:pPr>
        <w:spacing w:after="0"/>
        <w:rPr>
          <w:sz w:val="20"/>
          <w:szCs w:val="20"/>
          <w:color w:val="auto"/>
        </w:rPr>
      </w:pPr>
      <w:r>
        <w:rPr>
          <w:rFonts w:ascii="Arial" w:cs="Arial" w:eastAsia="Arial" w:hAnsi="Arial"/>
          <w:sz w:val="16"/>
          <w:szCs w:val="16"/>
          <w:color w:val="auto"/>
        </w:rPr>
        <w:t>“rolling chip volume”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amount of non-negotiable chips wagered and lost by the rolling chip market segment</w:t>
      </w:r>
    </w:p>
    <w:p>
      <w:pPr>
        <w:spacing w:after="0" w:line="151" w:lineRule="exact"/>
        <w:rPr>
          <w:sz w:val="20"/>
          <w:szCs w:val="20"/>
          <w:color w:val="auto"/>
        </w:rPr>
      </w:pPr>
    </w:p>
    <w:p>
      <w:pPr>
        <w:sectPr>
          <w:pgSz w:w="11900" w:h="16838" w:orient="portrait"/>
          <w:cols w:equalWidth="0" w:num="2">
            <w:col w:w="3280" w:space="720"/>
            <w:col w:w="7400"/>
          </w:cols>
          <w:pgMar w:left="240" w:top="388" w:right="259" w:bottom="1440" w:gutter="0" w:footer="0" w:header="0"/>
          <w:type w:val="continuous"/>
        </w:sectPr>
      </w:pPr>
    </w:p>
    <w:p>
      <w:pPr>
        <w:spacing w:after="0"/>
        <w:rPr>
          <w:sz w:val="20"/>
          <w:szCs w:val="20"/>
          <w:color w:val="auto"/>
        </w:rPr>
      </w:pPr>
      <w:r>
        <w:rPr>
          <w:rFonts w:ascii="Arial" w:cs="Arial" w:eastAsia="Arial" w:hAnsi="Arial"/>
          <w:sz w:val="16"/>
          <w:szCs w:val="16"/>
          <w:color w:val="auto"/>
        </w:rPr>
        <w:t>“rolling chip win rate”</w:t>
      </w:r>
    </w:p>
    <w:p>
      <w:pPr>
        <w:spacing w:after="0" w:line="20" w:lineRule="exact"/>
        <w:rPr>
          <w:sz w:val="20"/>
          <w:szCs w:val="20"/>
          <w:color w:val="auto"/>
        </w:rPr>
      </w:pPr>
      <w:r>
        <w:rPr>
          <w:sz w:val="20"/>
          <w:szCs w:val="20"/>
          <w:color w:val="auto"/>
        </w:rPr>
        <w:br w:type="column"/>
      </w:r>
    </w:p>
    <w:p>
      <w:pPr>
        <w:ind w:right="240"/>
        <w:spacing w:after="0" w:line="268" w:lineRule="auto"/>
        <w:rPr>
          <w:sz w:val="20"/>
          <w:szCs w:val="20"/>
          <w:color w:val="auto"/>
        </w:rPr>
      </w:pPr>
      <w:r>
        <w:rPr>
          <w:rFonts w:ascii="Arial" w:cs="Arial" w:eastAsia="Arial" w:hAnsi="Arial"/>
          <w:sz w:val="18"/>
          <w:szCs w:val="18"/>
          <w:color w:val="auto"/>
        </w:rPr>
        <w:t>rolling chip table games win (calculated before discounts and commissions) as a percentage of rolling chip volume</w:t>
      </w:r>
    </w:p>
    <w:p>
      <w:pPr>
        <w:spacing w:after="0" w:line="78" w:lineRule="exact"/>
        <w:rPr>
          <w:sz w:val="20"/>
          <w:szCs w:val="20"/>
          <w:color w:val="auto"/>
        </w:rPr>
      </w:pPr>
    </w:p>
    <w:p>
      <w:pPr>
        <w:sectPr>
          <w:pgSz w:w="11900" w:h="16838" w:orient="portrait"/>
          <w:cols w:equalWidth="0" w:num="2">
            <w:col w:w="3280" w:space="720"/>
            <w:col w:w="7400"/>
          </w:cols>
          <w:pgMar w:left="240" w:top="388" w:right="259" w:bottom="1440" w:gutter="0" w:footer="0" w:header="0"/>
          <w:type w:val="continuous"/>
        </w:sectPr>
      </w:pPr>
    </w:p>
    <w:p>
      <w:pPr>
        <w:spacing w:after="0"/>
        <w:rPr>
          <w:sz w:val="20"/>
          <w:szCs w:val="20"/>
          <w:color w:val="auto"/>
        </w:rPr>
      </w:pPr>
      <w:r>
        <w:rPr>
          <w:rFonts w:ascii="Arial" w:cs="Arial" w:eastAsia="Arial" w:hAnsi="Arial"/>
          <w:sz w:val="16"/>
          <w:szCs w:val="16"/>
          <w:color w:val="auto"/>
        </w:rPr>
        <w:t>“slot machine”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traditional gaming machine operated by a single player and electronic multiple-player gaming machines</w:t>
      </w:r>
    </w:p>
    <w:p>
      <w:pPr>
        <w:spacing w:after="0" w:line="140" w:lineRule="exact"/>
        <w:rPr>
          <w:sz w:val="20"/>
          <w:szCs w:val="20"/>
          <w:color w:val="auto"/>
        </w:rPr>
      </w:pPr>
    </w:p>
    <w:p>
      <w:pPr>
        <w:sectPr>
          <w:pgSz w:w="11900" w:h="16838" w:orient="portrait"/>
          <w:cols w:equalWidth="0" w:num="2">
            <w:col w:w="3280" w:space="720"/>
            <w:col w:w="7400"/>
          </w:cols>
          <w:pgMar w:left="240" w:top="388" w:right="259" w:bottom="1440" w:gutter="0" w:footer="0" w:header="0"/>
          <w:type w:val="continuous"/>
        </w:sectPr>
      </w:pPr>
    </w:p>
    <w:p>
      <w:pPr>
        <w:spacing w:after="0"/>
        <w:rPr>
          <w:sz w:val="20"/>
          <w:szCs w:val="20"/>
          <w:color w:val="auto"/>
        </w:rPr>
      </w:pPr>
      <w:r>
        <w:rPr>
          <w:rFonts w:ascii="Arial" w:cs="Arial" w:eastAsia="Arial" w:hAnsi="Arial"/>
          <w:sz w:val="16"/>
          <w:szCs w:val="16"/>
          <w:color w:val="auto"/>
        </w:rPr>
        <w:t>“subconcession”</w:t>
      </w:r>
    </w:p>
    <w:p>
      <w:pPr>
        <w:spacing w:after="0" w:line="20" w:lineRule="exact"/>
        <w:rPr>
          <w:sz w:val="20"/>
          <w:szCs w:val="20"/>
          <w:color w:val="auto"/>
        </w:rPr>
      </w:pPr>
      <w:r>
        <w:rPr>
          <w:sz w:val="20"/>
          <w:szCs w:val="20"/>
          <w:color w:val="auto"/>
        </w:rPr>
        <w:br w:type="column"/>
      </w:r>
    </w:p>
    <w:p>
      <w:pPr>
        <w:jc w:val="both"/>
        <w:spacing w:after="0" w:line="306" w:lineRule="auto"/>
        <w:rPr>
          <w:sz w:val="20"/>
          <w:szCs w:val="20"/>
          <w:color w:val="auto"/>
        </w:rPr>
      </w:pPr>
      <w:r>
        <w:rPr>
          <w:rFonts w:ascii="Arial" w:cs="Arial" w:eastAsia="Arial" w:hAnsi="Arial"/>
          <w:sz w:val="16"/>
          <w:szCs w:val="16"/>
          <w:color w:val="auto"/>
        </w:rPr>
        <w:t>an agreement for the operation of games of fortune and chance in casinos between the entity holding the concession, or the concessionaire, a subconcessionaire and the Macau government, pursuant to which the subconcessionaire is authorized to operate games of fortune and chance in casinos in Macau</w:t>
      </w:r>
    </w:p>
    <w:p>
      <w:pPr>
        <w:spacing w:after="0" w:line="53" w:lineRule="exact"/>
        <w:rPr>
          <w:sz w:val="20"/>
          <w:szCs w:val="20"/>
          <w:color w:val="auto"/>
        </w:rPr>
      </w:pPr>
    </w:p>
    <w:p>
      <w:pPr>
        <w:sectPr>
          <w:pgSz w:w="11900" w:h="16838" w:orient="portrait"/>
          <w:cols w:equalWidth="0" w:num="2">
            <w:col w:w="3280" w:space="720"/>
            <w:col w:w="7400"/>
          </w:cols>
          <w:pgMar w:left="240" w:top="388" w:right="259" w:bottom="1440" w:gutter="0" w:footer="0" w:header="0"/>
          <w:type w:val="continuous"/>
        </w:sectPr>
      </w:pPr>
    </w:p>
    <w:p>
      <w:pPr>
        <w:spacing w:after="0"/>
        <w:rPr>
          <w:sz w:val="20"/>
          <w:szCs w:val="20"/>
          <w:color w:val="auto"/>
        </w:rPr>
      </w:pPr>
      <w:r>
        <w:rPr>
          <w:rFonts w:ascii="Arial" w:cs="Arial" w:eastAsia="Arial" w:hAnsi="Arial"/>
          <w:sz w:val="16"/>
          <w:szCs w:val="16"/>
          <w:color w:val="auto"/>
        </w:rPr>
        <w:t>“table games win”</w:t>
      </w:r>
    </w:p>
    <w:p>
      <w:pPr>
        <w:spacing w:after="0" w:line="20" w:lineRule="exact"/>
        <w:rPr>
          <w:sz w:val="20"/>
          <w:szCs w:val="20"/>
          <w:color w:val="auto"/>
        </w:rPr>
      </w:pPr>
      <w:r>
        <w:rPr>
          <w:sz w:val="20"/>
          <w:szCs w:val="20"/>
          <w:color w:val="auto"/>
        </w:rPr>
        <w:br w:type="column"/>
      </w:r>
    </w:p>
    <w:p>
      <w:pPr>
        <w:ind w:right="280"/>
        <w:spacing w:after="0" w:line="268" w:lineRule="auto"/>
        <w:rPr>
          <w:sz w:val="20"/>
          <w:szCs w:val="20"/>
          <w:color w:val="auto"/>
        </w:rPr>
      </w:pPr>
      <w:r>
        <w:rPr>
          <w:rFonts w:ascii="Arial" w:cs="Arial" w:eastAsia="Arial" w:hAnsi="Arial"/>
          <w:sz w:val="18"/>
          <w:szCs w:val="18"/>
          <w:color w:val="auto"/>
        </w:rPr>
        <w:t>the amount of wagers won net of wagers lost on gaming tables that is retained and recorded as casino revenues</w:t>
      </w:r>
    </w:p>
    <w:p>
      <w:pPr>
        <w:spacing w:after="0" w:line="78" w:lineRule="exact"/>
        <w:rPr>
          <w:sz w:val="20"/>
          <w:szCs w:val="20"/>
          <w:color w:val="auto"/>
        </w:rPr>
      </w:pPr>
    </w:p>
    <w:p>
      <w:pPr>
        <w:sectPr>
          <w:pgSz w:w="11900" w:h="16838" w:orient="portrait"/>
          <w:cols w:equalWidth="0" w:num="2">
            <w:col w:w="3280" w:space="720"/>
            <w:col w:w="7400"/>
          </w:cols>
          <w:pgMar w:left="240" w:top="388" w:right="259" w:bottom="1440" w:gutter="0" w:footer="0" w:header="0"/>
          <w:type w:val="continuous"/>
        </w:sectPr>
      </w:pPr>
    </w:p>
    <w:p>
      <w:pPr>
        <w:spacing w:after="0"/>
        <w:rPr>
          <w:sz w:val="20"/>
          <w:szCs w:val="20"/>
          <w:color w:val="auto"/>
        </w:rPr>
      </w:pPr>
      <w:r>
        <w:rPr>
          <w:rFonts w:ascii="Arial" w:cs="Arial" w:eastAsia="Arial" w:hAnsi="Arial"/>
          <w:sz w:val="16"/>
          <w:szCs w:val="16"/>
          <w:color w:val="auto"/>
        </w:rPr>
        <w:t>“VIP gaming room” or “VIP gaming area”</w:t>
      </w:r>
    </w:p>
    <w:p>
      <w:pPr>
        <w:spacing w:after="0" w:line="20" w:lineRule="exact"/>
        <w:rPr>
          <w:sz w:val="20"/>
          <w:szCs w:val="20"/>
          <w:color w:val="auto"/>
        </w:rPr>
      </w:pPr>
      <w:r>
        <w:rPr>
          <w:sz w:val="20"/>
          <w:szCs w:val="20"/>
          <w:color w:val="auto"/>
        </w:rPr>
        <w:br w:type="column"/>
      </w:r>
    </w:p>
    <w:p>
      <w:pPr>
        <w:ind w:right="580"/>
        <w:spacing w:after="0" w:line="268" w:lineRule="auto"/>
        <w:rPr>
          <w:sz w:val="20"/>
          <w:szCs w:val="20"/>
          <w:color w:val="auto"/>
        </w:rPr>
      </w:pPr>
      <w:r>
        <w:rPr>
          <w:rFonts w:ascii="Arial" w:cs="Arial" w:eastAsia="Arial" w:hAnsi="Arial"/>
          <w:sz w:val="18"/>
          <w:szCs w:val="18"/>
          <w:color w:val="auto"/>
        </w:rPr>
        <w:t>gaming rooms or areas that have restricted access to rolling chip patrons and typically offer more personalized service than the general mass market gaming areas</w:t>
      </w:r>
    </w:p>
    <w:p>
      <w:pPr>
        <w:spacing w:after="0" w:line="78" w:lineRule="exact"/>
        <w:rPr>
          <w:sz w:val="20"/>
          <w:szCs w:val="20"/>
          <w:color w:val="auto"/>
        </w:rPr>
      </w:pPr>
    </w:p>
    <w:p>
      <w:pPr>
        <w:sectPr>
          <w:pgSz w:w="11900" w:h="16838" w:orient="portrait"/>
          <w:cols w:equalWidth="0" w:num="2">
            <w:col w:w="3280" w:space="720"/>
            <w:col w:w="7400"/>
          </w:cols>
          <w:pgMar w:left="240" w:top="388" w:right="259" w:bottom="1440" w:gutter="0" w:footer="0" w:header="0"/>
          <w:type w:val="continuous"/>
        </w:sectPr>
      </w:pPr>
    </w:p>
    <w:p>
      <w:pPr>
        <w:spacing w:after="0"/>
        <w:rPr>
          <w:sz w:val="20"/>
          <w:szCs w:val="20"/>
          <w:color w:val="auto"/>
        </w:rPr>
      </w:pPr>
      <w:r>
        <w:rPr>
          <w:rFonts w:ascii="Arial" w:cs="Arial" w:eastAsia="Arial" w:hAnsi="Arial"/>
          <w:sz w:val="16"/>
          <w:szCs w:val="16"/>
          <w:color w:val="auto"/>
        </w:rPr>
        <w:t>“wet stage performance theater”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the approximately 2,000-seat theater specifically designed to stage </w:t>
      </w:r>
      <w:r>
        <w:rPr>
          <w:rFonts w:ascii="Arial" w:cs="Arial" w:eastAsia="Arial" w:hAnsi="Arial"/>
          <w:sz w:val="15"/>
          <w:szCs w:val="15"/>
          <w:i w:val="1"/>
          <w:iCs w:val="1"/>
          <w:color w:val="auto"/>
        </w:rPr>
        <w:t>The House of Dancing Water</w:t>
      </w:r>
      <w:r>
        <w:rPr>
          <w:rFonts w:ascii="Arial" w:cs="Arial" w:eastAsia="Arial" w:hAnsi="Arial"/>
          <w:sz w:val="15"/>
          <w:szCs w:val="15"/>
          <w:color w:val="auto"/>
        </w:rPr>
        <w:t xml:space="preserve"> show</w:t>
      </w:r>
    </w:p>
    <w:p>
      <w:pPr>
        <w:spacing w:after="0" w:line="192" w:lineRule="exact"/>
        <w:rPr>
          <w:sz w:val="20"/>
          <w:szCs w:val="20"/>
          <w:color w:val="auto"/>
        </w:rPr>
      </w:pPr>
    </w:p>
    <w:p>
      <w:pPr>
        <w:sectPr>
          <w:pgSz w:w="11900" w:h="16838" w:orient="portrait"/>
          <w:cols w:equalWidth="0" w:num="2">
            <w:col w:w="3280" w:space="720"/>
            <w:col w:w="7400"/>
          </w:cols>
          <w:pgMar w:left="240" w:top="388" w:right="259" w:bottom="1440" w:gutter="0" w:footer="0" w:header="0"/>
          <w:type w:val="continuous"/>
        </w:sectPr>
      </w:pPr>
    </w:p>
    <w:p>
      <w:pPr>
        <w:jc w:val="center"/>
        <w:ind w:right="-3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00"/>
          </w:cols>
          <w:pgMar w:left="240" w:top="388" w:right="259" w:bottom="1440" w:gutter="0" w:footer="0" w:header="0"/>
          <w:type w:val="continuous"/>
        </w:sectPr>
      </w:pPr>
    </w:p>
    <w:bookmarkStart w:id="11" w:name="page12"/>
    <w:bookmarkEnd w:id="1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EXCHANGE RATE INFORMATION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Although we will have certain expenses and revenues denominated in Patacas, our revenues and expenses will be denominated predominantly in H.K.</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dollars and in connection with a portion of our indebtedness and certain expenses, U.S. dollars. Unless otherwise noted, all translations from H.K. dollars to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dollars and from U.S. dollars to H.K. dollars in this quarterly report were made at a rate of HK$7.78 to US$1.00.</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H.K. dollar is freely convertible into other currencies (including the U.S. dollar). Since October 17, 1983, the H.K. dollar has been officially linked to the U.S. dollar at the rate of HK$7.80 to US$1.00. The market exchange rate has not deviated materially from the level of HK$7.80 to US$1.00 since the peg was first established. However, in May 2005, the Hong Kong Monetary Authority broadened the trading band from the original rate of HK$7.80 per U.S. dollar to a rate range of HK$7.75 to HK$7.85 per U.S. dollar. The Hong Kong government has stated its intention to maintain the link at that rate, and it, acting through the Hong Kong Monetary Authority, has a number of means by which it may act to maintain exchange rate stability. However, no assurance can be given that the Hong Kong government will maintain the link at HK$7.75 to HK$7.85 per U.S. dollar or at all.</w:t>
      </w:r>
    </w:p>
    <w:p>
      <w:pPr>
        <w:spacing w:after="0" w:line="12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noon buying rate on March 29, 2013 in New York City for cable transfers in H.K. dollar per U.S. dollar, as certified for customs purposes by the H.10 weekly statistical release of the Federal Reserve Board of the United States, or the Federal Reserve Board, was HK$7.7629 to US$1.00. On May 17, 2013, the noon buying rate was HK$7.7627 to US$1.00. We make no representation that any H.K. dollar or U.S. dollar amounts could have been, or could be, converted into U.S. dollars or H.K. dollars, as the case may be, at any particular rate or at all.</w:t>
      </w:r>
    </w:p>
    <w:p>
      <w:pPr>
        <w:spacing w:after="0" w:line="113"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The Pataca is pegged to the H.K. dollar at a rate of HK$1.00 = MOP1.03. All translations from Patacas to U.S. dollars in this quarterly report were made at the exchange rate of MOP8.0134 = US$1.00. The Federal Reserve Board does not certify for customs purposes a noon buying rate for cable transfers in Patacas.</w:t>
      </w: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CONDITION AND RESULTS OF OPERATIONS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following discussion should be read in connection with our unaudited condensed consolidated financial statements included elsewhere in this quarterly report. Our unaudited condensed consolidated financial statements have been prepared in accordance with U.S. GAAP. The historical results are not necessarily indicative of the results of operations to be expected in the future. Certain statements in this “Financial Condition and Results of Operations” are forward-looking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Financial Results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first quarter of 2013, our total net revenues were US$1.15 billion, an increase of 11.3% from US$1.04 billion of net revenues for the first quarter of</w:t>
      </w:r>
    </w:p>
    <w:p>
      <w:pPr>
        <w:spacing w:after="0" w:line="38"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2012. Net income for the first quarter of 2013 was US$103.4 million, as compared to US$133.4 million for the first quarter of 2012. The increase in total net revenues was primarily attributable to higher group-wide rolling chip volumes and mass market gross gaming revenues, partially offset by a lower group-wide rolling chip win rate.</w:t>
      </w:r>
    </w:p>
    <w:p>
      <w:pPr>
        <w:spacing w:after="0" w:line="14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a U.S. GAAP basis, net income for the first quarter of 2013 was US$103.4 million, compared with net income of US$133.4 million in the first quarter of 2012. The year-over-year decrease in net income was primarily attributable to the one-off charge on the extinguishment and modification of debt relating to the refinancing of the 2010 Senior Notes, partially offset by strong growth in underlying operating performance.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summarizes the results of our operations: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240" w:type="dxa"/>
            <w:vAlign w:val="bottom"/>
            <w:gridSpan w:val="3"/>
          </w:tcPr>
          <w:p>
            <w:pPr>
              <w:jc w:val="right"/>
              <w:ind w:right="216"/>
              <w:spacing w:after="0"/>
              <w:rPr>
                <w:sz w:val="20"/>
                <w:szCs w:val="20"/>
                <w:color w:val="auto"/>
              </w:rPr>
            </w:pPr>
            <w:r>
              <w:rPr>
                <w:rFonts w:ascii="Arial" w:cs="Arial" w:eastAsia="Arial" w:hAnsi="Arial"/>
                <w:sz w:val="14"/>
                <w:szCs w:val="14"/>
                <w:b w:val="1"/>
                <w:bCs w:val="1"/>
                <w:color w:val="auto"/>
                <w:w w:val="92"/>
              </w:rPr>
              <w:t>Three Months Ended March 31,</w:t>
            </w:r>
          </w:p>
        </w:tc>
      </w:tr>
      <w:tr>
        <w:trPr>
          <w:trHeight w:val="149"/>
        </w:trPr>
        <w:tc>
          <w:tcPr>
            <w:tcW w:w="33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20" w:type="dxa"/>
            <w:vAlign w:val="bottom"/>
          </w:tcPr>
          <w:p>
            <w:pPr>
              <w:jc w:val="right"/>
              <w:ind w:right="501"/>
              <w:spacing w:after="0" w:line="149" w:lineRule="exact"/>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12"/>
                <w:szCs w:val="12"/>
                <w:color w:val="auto"/>
              </w:rPr>
            </w:pPr>
          </w:p>
        </w:tc>
        <w:tc>
          <w:tcPr>
            <w:tcW w:w="860" w:type="dxa"/>
            <w:vAlign w:val="bottom"/>
          </w:tcPr>
          <w:p>
            <w:pPr>
              <w:jc w:val="right"/>
              <w:ind w:right="336"/>
              <w:spacing w:after="0" w:line="149" w:lineRule="exact"/>
              <w:rPr>
                <w:sz w:val="20"/>
                <w:szCs w:val="20"/>
                <w:color w:val="auto"/>
              </w:rPr>
            </w:pPr>
            <w:r>
              <w:rPr>
                <w:rFonts w:ascii="Arial" w:cs="Arial" w:eastAsia="Arial" w:hAnsi="Arial"/>
                <w:sz w:val="14"/>
                <w:szCs w:val="14"/>
                <w:b w:val="1"/>
                <w:bCs w:val="1"/>
                <w:color w:val="auto"/>
              </w:rPr>
              <w:t>2012</w:t>
            </w:r>
          </w:p>
        </w:tc>
      </w:tr>
      <w:tr>
        <w:trPr>
          <w:trHeight w:val="161"/>
        </w:trPr>
        <w:tc>
          <w:tcPr>
            <w:tcW w:w="33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240" w:type="dxa"/>
            <w:vAlign w:val="bottom"/>
            <w:gridSpan w:val="3"/>
          </w:tcPr>
          <w:p>
            <w:pPr>
              <w:jc w:val="right"/>
              <w:ind w:right="516"/>
              <w:spacing w:after="0"/>
              <w:rPr>
                <w:sz w:val="20"/>
                <w:szCs w:val="20"/>
                <w:color w:val="auto"/>
              </w:rPr>
            </w:pPr>
            <w:r>
              <w:rPr>
                <w:rFonts w:ascii="Arial" w:cs="Arial" w:eastAsia="Arial" w:hAnsi="Arial"/>
                <w:sz w:val="14"/>
                <w:szCs w:val="14"/>
                <w:b w:val="1"/>
                <w:bCs w:val="1"/>
                <w:color w:val="auto"/>
              </w:rPr>
              <w:t>(In thousands of US$)</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3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w w:val="89"/>
              </w:rPr>
              <w:t>1,154,051</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89"/>
              </w:rPr>
              <w:t>1,036,917</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Total operating costs and expenses</w:t>
            </w:r>
          </w:p>
        </w:tc>
        <w:tc>
          <w:tcPr>
            <w:tcW w:w="30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61"/>
              <w:spacing w:after="0"/>
              <w:rPr>
                <w:sz w:val="20"/>
                <w:szCs w:val="20"/>
                <w:color w:val="auto"/>
              </w:rPr>
            </w:pPr>
            <w:r>
              <w:rPr>
                <w:rFonts w:ascii="Arial" w:cs="Arial" w:eastAsia="Arial" w:hAnsi="Arial"/>
                <w:sz w:val="18"/>
                <w:szCs w:val="18"/>
                <w:color w:val="auto"/>
                <w:w w:val="98"/>
              </w:rPr>
              <w:t>(966,506)</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(883,424)</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rPr>
              <w:t>187,545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153,493</w:t>
            </w:r>
          </w:p>
        </w:tc>
      </w:tr>
      <w:tr>
        <w:trPr>
          <w:trHeight w:val="222"/>
        </w:trPr>
        <w:tc>
          <w:tcPr>
            <w:tcW w:w="3360" w:type="dxa"/>
            <w:vAlign w:val="bottom"/>
          </w:tcPr>
          <w:p>
            <w:pPr>
              <w:spacing w:after="0"/>
              <w:rPr>
                <w:sz w:val="20"/>
                <w:szCs w:val="20"/>
                <w:color w:val="auto"/>
              </w:rPr>
            </w:pPr>
            <w:r>
              <w:rPr>
                <w:rFonts w:ascii="Arial" w:cs="Arial" w:eastAsia="Arial" w:hAnsi="Arial"/>
                <w:sz w:val="18"/>
                <w:szCs w:val="18"/>
                <w:color w:val="auto"/>
              </w:rPr>
              <w:t>Net income</w:t>
            </w:r>
          </w:p>
        </w:tc>
        <w:tc>
          <w:tcPr>
            <w:tcW w:w="30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01"/>
              <w:spacing w:after="0"/>
              <w:rPr>
                <w:sz w:val="20"/>
                <w:szCs w:val="20"/>
                <w:color w:val="auto"/>
              </w:rPr>
            </w:pPr>
            <w:r>
              <w:rPr>
                <w:rFonts w:ascii="Arial" w:cs="Arial" w:eastAsia="Arial" w:hAnsi="Arial"/>
                <w:sz w:val="18"/>
                <w:szCs w:val="18"/>
                <w:color w:val="auto"/>
              </w:rPr>
              <w:t>103,397</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133,357</w:t>
            </w:r>
          </w:p>
        </w:tc>
      </w:tr>
      <w:tr>
        <w:trPr>
          <w:trHeight w:val="356"/>
        </w:trPr>
        <w:tc>
          <w:tcPr>
            <w:tcW w:w="3360" w:type="dxa"/>
            <w:vAlign w:val="bottom"/>
          </w:tcPr>
          <w:p>
            <w:pPr>
              <w:spacing w:after="0"/>
              <w:rPr>
                <w:sz w:val="24"/>
                <w:szCs w:val="24"/>
                <w:color w:val="auto"/>
              </w:rPr>
            </w:pPr>
          </w:p>
        </w:tc>
        <w:tc>
          <w:tcPr>
            <w:tcW w:w="3080" w:type="dxa"/>
            <w:vAlign w:val="bottom"/>
          </w:tcPr>
          <w:p>
            <w:pPr>
              <w:jc w:val="right"/>
              <w:ind w:right="1972"/>
              <w:spacing w:after="0"/>
              <w:rPr>
                <w:sz w:val="20"/>
                <w:szCs w:val="20"/>
                <w:color w:val="auto"/>
              </w:rPr>
            </w:pPr>
            <w:r>
              <w:rPr>
                <w:rFonts w:ascii="Arial" w:cs="Arial" w:eastAsia="Arial" w:hAnsi="Arial"/>
                <w:sz w:val="18"/>
                <w:szCs w:val="18"/>
                <w:color w:val="auto"/>
              </w:rPr>
              <w:t>7</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380"/>
          </w:cols>
          <w:pgMar w:left="240" w:top="274" w:right="2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City of Dreams First Quarter Results</w:t>
      </w:r>
    </w:p>
    <w:p>
      <w:pPr>
        <w:spacing w:after="0" w:line="96"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For the first quarter of 2013, net revenue at City of Dreams was US$837.9 million compared to US$717.9 million in the first quarter of 2012. The significant year-over-year improvement in net revenue was primarily a result of substantial growth in mass market table games volumes and improved mass market table games hold percentage together with strong growth in rolling chip volumes, partially offset by a lower rolling chip win rate.</w:t>
      </w:r>
    </w:p>
    <w:p>
      <w:pPr>
        <w:spacing w:after="0" w:line="10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Rolling chip volume totaled US$23.8 billion for the first quarter of 2013, up 23.9% from US$19.2 billion in the first quarter of 2012, and the rolling chip win rate was 2.7% in the first quarter of 2013 versus 3.0% in the first quarter of 2012. The expected rolling chip win rate range is 2.7%–3.0%.</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Mass market table games drop increased 20.0% to US$1,038.4 million compared with US$865.3 million in the first quarter of 2012. The mass market table games hold percentage was 32.5% in the first quarter of 2013, an increase from 28.8% in the same period last year.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Slot handle for the first quarter of 2013 was US$1,026.6 million, up 49.9% from US$685.0 million generated in the first quarter of 2012.</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Total non-gaming revenue at City of Dreams in the first quarter of 2013 was US$65.2 million, up from US$59.5 million in the first quarter of 2012. Occupancy per available room in the first quarter of 2013 was 95% versus 91% in the first quarter of 2012. The average daily rate (“</w:t>
      </w:r>
      <w:r>
        <w:rPr>
          <w:rFonts w:ascii="Arial" w:cs="Arial" w:eastAsia="Arial" w:hAnsi="Arial"/>
          <w:sz w:val="18"/>
          <w:szCs w:val="18"/>
          <w:b w:val="1"/>
          <w:bCs w:val="1"/>
          <w:color w:val="auto"/>
        </w:rPr>
        <w:t>ADR</w:t>
      </w:r>
      <w:r>
        <w:rPr>
          <w:rFonts w:ascii="Arial" w:cs="Arial" w:eastAsia="Arial" w:hAnsi="Arial"/>
          <w:sz w:val="18"/>
          <w:szCs w:val="18"/>
          <w:color w:val="auto"/>
        </w:rPr>
        <w:t>”) in the first quarter of 2013 was US$192 per occupied room, which compares with US$189 in the first quarter of 2012.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Altira Macau First Quarter Results</w:t>
      </w:r>
    </w:p>
    <w:p>
      <w:pPr>
        <w:spacing w:after="0" w:line="96" w:lineRule="exact"/>
        <w:rPr>
          <w:sz w:val="20"/>
          <w:szCs w:val="20"/>
          <w:color w:val="auto"/>
        </w:rPr>
      </w:pPr>
    </w:p>
    <w:p>
      <w:pPr>
        <w:ind w:right="820" w:firstLine="456"/>
        <w:spacing w:after="0" w:line="332" w:lineRule="auto"/>
        <w:rPr>
          <w:sz w:val="20"/>
          <w:szCs w:val="20"/>
          <w:color w:val="auto"/>
        </w:rPr>
      </w:pPr>
      <w:r>
        <w:rPr>
          <w:rFonts w:ascii="Arial" w:cs="Arial" w:eastAsia="Arial" w:hAnsi="Arial"/>
          <w:sz w:val="16"/>
          <w:szCs w:val="16"/>
          <w:color w:val="auto"/>
        </w:rPr>
        <w:t>For the first quarter of 2013, net revenue at Altira Macau was US$265.2 million versus US$261.1 million in the first quarter of 2012. The slight improvement in net revenue was a result of improved rolling chip volumes, partially offset by a lower rolling chip win rate.</w:t>
      </w:r>
    </w:p>
    <w:p>
      <w:pPr>
        <w:spacing w:after="0" w:line="85"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Rolling chip volume totaled US$11.8 billion in the first quarter of 2013 versus US$10.9 billion in the first quarter of 2012. In the first quarter of 2013, the rolling chip win rate was 2.9%, as compared to 3.1% for the same period a year ago. The expected rolling chip win rate range is 2.7%–3.0%.</w:t>
      </w:r>
    </w:p>
    <w:p>
      <w:pPr>
        <w:spacing w:after="0" w:line="85"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the mass market table games segment, drop totaled US$164.8 million in the first quarter of 2013, an increase of 9.6% from US$150.4 million generated in the comparable period in 2012. The mass market table games hold percentage was 15.0% in the first quarter of 2013 compared with 17.1% in the first quarter of last year.</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Total non-gaming revenue at Altira Macau in the first quarter of 2013 was US$9.2 million, up from US$8.6 million in the first quarter of 2012. Occupancy per available room in the first quarter of 2013 was 99%, as compared with 97% with the comparable period in 2012. ADR was US$232 per occupied room, compared to US$225 in the first quarter of 2012.</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Mocha Clubs First Quarter Results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revenue from Mocha Clubs totaled US$34.0 million in the first quarter of 2013, down from US$37.3 million in the first quarter of 2012.</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number of gaming machines in operation at Mocha Clubs averaged approximately 2,000 in the first quarter of 2013, compared to approximately 2,100 in the comparable period in 2012. The net win per gaming machine per day was US$214 in the first quarter of 2013, as compared with US$194 in the same period in 2012, an increase of 10.5%.</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Factors Affecting Earnings</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Total non-operating expense for the first quarter of 2013 was US$84.3 million, which included US$17.9 million in net interest expense, other finance costs of US$3.8 million, and a US$60.8 million one-off charge associated with the extinguishment and modification of debt relating to the refinancing of 2010 Senior Notes. Non-operating expense also included a foreign exchange loss of US$1.9 million, compared to a foreign exchange gain of US$2.1 million in the comparable period of 2012. The year-on-year increase in non-operating expenses of US$64.1 million was predominantly due to the one-off costs associated with the extinguishment and modification of debt and the foreign exchange loss during the first quarter of 2013.</w:t>
      </w:r>
    </w:p>
    <w:p>
      <w:pPr>
        <w:spacing w:after="0" w:line="116"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Depreciation and amortization costs of US$82.3 million were recorded in the first quarter of 2013, of which US$14.3 million was related to the amortization of our gaming sub-concession and US$5.0 million was related to the amortization of land use rights.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have relied and intend to rely on our cash generated from our operations and our debt and equity financings to meet our financing needs and repay our indebtedness, as the case may be.</w:t>
      </w:r>
    </w:p>
    <w:p>
      <w:pPr>
        <w:spacing w:after="0" w:line="132"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As of March 31, 2013, we held cash and cash equivalents of approximately US$1,264.7 million and HK$3.12 billion (equivalent to approximately US$401.1 million) of the 2011 Credit Facilities remained available for future drawdown.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Cash Flows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cash flows for the periods indicated:</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2"/>
              </w:rPr>
              <w:t>Three Months Ended March 31,</w:t>
            </w:r>
          </w:p>
        </w:tc>
      </w:tr>
      <w:tr>
        <w:trPr>
          <w:trHeight w:val="149"/>
        </w:trPr>
        <w:tc>
          <w:tcPr>
            <w:tcW w:w="6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219"/>
              <w:spacing w:after="0" w:line="149"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215"/>
              <w:spacing w:after="0" w:line="149"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r>
      <w:tr>
        <w:trPr>
          <w:trHeight w:val="161"/>
        </w:trPr>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(In thousands of US$)</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220,594</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245,218</w:t>
            </w:r>
          </w:p>
        </w:tc>
        <w:tc>
          <w:tcPr>
            <w:tcW w:w="12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(542,127)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(83,569)</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69,248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2,629</w:t>
            </w:r>
          </w:p>
        </w:tc>
        <w:tc>
          <w:tcPr>
            <w:tcW w:w="120" w:type="dxa"/>
            <w:vAlign w:val="bottom"/>
            <w:shd w:val="clear" w:color="auto" w:fill="CCEEFF"/>
          </w:tcPr>
          <w:p>
            <w:pPr>
              <w:spacing w:after="0"/>
              <w:rPr>
                <w:sz w:val="18"/>
                <w:szCs w:val="18"/>
                <w:color w:val="auto"/>
              </w:rPr>
            </w:pPr>
          </w:p>
        </w:tc>
      </w:tr>
      <w:tr>
        <w:trPr>
          <w:trHeight w:val="221"/>
        </w:trPr>
        <w:tc>
          <w:tcPr>
            <w:tcW w:w="634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(252,285)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164,278</w:t>
            </w:r>
          </w:p>
        </w:tc>
        <w:tc>
          <w:tcPr>
            <w:tcW w:w="120" w:type="dxa"/>
            <w:vAlign w:val="bottom"/>
          </w:tcPr>
          <w:p>
            <w:pPr>
              <w:spacing w:after="0"/>
              <w:rPr>
                <w:sz w:val="19"/>
                <w:szCs w:val="19"/>
                <w:color w:val="auto"/>
              </w:rPr>
            </w:pPr>
          </w:p>
        </w:tc>
      </w:tr>
      <w:tr>
        <w:trPr>
          <w:trHeight w:val="218"/>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1,516,952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1,014,033</w:t>
            </w:r>
          </w:p>
        </w:tc>
        <w:tc>
          <w:tcPr>
            <w:tcW w:w="120" w:type="dxa"/>
            <w:vAlign w:val="bottom"/>
            <w:shd w:val="clear" w:color="auto" w:fill="CCEEFF"/>
          </w:tcPr>
          <w:p>
            <w:pPr>
              <w:spacing w:after="0"/>
              <w:rPr>
                <w:sz w:val="18"/>
                <w:szCs w:val="18"/>
                <w:color w:val="auto"/>
              </w:rPr>
            </w:pPr>
          </w:p>
        </w:tc>
      </w:tr>
      <w:tr>
        <w:trPr>
          <w:trHeight w:val="222"/>
        </w:trPr>
        <w:tc>
          <w:tcPr>
            <w:tcW w:w="634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1,264,667</w:t>
            </w:r>
          </w:p>
        </w:tc>
        <w:tc>
          <w:tcPr>
            <w:tcW w:w="280" w:type="dxa"/>
            <w:vAlign w:val="bottom"/>
          </w:tcPr>
          <w:p>
            <w:pPr>
              <w:spacing w:after="0"/>
              <w:rPr>
                <w:sz w:val="19"/>
                <w:szCs w:val="19"/>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1,178,311</w:t>
            </w:r>
          </w:p>
        </w:tc>
        <w:tc>
          <w:tcPr>
            <w:tcW w:w="12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Operating cash flows are generally affected by changes in operating income and accounts receivable with VIP table games play and hotel operations conducted on a cash and credit basis and the remainder of the business, including mass market table games play, slot machine play, food and beverage, and entertainment, conducted primarily on a cash basis.</w:t>
      </w:r>
    </w:p>
    <w:p>
      <w:pPr>
        <w:spacing w:after="0" w:line="140"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Net cash provided by operating activities was US$220.6 million for the first quarter of 2013, compared to US$245.2 million for the first quarter of 2012. The decrease in net cash provided by operating activities was mainly attributable to an increased working capital for City of Dreams and Alitra Macau, partially offset by increased gaming volume and associated increase in revenues as described in the foregoing section.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Net cash used in investing activities was US$542.1 million for the first quarter of 2013, compared to net cash used in investing activities of US$83.6 million for the first quarter of 2012.</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advance to the Parent amounted to US$501.5 million for the first quarter of 2013.</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total capital expenditure payments for the first quarter of 2013 were US$28.5 million. Such expenditures were mainly associated with enhancements to our integrated resort offerings. We also paid US$8.3 million for the scheduled installment of City of Dreams’ land premium payment during the first quarter of 2013.</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advance to the Parent amounted to US$50.0 million for the first quarter of 2012.</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Our total capital expenditure payments for the first quarter of 2012 were US$22.2 million. We also paid US$7.9 million for the scheduled installment of City of Dreams’ land premium payment during the first quarter of 2012.</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Financing Activities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Net cash provided by financing activities amounted to US$69.2 million for the first quarter of 2013, primarily from proceeds of the issuance of 2013 Senior Notes of US$1.0 billion, partially offset by the early redemption of 2010 Senior Notes and the associated redemption costs of US$102.5 million, the repayment of the drawn revolving credit facility under 2011 Credit facilities of US$212.5 million, and the payment of debt issuance cost associated with 2013 Senior Notes of US$15.8 million.</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Net cash provided by financing activities amounted to US$2.6 million for the first quarter of 2012, primarily due to the advance from the Parent of US$2.5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our indebtedness as of March 31, 2013:</w:t>
      </w:r>
    </w:p>
    <w:p>
      <w:pPr>
        <w:sectPr>
          <w:pgSz w:w="11900" w:h="16838" w:orient="portrait"/>
          <w:cols w:equalWidth="0" w:num="1">
            <w:col w:w="11400"/>
          </w:cols>
          <w:pgMar w:left="240" w:top="28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2011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-111125</wp:posOffset>
            </wp:positionV>
            <wp:extent cx="49225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8"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2013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24130</wp:posOffset>
            </wp:positionV>
            <wp:extent cx="49225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1900"/>
        <w:spacing w:after="0"/>
        <w:rPr>
          <w:sz w:val="20"/>
          <w:szCs w:val="20"/>
          <w:color w:val="auto"/>
        </w:rPr>
      </w:pPr>
      <w:r>
        <w:rPr>
          <w:rFonts w:ascii="Arial" w:cs="Arial" w:eastAsia="Arial" w:hAnsi="Arial"/>
          <w:sz w:val="14"/>
          <w:szCs w:val="14"/>
          <w:b w:val="1"/>
          <w:bCs w:val="1"/>
          <w:color w:val="auto"/>
        </w:rPr>
        <w:t>As of March 31,</w:t>
      </w:r>
    </w:p>
    <w:p>
      <w:pPr>
        <w:jc w:val="center"/>
        <w:ind w:right="1900"/>
        <w:spacing w:after="0" w:line="223" w:lineRule="auto"/>
        <w:rPr>
          <w:sz w:val="20"/>
          <w:szCs w:val="20"/>
          <w:color w:val="auto"/>
        </w:rPr>
      </w:pPr>
      <w:r>
        <w:rPr>
          <w:rFonts w:ascii="Arial" w:cs="Arial" w:eastAsia="Arial" w:hAnsi="Arial"/>
          <w:sz w:val="14"/>
          <w:szCs w:val="14"/>
          <w:b w:val="1"/>
          <w:bCs w:val="1"/>
          <w:color w:val="auto"/>
        </w:rPr>
        <w:t>2013</w:t>
      </w:r>
    </w:p>
    <w:p>
      <w:pPr>
        <w:spacing w:after="0" w:line="1" w:lineRule="exact"/>
        <w:rPr>
          <w:sz w:val="20"/>
          <w:szCs w:val="20"/>
          <w:color w:val="auto"/>
        </w:rPr>
      </w:pPr>
    </w:p>
    <w:p>
      <w:pPr>
        <w:jc w:val="center"/>
        <w:ind w:right="1900"/>
        <w:spacing w:after="0"/>
        <w:rPr>
          <w:sz w:val="20"/>
          <w:szCs w:val="20"/>
          <w:color w:val="auto"/>
        </w:rPr>
      </w:pPr>
      <w:r>
        <w:rPr>
          <w:rFonts w:ascii="Arial" w:cs="Arial" w:eastAsia="Arial" w:hAnsi="Arial"/>
          <w:sz w:val="12"/>
          <w:szCs w:val="12"/>
          <w:b w:val="1"/>
          <w:bCs w:val="1"/>
          <w:color w:val="auto"/>
        </w:rPr>
        <w:t>(In thousands of US$)</w:t>
      </w:r>
    </w:p>
    <w:p>
      <w:pPr>
        <w:spacing w:after="0" w:line="15" w:lineRule="exact"/>
        <w:rPr>
          <w:sz w:val="20"/>
          <w:szCs w:val="20"/>
          <w:color w:val="auto"/>
        </w:rPr>
      </w:pPr>
    </w:p>
    <w:p>
      <w:pPr>
        <w:ind w:left="700" w:hanging="694"/>
        <w:spacing w:after="0"/>
        <w:tabs>
          <w:tab w:leader="none" w:pos="700" w:val="left"/>
        </w:tabs>
        <w:numPr>
          <w:ilvl w:val="0"/>
          <w:numId w:val="2"/>
        </w:numPr>
        <w:rPr>
          <w:rFonts w:ascii="Arial" w:cs="Arial" w:eastAsia="Arial" w:hAnsi="Arial"/>
          <w:sz w:val="16"/>
          <w:szCs w:val="16"/>
          <w:color w:val="auto"/>
        </w:rPr>
      </w:pPr>
      <w:r>
        <w:rPr>
          <w:rFonts w:ascii="Arial" w:cs="Arial" w:eastAsia="Arial" w:hAnsi="Arial"/>
          <w:sz w:val="16"/>
          <w:szCs w:val="16"/>
          <w:color w:val="auto"/>
        </w:rPr>
        <w:t>802,242</w:t>
      </w:r>
    </w:p>
    <w:p>
      <w:pPr>
        <w:spacing w:after="0" w:line="24"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5"/>
          <w:szCs w:val="15"/>
          <w:color w:val="auto"/>
        </w:rPr>
        <w:t>1,000,000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29210</wp:posOffset>
            </wp:positionV>
            <wp:extent cx="8058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44" w:lineRule="exact"/>
        <w:rPr>
          <w:sz w:val="20"/>
          <w:szCs w:val="20"/>
          <w:color w:val="auto"/>
        </w:rPr>
      </w:pPr>
    </w:p>
    <w:p>
      <w:pPr>
        <w:ind w:left="580" w:hanging="574"/>
        <w:spacing w:after="0"/>
        <w:tabs>
          <w:tab w:leader="none" w:pos="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1,802,242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33020</wp:posOffset>
            </wp:positionV>
            <wp:extent cx="8058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50165</wp:posOffset>
            </wp:positionV>
            <wp:extent cx="8058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00" w:space="720"/>
            <w:col w:w="3180"/>
          </w:cols>
          <w:pgMar w:left="240" w:top="280" w:right="259" w:bottom="1440" w:gutter="0" w:footer="0" w:header="0"/>
          <w:type w:val="continuous"/>
        </w:sectPr>
      </w:pPr>
    </w:p>
    <w:p>
      <w:pPr>
        <w:spacing w:after="0" w:line="6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January 2013, we commenced a cash tender offer of the 2010 Senior Notes and repurchased approximately US$599.1 million aggregate principal amount of the 2010 Senior Notes. On March 28, 2013, we redeemed all of the remaining 2010 Senior Notes, following which, the 2010 Senior Notes were cancelled in late March 2013. No 2010 Senior Notes are currently outstanding. A portion of the proceeds from the 2013 Senior Notes offering was used for the cash tender offer and redemption of the 2010 Senior Notes. Prior to such cash tender offer and full redemption, the company had completed a consent solicitation process in connection with the 2010 Senior Notes in October 2012 and paid approximately US$15.0 million to the holders who had validly delivered the relevant consent, which was capitalized as deferred financing cost.</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February 7, 2013, we issued US$1.0 billion aggregate principal amount of 2013 Senior Notes with an interest rate of 5.00% per annum and the maturity date of February 15, 2021. 2013 Senior Notes were priced at par and listed on the Official List of the SGX-ST. The net proceeds were partly used to repurchase the 2010 Senior Notes in full.</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late March 2013, we repaid the drawn revolving credit facility under the 2011 Credit Facilities of HK$1.7 billion (equivalent to approximately US$212.5 million) in full.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type w:val="continuous"/>
        </w:sectPr>
      </w:pPr>
    </w:p>
    <w:bookmarkStart w:id="17" w:name="page18"/>
    <w:bookmarkEnd w:id="17"/>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MCE Finance Limited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Unaudited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Three Months Ended March 31, 2013</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980" w:type="dxa"/>
            <w:vAlign w:val="bottom"/>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6"/>
              </w:rPr>
              <w:t>Page</w:t>
            </w:r>
          </w:p>
        </w:tc>
      </w:tr>
      <w:tr>
        <w:trPr>
          <w:trHeight w:val="303"/>
        </w:trPr>
        <w:tc>
          <w:tcPr>
            <w:tcW w:w="10980" w:type="dxa"/>
            <w:vAlign w:val="bottom"/>
          </w:tcPr>
          <w:p>
            <w:pPr>
              <w:spacing w:after="0"/>
              <w:rPr>
                <w:sz w:val="20"/>
                <w:szCs w:val="20"/>
                <w:color w:val="auto"/>
              </w:rPr>
            </w:pPr>
            <w:r>
              <w:rPr>
                <w:rFonts w:ascii="Arial" w:cs="Arial" w:eastAsia="Arial" w:hAnsi="Arial"/>
                <w:sz w:val="18"/>
                <w:szCs w:val="18"/>
                <w:color w:val="auto"/>
              </w:rPr>
              <w:t>Unaudited MCE Finance Limited Condensed Consolidated Financial Statements</w:t>
            </w:r>
          </w:p>
        </w:tc>
        <w:tc>
          <w:tcPr>
            <w:tcW w:w="34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324"/>
        </w:trPr>
        <w:tc>
          <w:tcPr>
            <w:tcW w:w="10980" w:type="dxa"/>
            <w:vAlign w:val="bottom"/>
          </w:tcPr>
          <w:p>
            <w:pPr>
              <w:spacing w:after="0"/>
              <w:rPr>
                <w:sz w:val="20"/>
                <w:szCs w:val="20"/>
                <w:color w:val="auto"/>
              </w:rPr>
            </w:pPr>
            <w:r>
              <w:rPr>
                <w:rFonts w:ascii="Arial" w:cs="Arial" w:eastAsia="Arial" w:hAnsi="Arial"/>
                <w:sz w:val="18"/>
                <w:szCs w:val="18"/>
                <w:color w:val="auto"/>
              </w:rPr>
              <w:t>Unaudited MCE Finance Limited - Restricted Subsidiaries Group Condensed Consolidated Financial Statements</w:t>
            </w:r>
          </w:p>
        </w:tc>
        <w:tc>
          <w:tcPr>
            <w:tcW w:w="34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318"/>
        </w:trPr>
        <w:tc>
          <w:tcPr>
            <w:tcW w:w="10980" w:type="dxa"/>
            <w:vAlign w:val="bottom"/>
          </w:tcPr>
          <w:p>
            <w:pPr>
              <w:spacing w:after="0"/>
              <w:rPr>
                <w:sz w:val="20"/>
                <w:szCs w:val="20"/>
                <w:color w:val="auto"/>
              </w:rPr>
            </w:pPr>
            <w:r>
              <w:rPr>
                <w:rFonts w:ascii="Arial" w:cs="Arial" w:eastAsia="Arial" w:hAnsi="Arial"/>
                <w:sz w:val="18"/>
                <w:szCs w:val="18"/>
                <w:color w:val="auto"/>
                <w:w w:val="93"/>
              </w:rPr>
              <w:t>Unaudited Reconciliation of Financial Condition and Results of Operations of MCE Finance Limited - Restricted Subsidiaries Group to MCE Finance</w:t>
            </w:r>
          </w:p>
        </w:tc>
        <w:tc>
          <w:tcPr>
            <w:tcW w:w="340" w:type="dxa"/>
            <w:vAlign w:val="bottom"/>
          </w:tcPr>
          <w:p>
            <w:pPr>
              <w:spacing w:after="0"/>
              <w:rPr>
                <w:sz w:val="24"/>
                <w:szCs w:val="24"/>
                <w:color w:val="auto"/>
              </w:rPr>
            </w:pPr>
          </w:p>
        </w:tc>
      </w:tr>
      <w:tr>
        <w:trPr>
          <w:trHeight w:val="222"/>
        </w:trPr>
        <w:tc>
          <w:tcPr>
            <w:tcW w:w="10980" w:type="dxa"/>
            <w:vAlign w:val="bottom"/>
          </w:tcPr>
          <w:p>
            <w:pPr>
              <w:ind w:left="220"/>
              <w:spacing w:after="0"/>
              <w:rPr>
                <w:sz w:val="20"/>
                <w:szCs w:val="20"/>
                <w:color w:val="auto"/>
              </w:rPr>
            </w:pPr>
            <w:r>
              <w:rPr>
                <w:rFonts w:ascii="Arial" w:cs="Arial" w:eastAsia="Arial" w:hAnsi="Arial"/>
                <w:sz w:val="18"/>
                <w:szCs w:val="18"/>
                <w:color w:val="auto"/>
              </w:rPr>
              <w:t>Limited</w:t>
            </w:r>
          </w:p>
        </w:tc>
        <w:tc>
          <w:tcPr>
            <w:tcW w:w="34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365"/>
        </w:trPr>
        <w:tc>
          <w:tcPr>
            <w:tcW w:w="10980" w:type="dxa"/>
            <w:vAlign w:val="bottom"/>
          </w:tcPr>
          <w:p>
            <w:pPr>
              <w:ind w:left="5600"/>
              <w:spacing w:after="0"/>
              <w:rPr>
                <w:sz w:val="20"/>
                <w:szCs w:val="20"/>
                <w:color w:val="auto"/>
              </w:rPr>
            </w:pPr>
            <w:r>
              <w:rPr>
                <w:rFonts w:ascii="Arial" w:cs="Arial" w:eastAsia="Arial" w:hAnsi="Arial"/>
                <w:sz w:val="18"/>
                <w:szCs w:val="18"/>
                <w:color w:val="auto"/>
              </w:rPr>
              <w:t>F-1</w:t>
            </w:r>
          </w:p>
        </w:tc>
        <w:tc>
          <w:tcPr>
            <w:tcW w:w="340" w:type="dxa"/>
            <w:vAlign w:val="bottom"/>
          </w:tcPr>
          <w:p>
            <w:pPr>
              <w:spacing w:after="0"/>
              <w:rPr>
                <w:sz w:val="24"/>
                <w:szCs w:val="24"/>
                <w:color w:val="auto"/>
              </w:rPr>
            </w:pPr>
          </w:p>
        </w:tc>
      </w:tr>
    </w:tbl>
    <w:p>
      <w:pPr>
        <w:sectPr>
          <w:pgSz w:w="11900" w:h="16838" w:orient="portrait"/>
          <w:cols w:equalWidth="0" w:num="1">
            <w:col w:w="11320"/>
          </w:cols>
          <w:pgMar w:left="240" w:top="274"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MCE Finance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920" w:type="dxa"/>
            <w:vAlign w:val="bottom"/>
          </w:tcPr>
          <w:p>
            <w:pPr>
              <w:spacing w:after="0"/>
              <w:rPr>
                <w:sz w:val="19"/>
                <w:szCs w:val="19"/>
                <w:color w:val="auto"/>
              </w:rPr>
            </w:pPr>
          </w:p>
        </w:tc>
        <w:tc>
          <w:tcPr>
            <w:tcW w:w="1960" w:type="dxa"/>
            <w:vAlign w:val="bottom"/>
            <w:gridSpan w:val="3"/>
          </w:tcPr>
          <w:p>
            <w:pPr>
              <w:ind w:left="20"/>
              <w:spacing w:after="0"/>
              <w:rPr>
                <w:sz w:val="20"/>
                <w:szCs w:val="20"/>
                <w:color w:val="auto"/>
              </w:rPr>
            </w:pPr>
            <w:r>
              <w:rPr>
                <w:rFonts w:ascii="Arial" w:cs="Arial" w:eastAsia="Arial" w:hAnsi="Arial"/>
                <w:sz w:val="18"/>
                <w:szCs w:val="18"/>
                <w:b w:val="1"/>
                <w:bCs w:val="1"/>
                <w:color w:val="auto"/>
              </w:rPr>
              <w:t>March 31, 2013</w:t>
            </w: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w w:val="92"/>
              </w:rPr>
              <w:t>December 31, 2012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1"/>
              </w:rPr>
              <w:t>(Unaudited)</w:t>
            </w:r>
          </w:p>
        </w:tc>
        <w:tc>
          <w:tcPr>
            <w:tcW w:w="7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9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1,264,667</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1,516,952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310,533</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320,929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affiliated companies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274,720</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17,815</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16,576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38,164</w:t>
            </w:r>
          </w:p>
        </w:tc>
        <w:tc>
          <w:tcPr>
            <w:tcW w:w="7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4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1,905,899</w:t>
            </w:r>
          </w:p>
        </w:tc>
        <w:tc>
          <w:tcPr>
            <w:tcW w:w="7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2,150,045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2,311,890</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2,343,180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GAMING SUBCONCESSION, NET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527,959</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542,268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4,220</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81,915</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81,915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LONG-TERM PREPAYMENTS, DEPOSITS AND OTHER ASSETS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68,127</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104,131</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42,957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LAND USE RIGHTS, NET</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412,170</w:t>
            </w:r>
          </w:p>
        </w:tc>
        <w:tc>
          <w:tcPr>
            <w:tcW w:w="7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391,419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5,416,311</w:t>
            </w:r>
          </w:p>
        </w:tc>
        <w:tc>
          <w:tcPr>
            <w:tcW w:w="78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5,621,441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9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10,841</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678,837</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692,551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Income tax payable</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192,538</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Amount due to shareholder</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19,604</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Amounts due to affiliated companies</w:t>
            </w:r>
          </w:p>
        </w:tc>
        <w:tc>
          <w:tcPr>
            <w:tcW w:w="120" w:type="dxa"/>
            <w:vAlign w:val="bottom"/>
          </w:tcPr>
          <w:p>
            <w:pPr>
              <w:spacing w:after="0"/>
              <w:rPr>
                <w:sz w:val="19"/>
                <w:szCs w:val="19"/>
                <w:color w:val="auto"/>
              </w:rPr>
            </w:pPr>
          </w:p>
        </w:tc>
        <w:tc>
          <w:tcPr>
            <w:tcW w:w="1840" w:type="dxa"/>
            <w:vAlign w:val="bottom"/>
            <w:gridSpan w:val="2"/>
          </w:tcPr>
          <w:p>
            <w:pPr>
              <w:jc w:val="right"/>
              <w:ind w:right="780"/>
              <w:spacing w:after="0"/>
              <w:rPr>
                <w:sz w:val="20"/>
                <w:szCs w:val="20"/>
                <w:color w:val="auto"/>
              </w:rPr>
            </w:pPr>
            <w:r>
              <w:rPr>
                <w:rFonts w:ascii="Arial" w:cs="Arial" w:eastAsia="Arial" w:hAnsi="Arial"/>
                <w:sz w:val="18"/>
                <w:szCs w:val="18"/>
                <w:color w:val="auto"/>
              </w:rPr>
              <w:t>11,411</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13,094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913,236</w:t>
            </w:r>
          </w:p>
        </w:tc>
        <w:tc>
          <w:tcPr>
            <w:tcW w:w="78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866,618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794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1,609,704</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1,480,337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6,009</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16,303</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LAND USE RIGHT PAYABLE</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14,608</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ADVANCE FROM SHAREHOLDER</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252,979</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752,113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 xml:space="preserve">Ordinary shares </w:t>
            </w:r>
            <w:r>
              <w:rPr>
                <w:rFonts w:ascii="Arial" w:cs="Arial" w:eastAsia="Arial" w:hAnsi="Arial"/>
                <w:sz w:val="11"/>
                <w:szCs w:val="11"/>
                <w:color w:val="auto"/>
              </w:rPr>
              <w:t>(1)</w:t>
            </w:r>
          </w:p>
        </w:tc>
        <w:tc>
          <w:tcPr>
            <w:tcW w:w="120" w:type="dxa"/>
            <w:vAlign w:val="bottom"/>
          </w:tcPr>
          <w:p>
            <w:pPr>
              <w:spacing w:after="0"/>
              <w:rPr>
                <w:sz w:val="18"/>
                <w:szCs w:val="18"/>
                <w:color w:val="auto"/>
              </w:rPr>
            </w:pPr>
          </w:p>
        </w:tc>
        <w:tc>
          <w:tcPr>
            <w:tcW w:w="184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2,261,725</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2,261,725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2,635</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339,112</w:t>
            </w:r>
          </w:p>
        </w:tc>
        <w:tc>
          <w:tcPr>
            <w:tcW w:w="7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2,603,472</w:t>
            </w:r>
          </w:p>
        </w:tc>
        <w:tc>
          <w:tcPr>
            <w:tcW w:w="7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5,416,311</w:t>
            </w:r>
          </w:p>
        </w:tc>
        <w:tc>
          <w:tcPr>
            <w:tcW w:w="7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5,621,441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4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authorized share capital of MCE Finance Limited was 5,000,000 shares of US$0.01 par value per share, as of March 31, 2013 and December 31, 2012, 1,202 shares of US$0.01 par value per share were issued and fully paid.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27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MCE Finance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w w:val="90"/>
              </w:rPr>
              <w:t>Three Months Ended March 31,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40" w:type="dxa"/>
            <w:vAlign w:val="bottom"/>
            <w:tcBorders>
              <w:bottom w:val="single" w:sz="8" w:color="CCEEFF"/>
            </w:tcBorders>
          </w:tcPr>
          <w:p>
            <w:pPr>
              <w:spacing w:after="0"/>
              <w:rPr>
                <w:sz w:val="19"/>
                <w:szCs w:val="19"/>
                <w:color w:val="auto"/>
              </w:rPr>
            </w:pPr>
          </w:p>
        </w:tc>
        <w:tc>
          <w:tcPr>
            <w:tcW w:w="39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2013</w:t>
            </w:r>
          </w:p>
        </w:tc>
        <w:tc>
          <w:tcPr>
            <w:tcW w:w="4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4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OPERATING REVENUES</w:t>
            </w:r>
          </w:p>
        </w:tc>
        <w:tc>
          <w:tcPr>
            <w:tcW w:w="3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Casino</w:t>
            </w:r>
          </w:p>
        </w:tc>
        <w:tc>
          <w:tcPr>
            <w:tcW w:w="4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1,110,443</w:t>
            </w:r>
          </w:p>
        </w:tc>
        <w:tc>
          <w:tcPr>
            <w:tcW w:w="46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990,872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31,193</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Food and beverage</w:t>
            </w: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20,260</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others</w:t>
            </w:r>
          </w:p>
        </w:tc>
        <w:tc>
          <w:tcPr>
            <w:tcW w:w="39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31,267</w:t>
            </w:r>
          </w:p>
        </w:tc>
        <w:tc>
          <w:tcPr>
            <w:tcW w:w="4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60" w:type="dxa"/>
            <w:vAlign w:val="bottom"/>
            <w:gridSpan w:val="2"/>
          </w:tcPr>
          <w:p>
            <w:pPr>
              <w:spacing w:after="0"/>
              <w:rPr>
                <w:sz w:val="20"/>
                <w:szCs w:val="20"/>
                <w:color w:val="auto"/>
              </w:rPr>
            </w:pPr>
            <w:r>
              <w:rPr>
                <w:rFonts w:ascii="Arial" w:cs="Arial" w:eastAsia="Arial" w:hAnsi="Arial"/>
                <w:sz w:val="18"/>
                <w:szCs w:val="18"/>
                <w:color w:val="auto"/>
              </w:rPr>
              <w:t>Gross revenues</w:t>
            </w:r>
          </w:p>
        </w:tc>
        <w:tc>
          <w:tcPr>
            <w:tcW w:w="3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1,193,163</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1,068,786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Less: promotional allowances</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(39,112)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(31,869)</w:t>
            </w:r>
          </w:p>
        </w:tc>
        <w:tc>
          <w:tcPr>
            <w:tcW w:w="0" w:type="dxa"/>
            <w:vAlign w:val="bottom"/>
          </w:tcPr>
          <w:p>
            <w:pPr>
              <w:spacing w:after="0"/>
              <w:rPr>
                <w:sz w:val="1"/>
                <w:szCs w:val="1"/>
                <w:color w:val="auto"/>
              </w:rPr>
            </w:pPr>
          </w:p>
        </w:tc>
      </w:tr>
      <w:tr>
        <w:trPr>
          <w:trHeight w:val="222"/>
        </w:trPr>
        <w:tc>
          <w:tcPr>
            <w:tcW w:w="4660" w:type="dxa"/>
            <w:vAlign w:val="bottom"/>
            <w:gridSpan w:val="2"/>
          </w:tcPr>
          <w:p>
            <w:pPr>
              <w:spacing w:after="0"/>
              <w:rPr>
                <w:sz w:val="20"/>
                <w:szCs w:val="20"/>
                <w:color w:val="auto"/>
              </w:rPr>
            </w:pPr>
            <w:r>
              <w:rPr>
                <w:rFonts w:ascii="Arial" w:cs="Arial" w:eastAsia="Arial" w:hAnsi="Arial"/>
                <w:sz w:val="18"/>
                <w:szCs w:val="18"/>
                <w:color w:val="auto"/>
              </w:rPr>
              <w:t>Net revenues</w:t>
            </w:r>
          </w:p>
        </w:tc>
        <w:tc>
          <w:tcPr>
            <w:tcW w:w="39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1,154,051</w:t>
            </w:r>
          </w:p>
        </w:tc>
        <w:tc>
          <w:tcPr>
            <w:tcW w:w="4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1,036,917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64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Casino</w:t>
            </w: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(790,095)</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(702,930)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(3,128)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Food and beverage</w:t>
            </w: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(8,017)</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others</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(15,979)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(66,757)</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(64,615)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Amortization of gaming subconcession</w:t>
            </w: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(14,309)</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land use rights</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(5,042)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(62,955)</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(66,331)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Property charges and others</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(3,169)</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Total operating costs and expenses</w:t>
            </w:r>
          </w:p>
        </w:tc>
        <w:tc>
          <w:tcPr>
            <w:tcW w:w="3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60" w:type="dxa"/>
            <w:vAlign w:val="bottom"/>
            <w:gridSpan w:val="2"/>
            <w:vMerge w:val="continue"/>
          </w:tcPr>
          <w:p>
            <w:pPr>
              <w:spacing w:after="0"/>
              <w:rPr>
                <w:sz w:val="20"/>
                <w:szCs w:val="20"/>
                <w:color w:val="auto"/>
              </w:rPr>
            </w:pPr>
          </w:p>
        </w:tc>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(966,506)</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(883,424)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9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187,545</w:t>
            </w:r>
          </w:p>
        </w:tc>
        <w:tc>
          <w:tcPr>
            <w:tcW w:w="46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4660" w:type="dxa"/>
            <w:vAlign w:val="bottom"/>
            <w:gridSpan w:val="2"/>
          </w:tcPr>
          <w:p>
            <w:pPr>
              <w:spacing w:after="0"/>
              <w:rPr>
                <w:sz w:val="20"/>
                <w:szCs w:val="20"/>
                <w:color w:val="auto"/>
              </w:rPr>
            </w:pPr>
            <w:r>
              <w:rPr>
                <w:rFonts w:ascii="Arial" w:cs="Arial" w:eastAsia="Arial" w:hAnsi="Arial"/>
                <w:sz w:val="18"/>
                <w:szCs w:val="18"/>
                <w:color w:val="auto"/>
              </w:rPr>
              <w:t>NON-OPERATING EXPENSES</w:t>
            </w:r>
          </w:p>
        </w:tc>
        <w:tc>
          <w:tcPr>
            <w:tcW w:w="3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expenses, net</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(17,865)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Other finance costs</w:t>
            </w: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(3,826)</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interest rate swap agreements</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Foreign exchange (loss) gain, net</w:t>
            </w: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(1,858)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(50,256)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Costs associated with debt modification</w:t>
            </w: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(10,538)</w:t>
            </w: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 non-operating expenses</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(84,343)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(20,246)</w:t>
            </w:r>
          </w:p>
        </w:tc>
        <w:tc>
          <w:tcPr>
            <w:tcW w:w="0" w:type="dxa"/>
            <w:vAlign w:val="bottom"/>
          </w:tcPr>
          <w:p>
            <w:pPr>
              <w:spacing w:after="0"/>
              <w:rPr>
                <w:sz w:val="1"/>
                <w:szCs w:val="1"/>
                <w:color w:val="auto"/>
              </w:rPr>
            </w:pPr>
          </w:p>
        </w:tc>
      </w:tr>
      <w:tr>
        <w:trPr>
          <w:trHeight w:val="221"/>
        </w:trPr>
        <w:tc>
          <w:tcPr>
            <w:tcW w:w="4660" w:type="dxa"/>
            <w:vAlign w:val="bottom"/>
            <w:gridSpan w:val="2"/>
          </w:tcPr>
          <w:p>
            <w:pPr>
              <w:spacing w:after="0"/>
              <w:rPr>
                <w:sz w:val="20"/>
                <w:szCs w:val="20"/>
                <w:color w:val="auto"/>
              </w:rPr>
            </w:pPr>
            <w:r>
              <w:rPr>
                <w:rFonts w:ascii="Arial" w:cs="Arial" w:eastAsia="Arial" w:hAnsi="Arial"/>
                <w:sz w:val="18"/>
                <w:szCs w:val="18"/>
                <w:color w:val="auto"/>
              </w:rPr>
              <w:t>INCOME BEFORE INCOME TAX</w:t>
            </w:r>
          </w:p>
        </w:tc>
        <w:tc>
          <w:tcPr>
            <w:tcW w:w="39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103,202</w:t>
            </w:r>
          </w:p>
        </w:tc>
        <w:tc>
          <w:tcPr>
            <w:tcW w:w="4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133,247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INCOME TAX CREDIT</w:t>
            </w:r>
          </w:p>
        </w:tc>
        <w:tc>
          <w:tcPr>
            <w:tcW w:w="39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4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103,397</w:t>
            </w:r>
          </w:p>
        </w:tc>
        <w:tc>
          <w:tcPr>
            <w:tcW w:w="46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133,357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080" w:type="dxa"/>
            <w:vAlign w:val="bottom"/>
            <w:gridSpan w:val="2"/>
          </w:tcPr>
          <w:p>
            <w:pPr>
              <w:jc w:val="right"/>
              <w:ind w:right="2900"/>
              <w:spacing w:after="0"/>
              <w:rPr>
                <w:sz w:val="20"/>
                <w:szCs w:val="20"/>
                <w:color w:val="auto"/>
              </w:rPr>
            </w:pPr>
            <w:r>
              <w:rPr>
                <w:rFonts w:ascii="Arial" w:cs="Arial" w:eastAsia="Arial" w:hAnsi="Arial"/>
                <w:sz w:val="18"/>
                <w:szCs w:val="18"/>
                <w:color w:val="auto"/>
              </w:rPr>
              <w:t>F-3</w:t>
            </w: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MCE Finance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2680" w:type="dxa"/>
            <w:vAlign w:val="bottom"/>
            <w:gridSpan w:val="6"/>
          </w:tcPr>
          <w:p>
            <w:pPr>
              <w:jc w:val="right"/>
              <w:ind w:right="180"/>
              <w:spacing w:after="0"/>
              <w:rPr>
                <w:sz w:val="20"/>
                <w:szCs w:val="20"/>
                <w:color w:val="auto"/>
              </w:rPr>
            </w:pPr>
            <w:r>
              <w:rPr>
                <w:rFonts w:ascii="Arial" w:cs="Arial" w:eastAsia="Arial" w:hAnsi="Arial"/>
                <w:sz w:val="18"/>
                <w:szCs w:val="18"/>
                <w:b w:val="1"/>
                <w:bCs w:val="1"/>
                <w:color w:val="auto"/>
                <w:w w:val="93"/>
              </w:rPr>
              <w:t>Three Months Ended March 31,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2013</w:t>
            </w:r>
          </w:p>
        </w:tc>
        <w:tc>
          <w:tcPr>
            <w:tcW w:w="3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 xml:space="preserve">2012 </w:t>
            </w:r>
            <w:r>
              <w:rPr>
                <w:rFonts w:ascii="Arial" w:cs="Arial" w:eastAsia="Arial" w:hAnsi="Arial"/>
                <w:sz w:val="11"/>
                <w:szCs w:val="11"/>
                <w:b w:val="1"/>
                <w:bCs w:val="1"/>
                <w:color w:val="auto"/>
              </w:rPr>
              <w:t>(1)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72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CASH FLOWS FROM OPERATING ACTIVITIES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220,594</w:t>
            </w:r>
          </w:p>
        </w:tc>
        <w:tc>
          <w:tcPr>
            <w:tcW w:w="36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245,218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7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Advance to shareholder</w:t>
            </w:r>
          </w:p>
        </w:tc>
        <w:tc>
          <w:tcPr>
            <w:tcW w:w="24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(501,500)</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property and equipment</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(28,542)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Payment for land use right</w:t>
            </w:r>
          </w:p>
        </w:tc>
        <w:tc>
          <w:tcPr>
            <w:tcW w:w="24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(8,281)</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Payment for entertainment production costs</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(2,102)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Deposits for acquisition of property and equipment</w:t>
            </w:r>
          </w:p>
        </w:tc>
        <w:tc>
          <w:tcPr>
            <w:tcW w:w="24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(1,723)</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and equipment</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4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(542,127)</w:t>
            </w:r>
          </w:p>
        </w:tc>
        <w:tc>
          <w:tcPr>
            <w:tcW w:w="1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(83,569)</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7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Principal payments on long-term debt</w:t>
            </w:r>
          </w:p>
        </w:tc>
        <w:tc>
          <w:tcPr>
            <w:tcW w:w="24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(812,487)</w:t>
            </w: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Payment of deferred financing costs</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(118,265)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Proceeds from long-term debt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1,000,000</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Amount due to shareholder</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Advance from shareholder</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69,248</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874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240" w:type="dxa"/>
            <w:vAlign w:val="bottom"/>
          </w:tcPr>
          <w:p>
            <w:pPr>
              <w:spacing w:after="0"/>
              <w:rPr>
                <w:sz w:val="24"/>
                <w:szCs w:val="24"/>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(252,285)</w:t>
            </w:r>
          </w:p>
        </w:tc>
        <w:tc>
          <w:tcPr>
            <w:tcW w:w="18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164,278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1,516,952</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1,014,033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4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1,264,667</w:t>
            </w:r>
          </w:p>
        </w:tc>
        <w:tc>
          <w:tcPr>
            <w:tcW w:w="36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1,178,311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Cash paid for interest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(19,773)</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(6,236)</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ACTIVITIES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Construction costs and property and equipment funded through accrued expenses and</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4,882</w:t>
            </w:r>
          </w:p>
        </w:tc>
        <w:tc>
          <w:tcPr>
            <w:tcW w:w="36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11,491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Land use right cost funded through accrued expenses and other current liabilities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25,793</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30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presentation of the unaudited condensed consolidated statements of cash flows for 2012 has been amended pursuant to the requirements for interim reporting within the accounting principles generally accepted in the United States of America.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274"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MCE Finance Limited - Restricted Subsidiaries Group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920" w:type="dxa"/>
            <w:vAlign w:val="bottom"/>
          </w:tcPr>
          <w:p>
            <w:pPr>
              <w:spacing w:after="0"/>
              <w:rPr>
                <w:sz w:val="19"/>
                <w:szCs w:val="19"/>
                <w:color w:val="auto"/>
              </w:rPr>
            </w:pPr>
          </w:p>
        </w:tc>
        <w:tc>
          <w:tcPr>
            <w:tcW w:w="1960" w:type="dxa"/>
            <w:vAlign w:val="bottom"/>
            <w:gridSpan w:val="3"/>
          </w:tcPr>
          <w:p>
            <w:pPr>
              <w:ind w:left="20"/>
              <w:spacing w:after="0"/>
              <w:rPr>
                <w:sz w:val="20"/>
                <w:szCs w:val="20"/>
                <w:color w:val="auto"/>
              </w:rPr>
            </w:pPr>
            <w:r>
              <w:rPr>
                <w:rFonts w:ascii="Arial" w:cs="Arial" w:eastAsia="Arial" w:hAnsi="Arial"/>
                <w:sz w:val="18"/>
                <w:szCs w:val="18"/>
                <w:b w:val="1"/>
                <w:bCs w:val="1"/>
                <w:color w:val="auto"/>
              </w:rPr>
              <w:t>March 31, 2013</w:t>
            </w: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w w:val="92"/>
              </w:rPr>
              <w:t>December 31, 2012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20" w:type="dxa"/>
            <w:vAlign w:val="bottom"/>
            <w:tcBorders>
              <w:top w:val="single" w:sz="8" w:color="CCEEFF"/>
            </w:tcBorders>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79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1,264,667</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1,516,952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310,533</w:t>
            </w: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320,929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affiliated companies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274,722</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Amounts due from unconsolidated subsidiaries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17,815</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38,164</w:t>
            </w:r>
          </w:p>
        </w:tc>
        <w:tc>
          <w:tcPr>
            <w:tcW w:w="7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1,905,903</w:t>
            </w:r>
          </w:p>
        </w:tc>
        <w:tc>
          <w:tcPr>
            <w:tcW w:w="7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2,150,049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794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2,311,890</w:t>
            </w: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2,343,180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GAMING SUBCONCESSION, NET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527,959</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542,268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4,220</w:t>
            </w: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81,915</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LONG-TERM PREPAYMENTS, DEPOSITS AND OTHER ASSETS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68,127</w:t>
            </w: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65,437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SUBSIDIARIES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783,073</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104,131</w:t>
            </w: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42,957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LAND USE RIGHTS, NET</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412,170</w:t>
            </w:r>
          </w:p>
        </w:tc>
        <w:tc>
          <w:tcPr>
            <w:tcW w:w="7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391,419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6,199,388</w:t>
            </w:r>
          </w:p>
        </w:tc>
        <w:tc>
          <w:tcPr>
            <w:tcW w:w="780" w:type="dxa"/>
            <w:vAlign w:val="bottom"/>
          </w:tcPr>
          <w:p>
            <w:pPr>
              <w:spacing w:after="0"/>
              <w:rPr>
                <w:sz w:val="19"/>
                <w:szCs w:val="19"/>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5,903,018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9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9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10,841</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678,835</w:t>
            </w: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692,551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Income tax payable</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192,538</w:t>
            </w: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Amount due to shareholder</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19,600</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Amounts due to affiliated companies</w:t>
            </w:r>
          </w:p>
        </w:tc>
        <w:tc>
          <w:tcPr>
            <w:tcW w:w="280" w:type="dxa"/>
            <w:vAlign w:val="bottom"/>
          </w:tcPr>
          <w:p>
            <w:pPr>
              <w:spacing w:after="0"/>
              <w:rPr>
                <w:sz w:val="19"/>
                <w:szCs w:val="19"/>
                <w:color w:val="auto"/>
              </w:rPr>
            </w:pPr>
          </w:p>
        </w:tc>
        <w:tc>
          <w:tcPr>
            <w:tcW w:w="1680" w:type="dxa"/>
            <w:vAlign w:val="bottom"/>
            <w:gridSpan w:val="2"/>
          </w:tcPr>
          <w:p>
            <w:pPr>
              <w:jc w:val="right"/>
              <w:ind w:right="780"/>
              <w:spacing w:after="0"/>
              <w:rPr>
                <w:sz w:val="20"/>
                <w:szCs w:val="20"/>
                <w:color w:val="auto"/>
              </w:rPr>
            </w:pPr>
            <w:r>
              <w:rPr>
                <w:rFonts w:ascii="Arial" w:cs="Arial" w:eastAsia="Arial" w:hAnsi="Arial"/>
                <w:sz w:val="18"/>
                <w:szCs w:val="18"/>
                <w:color w:val="auto"/>
              </w:rPr>
              <w:t>11,411</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913,230</w:t>
            </w:r>
          </w:p>
        </w:tc>
        <w:tc>
          <w:tcPr>
            <w:tcW w:w="780" w:type="dxa"/>
            <w:vAlign w:val="bottom"/>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866,612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794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1,609,704</w:t>
            </w: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1,480,337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6,009</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16,303</w:t>
            </w: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LAND USE RIGHT PAYABLE</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14,608</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ADVANCE FROM SHAREHOLDER</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1,036,046</w:t>
            </w: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1,033,680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 xml:space="preserve">Ordinary shares </w:t>
            </w:r>
            <w:r>
              <w:rPr>
                <w:rFonts w:ascii="Arial" w:cs="Arial" w:eastAsia="Arial" w:hAnsi="Arial"/>
                <w:sz w:val="11"/>
                <w:szCs w:val="11"/>
                <w:color w:val="auto"/>
              </w:rPr>
              <w:t>(1)</w:t>
            </w:r>
          </w:p>
        </w:tc>
        <w:tc>
          <w:tcPr>
            <w:tcW w:w="280" w:type="dxa"/>
            <w:vAlign w:val="bottom"/>
          </w:tcPr>
          <w:p>
            <w:pPr>
              <w:spacing w:after="0"/>
              <w:rPr>
                <w:sz w:val="18"/>
                <w:szCs w:val="18"/>
                <w:color w:val="auto"/>
              </w:rPr>
            </w:pPr>
          </w:p>
        </w:tc>
        <w:tc>
          <w:tcPr>
            <w:tcW w:w="168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2,261,725</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2,261,725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2,635</w:t>
            </w: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339,128</w:t>
            </w:r>
          </w:p>
        </w:tc>
        <w:tc>
          <w:tcPr>
            <w:tcW w:w="7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2,603,488</w:t>
            </w:r>
          </w:p>
        </w:tc>
        <w:tc>
          <w:tcPr>
            <w:tcW w:w="7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6,199,388</w:t>
            </w:r>
          </w:p>
        </w:tc>
        <w:tc>
          <w:tcPr>
            <w:tcW w:w="7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5,903,018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4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authorized share capital of MCE Finance Limited was 5,000,000 shares of US$0.01 par value per share, as of March 31, 2013 and December 31, 2012, 1,202 shares of US$0.01 par value per share were issued and fully paid.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274"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MCE Finance Limited - Restricted Subsidiaries Group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w w:val="90"/>
              </w:rPr>
              <w:t>Three Months Ended March 31,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40" w:type="dxa"/>
            <w:vAlign w:val="bottom"/>
            <w:tcBorders>
              <w:bottom w:val="single" w:sz="8" w:color="CCEEFF"/>
            </w:tcBorders>
          </w:tcPr>
          <w:p>
            <w:pPr>
              <w:spacing w:after="0"/>
              <w:rPr>
                <w:sz w:val="19"/>
                <w:szCs w:val="19"/>
                <w:color w:val="auto"/>
              </w:rPr>
            </w:pPr>
          </w:p>
        </w:tc>
        <w:tc>
          <w:tcPr>
            <w:tcW w:w="39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2013</w:t>
            </w:r>
          </w:p>
        </w:tc>
        <w:tc>
          <w:tcPr>
            <w:tcW w:w="4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4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OPERATING REVENUES</w:t>
            </w:r>
          </w:p>
        </w:tc>
        <w:tc>
          <w:tcPr>
            <w:tcW w:w="3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Casino</w:t>
            </w:r>
          </w:p>
        </w:tc>
        <w:tc>
          <w:tcPr>
            <w:tcW w:w="4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1,110,443</w:t>
            </w:r>
          </w:p>
        </w:tc>
        <w:tc>
          <w:tcPr>
            <w:tcW w:w="46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990,872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31,193</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Food and beverage</w:t>
            </w: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20,260</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others</w:t>
            </w:r>
          </w:p>
        </w:tc>
        <w:tc>
          <w:tcPr>
            <w:tcW w:w="39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31,267</w:t>
            </w:r>
          </w:p>
        </w:tc>
        <w:tc>
          <w:tcPr>
            <w:tcW w:w="4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60" w:type="dxa"/>
            <w:vAlign w:val="bottom"/>
            <w:gridSpan w:val="2"/>
          </w:tcPr>
          <w:p>
            <w:pPr>
              <w:spacing w:after="0"/>
              <w:rPr>
                <w:sz w:val="20"/>
                <w:szCs w:val="20"/>
                <w:color w:val="auto"/>
              </w:rPr>
            </w:pPr>
            <w:r>
              <w:rPr>
                <w:rFonts w:ascii="Arial" w:cs="Arial" w:eastAsia="Arial" w:hAnsi="Arial"/>
                <w:sz w:val="18"/>
                <w:szCs w:val="18"/>
                <w:color w:val="auto"/>
              </w:rPr>
              <w:t>Gross revenues</w:t>
            </w:r>
          </w:p>
        </w:tc>
        <w:tc>
          <w:tcPr>
            <w:tcW w:w="3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1,193,163</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1,068,786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Less: promotional allowances</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(39,112)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(31,869)</w:t>
            </w:r>
          </w:p>
        </w:tc>
        <w:tc>
          <w:tcPr>
            <w:tcW w:w="0" w:type="dxa"/>
            <w:vAlign w:val="bottom"/>
          </w:tcPr>
          <w:p>
            <w:pPr>
              <w:spacing w:after="0"/>
              <w:rPr>
                <w:sz w:val="1"/>
                <w:szCs w:val="1"/>
                <w:color w:val="auto"/>
              </w:rPr>
            </w:pPr>
          </w:p>
        </w:tc>
      </w:tr>
      <w:tr>
        <w:trPr>
          <w:trHeight w:val="222"/>
        </w:trPr>
        <w:tc>
          <w:tcPr>
            <w:tcW w:w="4660" w:type="dxa"/>
            <w:vAlign w:val="bottom"/>
            <w:gridSpan w:val="2"/>
          </w:tcPr>
          <w:p>
            <w:pPr>
              <w:spacing w:after="0"/>
              <w:rPr>
                <w:sz w:val="20"/>
                <w:szCs w:val="20"/>
                <w:color w:val="auto"/>
              </w:rPr>
            </w:pPr>
            <w:r>
              <w:rPr>
                <w:rFonts w:ascii="Arial" w:cs="Arial" w:eastAsia="Arial" w:hAnsi="Arial"/>
                <w:sz w:val="18"/>
                <w:szCs w:val="18"/>
                <w:color w:val="auto"/>
              </w:rPr>
              <w:t>Net revenues</w:t>
            </w:r>
          </w:p>
        </w:tc>
        <w:tc>
          <w:tcPr>
            <w:tcW w:w="39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1,154,051</w:t>
            </w:r>
          </w:p>
        </w:tc>
        <w:tc>
          <w:tcPr>
            <w:tcW w:w="4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1,036,917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64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Casino</w:t>
            </w: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(790,095)</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(702,930)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(3,128)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Food and beverage</w:t>
            </w: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(8,017)</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others</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(15,979)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(66,757)</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(64,615)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Amortization of gaming subconcession</w:t>
            </w: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(14,309)</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land use rights</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(5,042)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(62,955)</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(66,331)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Property charges and others</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(3,169)</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Total operating costs and expenses</w:t>
            </w:r>
          </w:p>
        </w:tc>
        <w:tc>
          <w:tcPr>
            <w:tcW w:w="3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60" w:type="dxa"/>
            <w:vAlign w:val="bottom"/>
            <w:gridSpan w:val="2"/>
            <w:vMerge w:val="continue"/>
          </w:tcPr>
          <w:p>
            <w:pPr>
              <w:spacing w:after="0"/>
              <w:rPr>
                <w:sz w:val="20"/>
                <w:szCs w:val="20"/>
                <w:color w:val="auto"/>
              </w:rPr>
            </w:pPr>
          </w:p>
        </w:tc>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(966,506)</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(883,424)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9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187,545</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153,493</w:t>
            </w:r>
          </w:p>
        </w:tc>
        <w:tc>
          <w:tcPr>
            <w:tcW w:w="0" w:type="dxa"/>
            <w:vAlign w:val="bottom"/>
          </w:tcPr>
          <w:p>
            <w:pPr>
              <w:spacing w:after="0"/>
              <w:rPr>
                <w:sz w:val="1"/>
                <w:szCs w:val="1"/>
                <w:color w:val="auto"/>
              </w:rPr>
            </w:pPr>
          </w:p>
        </w:tc>
      </w:tr>
      <w:tr>
        <w:trPr>
          <w:trHeight w:val="329"/>
        </w:trPr>
        <w:tc>
          <w:tcPr>
            <w:tcW w:w="4660" w:type="dxa"/>
            <w:vAlign w:val="bottom"/>
            <w:gridSpan w:val="2"/>
          </w:tcPr>
          <w:p>
            <w:pPr>
              <w:spacing w:after="0"/>
              <w:rPr>
                <w:sz w:val="20"/>
                <w:szCs w:val="20"/>
                <w:color w:val="auto"/>
              </w:rPr>
            </w:pPr>
            <w:r>
              <w:rPr>
                <w:rFonts w:ascii="Arial" w:cs="Arial" w:eastAsia="Arial" w:hAnsi="Arial"/>
                <w:sz w:val="18"/>
                <w:szCs w:val="18"/>
                <w:color w:val="auto"/>
              </w:rPr>
              <w:t>NON-OPERATING EXPENSES</w:t>
            </w:r>
          </w:p>
        </w:tc>
        <w:tc>
          <w:tcPr>
            <w:tcW w:w="39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expenses, net</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(17,865)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Other finance costs</w:t>
            </w: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(3,826)</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interest rate swap agreements</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Foreign exchange (loss) gain, net</w:t>
            </w: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(1,858)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(50,256)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Costs associated with debt modification</w:t>
            </w: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(10,538)</w:t>
            </w:r>
          </w:p>
        </w:tc>
        <w:tc>
          <w:tcPr>
            <w:tcW w:w="2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 non-operating expenses</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(84,343)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(20,246)</w:t>
            </w:r>
          </w:p>
        </w:tc>
        <w:tc>
          <w:tcPr>
            <w:tcW w:w="0" w:type="dxa"/>
            <w:vAlign w:val="bottom"/>
          </w:tcPr>
          <w:p>
            <w:pPr>
              <w:spacing w:after="0"/>
              <w:rPr>
                <w:sz w:val="1"/>
                <w:szCs w:val="1"/>
                <w:color w:val="auto"/>
              </w:rPr>
            </w:pPr>
          </w:p>
        </w:tc>
      </w:tr>
      <w:tr>
        <w:trPr>
          <w:trHeight w:val="221"/>
        </w:trPr>
        <w:tc>
          <w:tcPr>
            <w:tcW w:w="4660" w:type="dxa"/>
            <w:vAlign w:val="bottom"/>
            <w:gridSpan w:val="2"/>
          </w:tcPr>
          <w:p>
            <w:pPr>
              <w:spacing w:after="0"/>
              <w:rPr>
                <w:sz w:val="20"/>
                <w:szCs w:val="20"/>
                <w:color w:val="auto"/>
              </w:rPr>
            </w:pPr>
            <w:r>
              <w:rPr>
                <w:rFonts w:ascii="Arial" w:cs="Arial" w:eastAsia="Arial" w:hAnsi="Arial"/>
                <w:sz w:val="18"/>
                <w:szCs w:val="18"/>
                <w:color w:val="auto"/>
              </w:rPr>
              <w:t>INCOME BEFORE INCOME TAX</w:t>
            </w:r>
          </w:p>
        </w:tc>
        <w:tc>
          <w:tcPr>
            <w:tcW w:w="39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103,202</w:t>
            </w:r>
          </w:p>
        </w:tc>
        <w:tc>
          <w:tcPr>
            <w:tcW w:w="4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133,247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INCOME TAX CREDIT</w:t>
            </w:r>
          </w:p>
        </w:tc>
        <w:tc>
          <w:tcPr>
            <w:tcW w:w="39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4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103,397</w:t>
            </w:r>
          </w:p>
        </w:tc>
        <w:tc>
          <w:tcPr>
            <w:tcW w:w="46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133,357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080" w:type="dxa"/>
            <w:vAlign w:val="bottom"/>
            <w:gridSpan w:val="2"/>
          </w:tcPr>
          <w:p>
            <w:pPr>
              <w:jc w:val="right"/>
              <w:ind w:right="2900"/>
              <w:spacing w:after="0"/>
              <w:rPr>
                <w:sz w:val="20"/>
                <w:szCs w:val="20"/>
                <w:color w:val="auto"/>
              </w:rPr>
            </w:pPr>
            <w:r>
              <w:rPr>
                <w:rFonts w:ascii="Arial" w:cs="Arial" w:eastAsia="Arial" w:hAnsi="Arial"/>
                <w:sz w:val="18"/>
                <w:szCs w:val="18"/>
                <w:color w:val="auto"/>
              </w:rPr>
              <w:t>F-6</w:t>
            </w: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MCE Finance Limited - Restricted Subsidiaries Group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2680" w:type="dxa"/>
            <w:vAlign w:val="bottom"/>
            <w:gridSpan w:val="6"/>
          </w:tcPr>
          <w:p>
            <w:pPr>
              <w:jc w:val="right"/>
              <w:ind w:right="180"/>
              <w:spacing w:after="0"/>
              <w:rPr>
                <w:sz w:val="20"/>
                <w:szCs w:val="20"/>
                <w:color w:val="auto"/>
              </w:rPr>
            </w:pPr>
            <w:r>
              <w:rPr>
                <w:rFonts w:ascii="Arial" w:cs="Arial" w:eastAsia="Arial" w:hAnsi="Arial"/>
                <w:sz w:val="18"/>
                <w:szCs w:val="18"/>
                <w:b w:val="1"/>
                <w:bCs w:val="1"/>
                <w:color w:val="auto"/>
                <w:w w:val="93"/>
              </w:rPr>
              <w:t>Three Months Ended March 31,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2013</w:t>
            </w:r>
          </w:p>
        </w:tc>
        <w:tc>
          <w:tcPr>
            <w:tcW w:w="3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 xml:space="preserve">2012 </w:t>
            </w:r>
            <w:r>
              <w:rPr>
                <w:rFonts w:ascii="Arial" w:cs="Arial" w:eastAsia="Arial" w:hAnsi="Arial"/>
                <w:sz w:val="11"/>
                <w:szCs w:val="11"/>
                <w:b w:val="1"/>
                <w:bCs w:val="1"/>
                <w:color w:val="auto"/>
              </w:rPr>
              <w:t>(1)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72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CASH FLOWS FROM OPERATING ACTIVITIES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220,594</w:t>
            </w:r>
          </w:p>
        </w:tc>
        <w:tc>
          <w:tcPr>
            <w:tcW w:w="36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245,218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7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Advance to unconsolidated subsidiary</w:t>
            </w:r>
          </w:p>
        </w:tc>
        <w:tc>
          <w:tcPr>
            <w:tcW w:w="24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(501,500)</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property and equipment</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(28,542)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Payment for land use right</w:t>
            </w:r>
          </w:p>
        </w:tc>
        <w:tc>
          <w:tcPr>
            <w:tcW w:w="24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(8,281)</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Payment for entertainment production costs</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(2,102)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Deposits for acquisition of property and equipment</w:t>
            </w:r>
          </w:p>
        </w:tc>
        <w:tc>
          <w:tcPr>
            <w:tcW w:w="24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(1,723)</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and equipment</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4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(542,127)</w:t>
            </w:r>
          </w:p>
        </w:tc>
        <w:tc>
          <w:tcPr>
            <w:tcW w:w="1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(83,569)</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7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Principal payments on long-term debt</w:t>
            </w:r>
          </w:p>
        </w:tc>
        <w:tc>
          <w:tcPr>
            <w:tcW w:w="24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(812,487)</w:t>
            </w: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Payment of deferred financing costs</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(118,265)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Proceeds from long-term debt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1,000,000</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Amount due to shareholder</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Advance from shareholder</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69,248</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874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240" w:type="dxa"/>
            <w:vAlign w:val="bottom"/>
          </w:tcPr>
          <w:p>
            <w:pPr>
              <w:spacing w:after="0"/>
              <w:rPr>
                <w:sz w:val="24"/>
                <w:szCs w:val="24"/>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(252,285)</w:t>
            </w:r>
          </w:p>
        </w:tc>
        <w:tc>
          <w:tcPr>
            <w:tcW w:w="18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164,278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1,516,952</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1,014,033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4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1,264,667</w:t>
            </w:r>
          </w:p>
        </w:tc>
        <w:tc>
          <w:tcPr>
            <w:tcW w:w="36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1,178,311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Cash paid for interest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(19,773)</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(6,236)</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ACTIVITIES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Construction costs and property and equipment funded through accrued expenses and</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4,882</w:t>
            </w:r>
          </w:p>
        </w:tc>
        <w:tc>
          <w:tcPr>
            <w:tcW w:w="36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11,491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Land use right cost funded through accrued expenses and other current liabilities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25,793</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30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presentation of the unaudited condensed consolidated statements of cash flows for 2012 has been amended pursuant to the requirements for interim reporting within the accounting principles generally accepted in the United States of America.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274"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MCE Finance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Reconciliation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MCE Finance Limited - Restricted Subsidiaries Group to MCE Finance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85"/>
              </w:rPr>
              <w:t>Consolidated</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Unrestricted Subsidiaries</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Total for MCE</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Finance Limited</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Melco Crown</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84"/>
              </w:rPr>
              <w:t>-</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Melco Crown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(Macau</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87"/>
              </w:rPr>
              <w:t>Restricted</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(Macau</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Peninsula)</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84"/>
              </w:rPr>
              <w:t>Subsidiaries</w:t>
            </w:r>
          </w:p>
        </w:tc>
        <w:tc>
          <w:tcPr>
            <w:tcW w:w="50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Peninsula) Hotel</w:t>
            </w:r>
          </w:p>
        </w:tc>
        <w:tc>
          <w:tcPr>
            <w:tcW w:w="1300" w:type="dxa"/>
            <w:vAlign w:val="bottom"/>
            <w:gridSpan w:val="4"/>
          </w:tcPr>
          <w:p>
            <w:pPr>
              <w:ind w:left="220"/>
              <w:spacing w:after="0" w:line="149" w:lineRule="exact"/>
              <w:rPr>
                <w:sz w:val="20"/>
                <w:szCs w:val="20"/>
                <w:color w:val="auto"/>
              </w:rPr>
            </w:pPr>
            <w:r>
              <w:rPr>
                <w:rFonts w:ascii="Arial" w:cs="Arial" w:eastAsia="Arial" w:hAnsi="Arial"/>
                <w:sz w:val="14"/>
                <w:szCs w:val="14"/>
                <w:b w:val="1"/>
                <w:bCs w:val="1"/>
                <w:color w:val="auto"/>
              </w:rPr>
              <w:t>Developments</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Total for MCE</w:t>
            </w:r>
          </w:p>
        </w:tc>
        <w:tc>
          <w:tcPr>
            <w:tcW w:w="0" w:type="dxa"/>
            <w:vAlign w:val="bottom"/>
          </w:tcPr>
          <w:p>
            <w:pPr>
              <w:spacing w:after="0"/>
              <w:rPr>
                <w:sz w:val="1"/>
                <w:szCs w:val="1"/>
                <w:color w:val="auto"/>
              </w:rPr>
            </w:pPr>
          </w:p>
        </w:tc>
      </w:tr>
      <w:tr>
        <w:trPr>
          <w:trHeight w:val="161"/>
        </w:trPr>
        <w:tc>
          <w:tcPr>
            <w:tcW w:w="4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Condensed Consolidated Balance Sheets (Unaudited)</w:t>
            </w:r>
          </w:p>
        </w:tc>
        <w:tc>
          <w:tcPr>
            <w:tcW w:w="120" w:type="dxa"/>
            <w:vAlign w:val="bottom"/>
          </w:tcPr>
          <w:p>
            <w:pPr>
              <w:spacing w:after="0"/>
              <w:rPr>
                <w:sz w:val="14"/>
                <w:szCs w:val="14"/>
                <w:color w:val="auto"/>
              </w:rPr>
            </w:pPr>
          </w:p>
        </w:tc>
        <w:tc>
          <w:tcPr>
            <w:tcW w:w="880" w:type="dxa"/>
            <w:vAlign w:val="bottom"/>
          </w:tcPr>
          <w:p>
            <w:pPr>
              <w:jc w:val="center"/>
              <w:ind w:right="15"/>
              <w:spacing w:after="0"/>
              <w:rPr>
                <w:sz w:val="20"/>
                <w:szCs w:val="20"/>
                <w:color w:val="auto"/>
              </w:rPr>
            </w:pPr>
            <w:r>
              <w:rPr>
                <w:rFonts w:ascii="Arial" w:cs="Arial" w:eastAsia="Arial" w:hAnsi="Arial"/>
                <w:sz w:val="14"/>
                <w:szCs w:val="14"/>
                <w:b w:val="1"/>
                <w:bCs w:val="1"/>
                <w:color w:val="auto"/>
                <w:w w:val="90"/>
              </w:rPr>
              <w:t>Group</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Limited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Limited</w:t>
            </w:r>
          </w:p>
        </w:tc>
        <w:tc>
          <w:tcPr>
            <w:tcW w:w="220" w:type="dxa"/>
            <w:vAlign w:val="bottom"/>
          </w:tcPr>
          <w:p>
            <w:pPr>
              <w:spacing w:after="0"/>
              <w:rPr>
                <w:sz w:val="14"/>
                <w:szCs w:val="14"/>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2"/>
              </w:rPr>
              <w:t>Elimination</w:t>
            </w: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Finance Limited</w:t>
            </w:r>
          </w:p>
        </w:tc>
        <w:tc>
          <w:tcPr>
            <w:tcW w:w="0" w:type="dxa"/>
            <w:vAlign w:val="bottom"/>
          </w:tcPr>
          <w:p>
            <w:pPr>
              <w:spacing w:after="0"/>
              <w:rPr>
                <w:sz w:val="1"/>
                <w:szCs w:val="1"/>
                <w:color w:val="auto"/>
              </w:rPr>
            </w:pPr>
          </w:p>
        </w:tc>
      </w:tr>
      <w:tr>
        <w:trPr>
          <w:trHeight w:val="182"/>
        </w:trPr>
        <w:tc>
          <w:tcPr>
            <w:tcW w:w="4860" w:type="dxa"/>
            <w:vAlign w:val="bottom"/>
            <w:gridSpan w:val="2"/>
            <w:vMerge w:val="continue"/>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As of March 31, 2013</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48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1,264,667</w:t>
            </w:r>
          </w:p>
        </w:tc>
        <w:tc>
          <w:tcPr>
            <w:tcW w:w="58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59"/>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1,264,667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310,533</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310,533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affiliated companies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274,722</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Amounts due from (to) group companies</w:t>
            </w:r>
          </w:p>
        </w:tc>
        <w:tc>
          <w:tcPr>
            <w:tcW w:w="120" w:type="dxa"/>
            <w:vAlign w:val="bottom"/>
          </w:tcPr>
          <w:p>
            <w:pPr>
              <w:spacing w:after="0"/>
              <w:rPr>
                <w:sz w:val="18"/>
                <w:szCs w:val="18"/>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460" w:type="dxa"/>
            <w:vAlign w:val="bottom"/>
            <w:gridSpan w:val="3"/>
          </w:tcPr>
          <w:p>
            <w:pPr>
              <w:jc w:val="right"/>
              <w:ind w:right="5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unconsolidated subsidiaries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17,815</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17,815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38,164</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6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1,905,903</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1,905,899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484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2,311,890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2,311,890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GAMING SUBCONCESSION, NET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527,959</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527,959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81,915</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81,915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LONG-TERM PREPAYMENTS, DEPOSITS AND OTHER</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68,127</w:t>
            </w: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68,127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INVESTMENT IN UNCONSOLIDATED SUBSIDIARIES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783,073</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3"/>
          </w:tcPr>
          <w:p>
            <w:pPr>
              <w:jc w:val="right"/>
              <w:ind w:right="440"/>
              <w:spacing w:after="0"/>
              <w:rPr>
                <w:sz w:val="20"/>
                <w:szCs w:val="20"/>
                <w:color w:val="auto"/>
              </w:rPr>
            </w:pPr>
            <w:r>
              <w:rPr>
                <w:rFonts w:ascii="Arial" w:cs="Arial" w:eastAsia="Arial" w:hAnsi="Arial"/>
                <w:sz w:val="18"/>
                <w:szCs w:val="18"/>
                <w:color w:val="auto"/>
              </w:rPr>
              <w:t>(783,073)</w:t>
            </w:r>
          </w:p>
        </w:tc>
        <w:tc>
          <w:tcPr>
            <w:tcW w:w="100" w:type="dxa"/>
            <w:vAlign w:val="bottom"/>
          </w:tcPr>
          <w:p>
            <w:pPr>
              <w:spacing w:after="0"/>
              <w:rPr>
                <w:sz w:val="18"/>
                <w:szCs w:val="18"/>
                <w:color w:val="auto"/>
              </w:rPr>
            </w:pP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104,131</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LAND USE RIGHTS, NET</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412,170</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412,170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6,199,388</w:t>
            </w:r>
          </w:p>
        </w:tc>
        <w:tc>
          <w:tcPr>
            <w:tcW w:w="58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4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(783,073)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5,416,311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4860" w:type="dxa"/>
            <w:vAlign w:val="bottom"/>
            <w:gridSpan w:val="2"/>
            <w:vMerge w:val="continue"/>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10,841</w:t>
            </w:r>
          </w:p>
        </w:tc>
        <w:tc>
          <w:tcPr>
            <w:tcW w:w="580" w:type="dxa"/>
            <w:vAlign w:val="bottom"/>
            <w:gridSpan w:val="2"/>
          </w:tcPr>
          <w:p>
            <w:pPr>
              <w:ind w:left="500"/>
              <w:spacing w:after="0"/>
              <w:rPr>
                <w:sz w:val="20"/>
                <w:szCs w:val="20"/>
                <w:color w:val="auto"/>
              </w:rPr>
            </w:pPr>
            <w:r>
              <w:rPr>
                <w:rFonts w:ascii="Arial" w:cs="Arial" w:eastAsia="Arial" w:hAnsi="Arial"/>
                <w:sz w:val="15"/>
                <w:szCs w:val="15"/>
                <w:color w:val="auto"/>
                <w:w w:val="71"/>
              </w:rPr>
              <w:t>$</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559"/>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10,841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678,835</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678,837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Income tax payable</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192,538</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Amount due to shareholder</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19,600</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19,604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affiliated companies</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11,411</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6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913,230</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913,236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484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1,609,704</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1,609,704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6,009</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16,303</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LAND USE RIGHT PAYABLE</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14,608</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14,608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ADVANCE FROM (TO) GROUP COMPANIES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783,067</w:t>
            </w:r>
          </w:p>
        </w:tc>
        <w:tc>
          <w:tcPr>
            <w:tcW w:w="14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(783,067)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ADVANCE FROM (TO) SHAREHOLDER</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1,036,046</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(783,067)</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252,979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 xml:space="preserve">Ordinary shares </w:t>
            </w:r>
            <w:r>
              <w:rPr>
                <w:rFonts w:ascii="Arial" w:cs="Arial" w:eastAsia="Arial" w:hAnsi="Arial"/>
                <w:sz w:val="11"/>
                <w:szCs w:val="11"/>
                <w:color w:val="auto"/>
              </w:rPr>
              <w:t>(1)</w:t>
            </w:r>
          </w:p>
        </w:tc>
        <w:tc>
          <w:tcPr>
            <w:tcW w:w="120" w:type="dxa"/>
            <w:vAlign w:val="bottom"/>
          </w:tcPr>
          <w:p>
            <w:pPr>
              <w:spacing w:after="0"/>
              <w:rPr>
                <w:sz w:val="18"/>
                <w:szCs w:val="18"/>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1460" w:type="dxa"/>
            <w:vAlign w:val="bottom"/>
            <w:gridSpan w:val="3"/>
          </w:tcPr>
          <w:p>
            <w:pPr>
              <w:jc w:val="right"/>
              <w:ind w:right="4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2,261,725</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2,261,725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2,635</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(accumulated losses)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339,128</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color w:val="auto"/>
              </w:rPr>
              <w:t>Total shareholder’s equity</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2,603,488</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460" w:type="dxa"/>
            <w:vAlign w:val="bottom"/>
            <w:gridSpan w:val="3"/>
          </w:tcPr>
          <w:p>
            <w:pPr>
              <w:jc w:val="right"/>
              <w:ind w:right="4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2,603,472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6,199,388</w:t>
            </w:r>
          </w:p>
        </w:tc>
        <w:tc>
          <w:tcPr>
            <w:tcW w:w="58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4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(783,073)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5,416,311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4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authorized share capital of MCE Finance Limited was 5,000,000 shares of US$0.01 par value per share, as of March 31, 2013 and December 31, 2012, 1,202 shares of US$0.01 par value per share were issued and fully paid.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274"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MCE Finance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Reconciliation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MCE Finance Limited - Restricted Subsidiaries Group to MCE Finance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5"/>
              </w:rPr>
              <w:t>Consolidated</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Unrestricted Subsidiaries</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Total for MCE</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Melco Crown</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2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Finance Limited -</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(Macau</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Restricted</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Melco Crown</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Peninsula)</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Subsidiaries</w:t>
            </w:r>
          </w:p>
        </w:tc>
        <w:tc>
          <w:tcPr>
            <w:tcW w:w="44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(Macau Peninsula)</w:t>
            </w:r>
          </w:p>
        </w:tc>
        <w:tc>
          <w:tcPr>
            <w:tcW w:w="1420" w:type="dxa"/>
            <w:vAlign w:val="bottom"/>
            <w:gridSpan w:val="3"/>
          </w:tcPr>
          <w:p>
            <w:pPr>
              <w:jc w:val="center"/>
              <w:ind w:left="539"/>
              <w:spacing w:after="0" w:line="149" w:lineRule="exact"/>
              <w:rPr>
                <w:sz w:val="20"/>
                <w:szCs w:val="20"/>
                <w:color w:val="auto"/>
              </w:rPr>
            </w:pPr>
            <w:r>
              <w:rPr>
                <w:rFonts w:ascii="Arial" w:cs="Arial" w:eastAsia="Arial" w:hAnsi="Arial"/>
                <w:sz w:val="14"/>
                <w:szCs w:val="14"/>
                <w:b w:val="1"/>
                <w:bCs w:val="1"/>
                <w:color w:val="auto"/>
                <w:w w:val="83"/>
              </w:rPr>
              <w:t>Developments</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6"/>
              </w:rPr>
              <w:t>Total for MCE</w:t>
            </w:r>
          </w:p>
        </w:tc>
        <w:tc>
          <w:tcPr>
            <w:tcW w:w="0" w:type="dxa"/>
            <w:vAlign w:val="bottom"/>
          </w:tcPr>
          <w:p>
            <w:pPr>
              <w:spacing w:after="0"/>
              <w:rPr>
                <w:sz w:val="1"/>
                <w:szCs w:val="1"/>
                <w:color w:val="auto"/>
              </w:rPr>
            </w:pPr>
          </w:p>
        </w:tc>
      </w:tr>
      <w:tr>
        <w:trPr>
          <w:trHeight w:val="161"/>
        </w:trPr>
        <w:tc>
          <w:tcPr>
            <w:tcW w:w="4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Condensed Consolidated Statements of</w:t>
            </w:r>
          </w:p>
        </w:tc>
        <w:tc>
          <w:tcPr>
            <w:tcW w:w="10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Group</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b w:val="1"/>
                <w:bCs w:val="1"/>
                <w:color w:val="auto"/>
              </w:rPr>
              <w:t>Hotel Limited</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18"/>
              <w:spacing w:after="0"/>
              <w:rPr>
                <w:sz w:val="20"/>
                <w:szCs w:val="20"/>
                <w:color w:val="auto"/>
              </w:rPr>
            </w:pPr>
            <w:r>
              <w:rPr>
                <w:rFonts w:ascii="Arial" w:cs="Arial" w:eastAsia="Arial" w:hAnsi="Arial"/>
                <w:sz w:val="14"/>
                <w:szCs w:val="14"/>
                <w:b w:val="1"/>
                <w:bCs w:val="1"/>
                <w:color w:val="auto"/>
                <w:w w:val="92"/>
              </w:rPr>
              <w:t>Limited</w:t>
            </w:r>
          </w:p>
        </w:tc>
        <w:tc>
          <w:tcPr>
            <w:tcW w:w="6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90"/>
              </w:rPr>
              <w:t>Elimination</w:t>
            </w:r>
          </w:p>
        </w:tc>
        <w:tc>
          <w:tcPr>
            <w:tcW w:w="62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w w:val="97"/>
              </w:rPr>
              <w:t>Finance Limited</w:t>
            </w:r>
          </w:p>
        </w:tc>
        <w:tc>
          <w:tcPr>
            <w:tcW w:w="0" w:type="dxa"/>
            <w:vAlign w:val="bottom"/>
          </w:tcPr>
          <w:p>
            <w:pPr>
              <w:spacing w:after="0"/>
              <w:rPr>
                <w:sz w:val="1"/>
                <w:szCs w:val="1"/>
                <w:color w:val="auto"/>
              </w:rPr>
            </w:pPr>
          </w:p>
        </w:tc>
      </w:tr>
      <w:tr>
        <w:trPr>
          <w:trHeight w:val="182"/>
        </w:trPr>
        <w:tc>
          <w:tcPr>
            <w:tcW w:w="4200" w:type="dxa"/>
            <w:vAlign w:val="bottom"/>
            <w:gridSpan w:val="2"/>
            <w:vMerge w:val="continue"/>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00"/>
              <w:spacing w:after="0"/>
              <w:rPr>
                <w:sz w:val="20"/>
                <w:szCs w:val="20"/>
                <w:color w:val="auto"/>
              </w:rPr>
            </w:pPr>
            <w:r>
              <w:rPr>
                <w:rFonts w:ascii="Arial" w:cs="Arial" w:eastAsia="Arial" w:hAnsi="Arial"/>
                <w:sz w:val="18"/>
                <w:szCs w:val="18"/>
                <w:b w:val="1"/>
                <w:bCs w:val="1"/>
                <w:color w:val="auto"/>
              </w:rPr>
              <w:t>Operations (Unaudited)</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For the Three Months Ended March 31, 2013</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1,110,443</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9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8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00" w:type="dxa"/>
            <w:vAlign w:val="bottom"/>
            <w:gridSpan w:val="2"/>
          </w:tcPr>
          <w:p>
            <w:pPr>
              <w:ind w:left="620"/>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1,110,443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31,193</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20,260</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others</w:t>
            </w: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31,267</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00" w:type="dxa"/>
            <w:vAlign w:val="bottom"/>
            <w:gridSpan w:val="2"/>
          </w:tcPr>
          <w:p>
            <w:pPr>
              <w:spacing w:after="0"/>
              <w:rPr>
                <w:sz w:val="20"/>
                <w:szCs w:val="20"/>
                <w:color w:val="auto"/>
              </w:rPr>
            </w:pPr>
            <w:r>
              <w:rPr>
                <w:rFonts w:ascii="Arial" w:cs="Arial" w:eastAsia="Arial" w:hAnsi="Arial"/>
                <w:sz w:val="18"/>
                <w:szCs w:val="18"/>
                <w:color w:val="auto"/>
              </w:rPr>
              <w:t>Gross revenues</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1,193,163</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1,193,163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Less: promotional allowances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(39,112)</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(39,112)</w:t>
            </w:r>
          </w:p>
        </w:tc>
        <w:tc>
          <w:tcPr>
            <w:tcW w:w="0" w:type="dxa"/>
            <w:vAlign w:val="bottom"/>
          </w:tcPr>
          <w:p>
            <w:pPr>
              <w:spacing w:after="0"/>
              <w:rPr>
                <w:sz w:val="1"/>
                <w:szCs w:val="1"/>
                <w:color w:val="auto"/>
              </w:rPr>
            </w:pPr>
          </w:p>
        </w:tc>
      </w:tr>
      <w:tr>
        <w:trPr>
          <w:trHeight w:val="222"/>
        </w:trPr>
        <w:tc>
          <w:tcPr>
            <w:tcW w:w="4200" w:type="dxa"/>
            <w:vAlign w:val="bottom"/>
            <w:gridSpan w:val="2"/>
          </w:tcPr>
          <w:p>
            <w:pPr>
              <w:spacing w:after="0"/>
              <w:rPr>
                <w:sz w:val="20"/>
                <w:szCs w:val="20"/>
                <w:color w:val="auto"/>
              </w:rPr>
            </w:pPr>
            <w:r>
              <w:rPr>
                <w:rFonts w:ascii="Arial" w:cs="Arial" w:eastAsia="Arial" w:hAnsi="Arial"/>
                <w:sz w:val="18"/>
                <w:szCs w:val="18"/>
                <w:color w:val="auto"/>
              </w:rPr>
              <w:t>Net revenues</w:t>
            </w: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1,154,051</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1,154,051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(790,095)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(790,095)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(3,128)</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(8,017)</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(15,979)</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(66,757)</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(66,757)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gaming subconcession</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(14,309)</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Amortization of land use rights</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(5,042)</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(62,955)</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Property charges and others</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(224)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(966,506)</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(966,506)</w:t>
            </w:r>
          </w:p>
        </w:tc>
        <w:tc>
          <w:tcPr>
            <w:tcW w:w="0" w:type="dxa"/>
            <w:vAlign w:val="bottom"/>
          </w:tcPr>
          <w:p>
            <w:pPr>
              <w:spacing w:after="0"/>
              <w:rPr>
                <w:sz w:val="1"/>
                <w:szCs w:val="1"/>
                <w:color w:val="auto"/>
              </w:rPr>
            </w:pPr>
          </w:p>
        </w:tc>
      </w:tr>
      <w:tr>
        <w:trPr>
          <w:trHeight w:val="222"/>
        </w:trPr>
        <w:tc>
          <w:tcPr>
            <w:tcW w:w="42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187,545</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187,545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NON-OPERATING EXPENSES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Interest expenses, net</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(17,865)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(17,865)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Other finance costs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(3,826)</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Foreign exchange loss, net</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(1,858)</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(50,256)</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Costs associated with debt modification</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(10,538)</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(10,538)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 non-operating expenses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(84,343)</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(84,343)</w:t>
            </w:r>
          </w:p>
        </w:tc>
        <w:tc>
          <w:tcPr>
            <w:tcW w:w="0" w:type="dxa"/>
            <w:vAlign w:val="bottom"/>
          </w:tcPr>
          <w:p>
            <w:pPr>
              <w:spacing w:after="0"/>
              <w:rPr>
                <w:sz w:val="1"/>
                <w:szCs w:val="1"/>
                <w:color w:val="auto"/>
              </w:rPr>
            </w:pPr>
          </w:p>
        </w:tc>
      </w:tr>
      <w:tr>
        <w:trPr>
          <w:trHeight w:val="221"/>
        </w:trPr>
        <w:tc>
          <w:tcPr>
            <w:tcW w:w="4200" w:type="dxa"/>
            <w:vAlign w:val="bottom"/>
            <w:gridSpan w:val="2"/>
          </w:tcPr>
          <w:p>
            <w:pPr>
              <w:spacing w:after="0"/>
              <w:rPr>
                <w:sz w:val="20"/>
                <w:szCs w:val="20"/>
                <w:color w:val="auto"/>
              </w:rPr>
            </w:pPr>
            <w:r>
              <w:rPr>
                <w:rFonts w:ascii="Arial" w:cs="Arial" w:eastAsia="Arial" w:hAnsi="Arial"/>
                <w:sz w:val="18"/>
                <w:szCs w:val="18"/>
                <w:color w:val="auto"/>
              </w:rPr>
              <w:t>INCOME BEFORE INCOME TAX</w:t>
            </w: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103,202</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103,202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INCOME TAX CREDIT</w:t>
            </w: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103,397</w:t>
            </w:r>
          </w:p>
        </w:tc>
        <w:tc>
          <w:tcPr>
            <w:tcW w:w="180" w:type="dxa"/>
            <w:vAlign w:val="bottom"/>
          </w:tcPr>
          <w:p>
            <w:pPr>
              <w:spacing w:after="0"/>
              <w:rPr>
                <w:sz w:val="19"/>
                <w:szCs w:val="19"/>
                <w:color w:val="auto"/>
              </w:rPr>
            </w:pP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620"/>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103,397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gridSpan w:val="2"/>
          </w:tcPr>
          <w:p>
            <w:pPr>
              <w:ind w:left="140"/>
              <w:spacing w:after="0"/>
              <w:rPr>
                <w:sz w:val="20"/>
                <w:szCs w:val="20"/>
                <w:color w:val="auto"/>
              </w:rPr>
            </w:pPr>
            <w:r>
              <w:rPr>
                <w:rFonts w:ascii="Arial" w:cs="Arial" w:eastAsia="Arial" w:hAnsi="Arial"/>
                <w:sz w:val="18"/>
                <w:szCs w:val="18"/>
                <w:color w:val="auto"/>
              </w:rPr>
              <w:t>F-9</w:t>
            </w: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99.2</w:t>
      </w:r>
    </w:p>
    <w:p>
      <w:pPr>
        <w:spacing w:after="0" w:line="171"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EXPLANATORY NOTE</w:t>
      </w:r>
    </w:p>
    <w:p>
      <w:pPr>
        <w:spacing w:after="0" w:line="17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Studio City Finance Limited’s Quarterly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for the Three Months Ended March 31, 2013</w:t>
      </w:r>
    </w:p>
    <w:p>
      <w:pPr>
        <w:spacing w:after="0" w:line="165"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This quarterly report serves to provide Holders of Studio City Finance Limited’s US$825,000,000 8.50% senior notes due 2020 (the “Studio City Notes”) with Studio City Finance Limited’s unaudited condensed consolidated financial statements, comprising condensed consolidated balance sheets, condensed consolidated statements of operations and condensed consolidated statements of cash flows, in respect of the first fiscal quarter of the fiscal year ending 2013, together with the related information, pursuant to the terms of the indenture, dated November 26, 2012, relating to the Studio City Notes. Studio City Finance Limited is a subsidiary of Melco Crown Entertainment Limited.</w:t>
      </w:r>
    </w:p>
    <w:p>
      <w:pPr>
        <w:sectPr>
          <w:pgSz w:w="11900" w:h="16838" w:orient="portrait"/>
          <w:cols w:equalWidth="0" w:num="1">
            <w:col w:w="11420"/>
          </w:cols>
          <w:pgMar w:left="240" w:top="125"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28"/>
        </w:trPr>
        <w:tc>
          <w:tcPr>
            <w:tcW w:w="9080" w:type="dxa"/>
            <w:vAlign w:val="bottom"/>
          </w:tcPr>
          <w:p>
            <w:pPr>
              <w:jc w:val="center"/>
              <w:ind w:left="2252"/>
              <w:spacing w:after="0"/>
              <w:rPr>
                <w:sz w:val="20"/>
                <w:szCs w:val="20"/>
                <w:color w:val="auto"/>
              </w:rPr>
            </w:pPr>
            <w:r>
              <w:rPr>
                <w:rFonts w:ascii="Arial" w:cs="Arial" w:eastAsia="Arial" w:hAnsi="Arial"/>
                <w:sz w:val="18"/>
                <w:szCs w:val="18"/>
                <w:b w:val="1"/>
                <w:bCs w:val="1"/>
                <w:color w:val="auto"/>
                <w:w w:val="90"/>
              </w:rPr>
              <w:t>Studio City Finance Limited</w:t>
            </w:r>
          </w:p>
        </w:tc>
        <w:tc>
          <w:tcPr>
            <w:tcW w:w="2240" w:type="dxa"/>
            <w:vAlign w:val="bottom"/>
          </w:tcPr>
          <w:p>
            <w:pPr>
              <w:spacing w:after="0"/>
              <w:rPr>
                <w:sz w:val="19"/>
                <w:szCs w:val="19"/>
                <w:color w:val="auto"/>
              </w:rPr>
            </w:pPr>
          </w:p>
        </w:tc>
      </w:tr>
      <w:tr>
        <w:trPr>
          <w:trHeight w:val="378"/>
        </w:trPr>
        <w:tc>
          <w:tcPr>
            <w:tcW w:w="9080" w:type="dxa"/>
            <w:vAlign w:val="bottom"/>
          </w:tcPr>
          <w:p>
            <w:pPr>
              <w:jc w:val="center"/>
              <w:ind w:left="2272"/>
              <w:spacing w:after="0"/>
              <w:rPr>
                <w:sz w:val="20"/>
                <w:szCs w:val="20"/>
                <w:color w:val="auto"/>
              </w:rPr>
            </w:pPr>
            <w:r>
              <w:rPr>
                <w:rFonts w:ascii="Arial" w:cs="Arial" w:eastAsia="Arial" w:hAnsi="Arial"/>
                <w:sz w:val="18"/>
                <w:szCs w:val="18"/>
                <w:b w:val="1"/>
                <w:bCs w:val="1"/>
                <w:color w:val="auto"/>
                <w:w w:val="90"/>
              </w:rPr>
              <w:t>Report for the First Quarter of 2013</w:t>
            </w:r>
          </w:p>
        </w:tc>
        <w:tc>
          <w:tcPr>
            <w:tcW w:w="2240" w:type="dxa"/>
            <w:vAlign w:val="bottom"/>
          </w:tcPr>
          <w:p>
            <w:pPr>
              <w:spacing w:after="0"/>
              <w:rPr>
                <w:sz w:val="24"/>
                <w:szCs w:val="24"/>
                <w:color w:val="auto"/>
              </w:rPr>
            </w:pPr>
          </w:p>
        </w:tc>
      </w:tr>
      <w:tr>
        <w:trPr>
          <w:trHeight w:val="378"/>
        </w:trPr>
        <w:tc>
          <w:tcPr>
            <w:tcW w:w="9080" w:type="dxa"/>
            <w:vAlign w:val="bottom"/>
          </w:tcPr>
          <w:p>
            <w:pPr>
              <w:jc w:val="center"/>
              <w:ind w:left="2272"/>
              <w:spacing w:after="0"/>
              <w:rPr>
                <w:sz w:val="20"/>
                <w:szCs w:val="20"/>
                <w:color w:val="auto"/>
              </w:rPr>
            </w:pPr>
            <w:r>
              <w:rPr>
                <w:rFonts w:ascii="Arial" w:cs="Arial" w:eastAsia="Arial" w:hAnsi="Arial"/>
                <w:sz w:val="18"/>
                <w:szCs w:val="18"/>
                <w:b w:val="1"/>
                <w:bCs w:val="1"/>
                <w:color w:val="auto"/>
                <w:w w:val="96"/>
              </w:rPr>
              <w:t>TABLE OF CONTENTS</w:t>
            </w:r>
          </w:p>
        </w:tc>
        <w:tc>
          <w:tcPr>
            <w:tcW w:w="2240" w:type="dxa"/>
            <w:vAlign w:val="bottom"/>
          </w:tcPr>
          <w:p>
            <w:pPr>
              <w:spacing w:after="0"/>
              <w:rPr>
                <w:sz w:val="24"/>
                <w:szCs w:val="24"/>
                <w:color w:val="auto"/>
              </w:rPr>
            </w:pPr>
          </w:p>
        </w:tc>
      </w:tr>
      <w:tr>
        <w:trPr>
          <w:trHeight w:val="419"/>
        </w:trPr>
        <w:tc>
          <w:tcPr>
            <w:tcW w:w="9080" w:type="dxa"/>
            <w:vAlign w:val="bottom"/>
          </w:tcPr>
          <w:p>
            <w:pPr>
              <w:spacing w:after="0"/>
              <w:rPr>
                <w:sz w:val="20"/>
                <w:szCs w:val="20"/>
                <w:color w:val="auto"/>
              </w:rPr>
            </w:pPr>
            <w:r>
              <w:rPr>
                <w:rFonts w:ascii="Arial" w:cs="Arial" w:eastAsia="Arial" w:hAnsi="Arial"/>
                <w:sz w:val="18"/>
                <w:szCs w:val="18"/>
                <w:color w:val="auto"/>
              </w:rPr>
              <w:t>INTRODUCTION</w:t>
            </w:r>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9080" w:type="dxa"/>
            <w:vAlign w:val="bottom"/>
          </w:tcPr>
          <w:p>
            <w:pPr>
              <w:spacing w:after="0"/>
              <w:rPr>
                <w:sz w:val="20"/>
                <w:szCs w:val="20"/>
                <w:color w:val="auto"/>
              </w:rPr>
            </w:pPr>
            <w:r>
              <w:rPr>
                <w:rFonts w:ascii="Arial" w:cs="Arial" w:eastAsia="Arial" w:hAnsi="Arial"/>
                <w:sz w:val="18"/>
                <w:szCs w:val="18"/>
                <w:color w:val="auto"/>
              </w:rPr>
              <w:t>SPECIAL NOTE REGARDING FORWARD-LOOKING STATEMENTS</w:t>
            </w:r>
          </w:p>
        </w:tc>
        <w:tc>
          <w:tcPr>
            <w:tcW w:w="22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9080" w:type="dxa"/>
            <w:vAlign w:val="bottom"/>
          </w:tcPr>
          <w:p>
            <w:pPr>
              <w:spacing w:after="0"/>
              <w:rPr>
                <w:sz w:val="20"/>
                <w:szCs w:val="20"/>
                <w:color w:val="auto"/>
              </w:rPr>
            </w:pPr>
            <w:r>
              <w:rPr>
                <w:rFonts w:ascii="Arial" w:cs="Arial" w:eastAsia="Arial" w:hAnsi="Arial"/>
                <w:sz w:val="18"/>
                <w:szCs w:val="18"/>
                <w:color w:val="auto"/>
              </w:rPr>
              <w:t>EXCHANGE RATE INFORMATION</w:t>
            </w:r>
          </w:p>
        </w:tc>
        <w:tc>
          <w:tcPr>
            <w:tcW w:w="22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9080" w:type="dxa"/>
            <w:vAlign w:val="bottom"/>
          </w:tcPr>
          <w:p>
            <w:pPr>
              <w:spacing w:after="0"/>
              <w:rPr>
                <w:sz w:val="20"/>
                <w:szCs w:val="20"/>
                <w:color w:val="auto"/>
              </w:rPr>
            </w:pPr>
            <w:r>
              <w:rPr>
                <w:rFonts w:ascii="Arial" w:cs="Arial" w:eastAsia="Arial" w:hAnsi="Arial"/>
                <w:sz w:val="18"/>
                <w:szCs w:val="18"/>
                <w:color w:val="auto"/>
              </w:rPr>
              <w:t>FINANCIAL CONDITION AND RESULTS OF OPERATIONS</w:t>
            </w:r>
          </w:p>
        </w:tc>
        <w:tc>
          <w:tcPr>
            <w:tcW w:w="22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9080" w:type="dxa"/>
            <w:vAlign w:val="bottom"/>
          </w:tcPr>
          <w:p>
            <w:pPr>
              <w:spacing w:after="0"/>
              <w:rPr>
                <w:sz w:val="20"/>
                <w:szCs w:val="20"/>
                <w:color w:val="auto"/>
              </w:rPr>
            </w:pPr>
            <w:r>
              <w:rPr>
                <w:rFonts w:ascii="Arial" w:cs="Arial" w:eastAsia="Arial" w:hAnsi="Arial"/>
                <w:sz w:val="18"/>
                <w:szCs w:val="18"/>
                <w:color w:val="auto"/>
              </w:rPr>
              <w:t>INDEX TO UNAUDITED CONDENSED CONSOLIDATED FINANCIAL STATEMENTS</w:t>
            </w:r>
          </w:p>
        </w:tc>
        <w:tc>
          <w:tcPr>
            <w:tcW w:w="2240" w:type="dxa"/>
            <w:vAlign w:val="bottom"/>
          </w:tcPr>
          <w:p>
            <w:pPr>
              <w:jc w:val="right"/>
              <w:spacing w:after="0"/>
              <w:rPr>
                <w:sz w:val="20"/>
                <w:szCs w:val="20"/>
                <w:color w:val="auto"/>
              </w:rPr>
            </w:pPr>
            <w:r>
              <w:rPr>
                <w:rFonts w:ascii="Arial" w:cs="Arial" w:eastAsia="Arial" w:hAnsi="Arial"/>
                <w:sz w:val="18"/>
                <w:szCs w:val="18"/>
                <w:color w:val="auto"/>
              </w:rPr>
              <w:t>F-1</w:t>
            </w:r>
          </w:p>
        </w:tc>
      </w:tr>
    </w:tbl>
    <w:p>
      <w:pPr>
        <w:jc w:val="right"/>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8" w:name="page29"/>
    <w:bookmarkEnd w:id="2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INTRODUCTION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quarterly report, unless otherwise indicated:</w:t>
      </w:r>
    </w:p>
    <w:p>
      <w:pPr>
        <w:spacing w:after="0" w:line="90" w:lineRule="exact"/>
        <w:rPr>
          <w:sz w:val="20"/>
          <w:szCs w:val="20"/>
          <w:color w:val="auto"/>
        </w:rPr>
      </w:pPr>
    </w:p>
    <w:p>
      <w:pPr>
        <w:ind w:left="440" w:right="320" w:hanging="324"/>
        <w:spacing w:after="0" w:line="268"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“Additional Development” refers to the additional development project on the Studio City site, which is expected to include an additional 5-star luxury hotel and related facilities, retail, entertainment and gaming expansion capacity;</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“Cotai” refers to an area of reclaimed land located between the islands of Taipa and Coloane in Macau;</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“HKSE” refers to The Stock Exchange of Hong Kong Limited;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“Macau” and “Macau SAR” refer to the Macau Special Administrative Region of the People’s Republic of China;</w:t>
      </w:r>
    </w:p>
    <w:p>
      <w:pPr>
        <w:spacing w:after="0" w:line="90" w:lineRule="exact"/>
        <w:rPr>
          <w:rFonts w:ascii="Arial" w:cs="Arial" w:eastAsia="Arial" w:hAnsi="Arial"/>
          <w:sz w:val="18"/>
          <w:szCs w:val="18"/>
          <w:color w:val="auto"/>
        </w:rPr>
      </w:pPr>
    </w:p>
    <w:p>
      <w:pPr>
        <w:ind w:left="440" w:right="460" w:hanging="324"/>
        <w:spacing w:after="0" w:line="332" w:lineRule="auto"/>
        <w:tabs>
          <w:tab w:leader="none" w:pos="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“MCE” refers to Melco Crown Entertainment Limited, a company incorporated in the Cayman Islands whose shares are listed on both the NASDAQ Global Market and HKSE, and which, through its wholly owned subsidiary MCE Cotai Investments Limited, owns a 60% interest in SCI;</w:t>
      </w:r>
    </w:p>
    <w:p>
      <w:pPr>
        <w:spacing w:after="0" w:line="4" w:lineRule="exact"/>
        <w:rPr>
          <w:rFonts w:ascii="Arial" w:cs="Arial" w:eastAsia="Arial" w:hAnsi="Arial"/>
          <w:sz w:val="16"/>
          <w:szCs w:val="16"/>
          <w:color w:val="auto"/>
        </w:rPr>
      </w:pPr>
    </w:p>
    <w:p>
      <w:pPr>
        <w:ind w:left="440" w:right="180" w:hanging="324"/>
        <w:spacing w:after="0" w:line="268"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Cotai Holdings” refers to New Cotai Holdings, LLC, a Delaware limited liability company primarily owned by U.S. investment funds managed by Silver Point Capital, L.P. and Oaktree Capital Management, L.P.;</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Cotai, LLC” refers to New Cotai, LCC, a Delaware limited liability company owned by New Cotai Holdings;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“Parent” refers to Melco Crown Entertainment Limited, a Cayman Islands exempted company with limited liability;</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“Patacas” and “MOP” refer to the legal currency of Macau;</w:t>
      </w:r>
    </w:p>
    <w:p>
      <w:pPr>
        <w:spacing w:after="0" w:line="90" w:lineRule="exact"/>
        <w:rPr>
          <w:rFonts w:ascii="Arial" w:cs="Arial" w:eastAsia="Arial" w:hAnsi="Arial"/>
          <w:sz w:val="18"/>
          <w:szCs w:val="18"/>
          <w:color w:val="auto"/>
        </w:rPr>
      </w:pPr>
    </w:p>
    <w:p>
      <w:pPr>
        <w:ind w:left="440" w:right="140" w:hanging="324"/>
        <w:spacing w:after="0" w:line="268"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“SCI” refers to Studio City International Holdings Limited (formerly known as Cyber One Agents Limited), a company incorporated in the British Virgin Islands with limited liability, and an indirect parent of our company;</w:t>
      </w:r>
    </w:p>
    <w:p>
      <w:pPr>
        <w:spacing w:after="0" w:line="50" w:lineRule="exact"/>
        <w:rPr>
          <w:rFonts w:ascii="Arial" w:cs="Arial" w:eastAsia="Arial" w:hAnsi="Arial"/>
          <w:sz w:val="18"/>
          <w:szCs w:val="18"/>
          <w:color w:val="auto"/>
        </w:rPr>
      </w:pPr>
    </w:p>
    <w:p>
      <w:pPr>
        <w:ind w:left="440" w:right="80" w:hanging="324"/>
        <w:spacing w:after="0" w:line="268"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“Studio City” refers to a cinematically-themed integrated entertainment, retail and gaming resort in Cotai, Macau to be developed, consisting of the Studio City Project and the Additional Development;</w:t>
      </w:r>
    </w:p>
    <w:p>
      <w:pPr>
        <w:spacing w:after="0" w:line="50" w:lineRule="exact"/>
        <w:rPr>
          <w:rFonts w:ascii="Arial" w:cs="Arial" w:eastAsia="Arial" w:hAnsi="Arial"/>
          <w:sz w:val="18"/>
          <w:szCs w:val="18"/>
          <w:color w:val="auto"/>
        </w:rPr>
      </w:pPr>
    </w:p>
    <w:p>
      <w:pPr>
        <w:ind w:left="440" w:right="680" w:hanging="324"/>
        <w:spacing w:after="0" w:line="268"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“Studio City Holdings” refers to Studio City Holdings Limited, a company incorporated in the British Virgin Islands and our intermediate holding company;</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“Studio City Hong Kong” refers to Studio City (HK) Limited, a Hong Kong incorporated company and a wholly owned subsidiary of SCI;</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“Studio City Notes” refer to Studio City Finance Limited’s US$825,000,000 8.50% senior notes due 2020;</w:t>
      </w:r>
    </w:p>
    <w:p>
      <w:pPr>
        <w:spacing w:after="0" w:line="90" w:lineRule="exact"/>
        <w:rPr>
          <w:rFonts w:ascii="Arial" w:cs="Arial" w:eastAsia="Arial" w:hAnsi="Arial"/>
          <w:sz w:val="18"/>
          <w:szCs w:val="18"/>
          <w:color w:val="auto"/>
        </w:rPr>
      </w:pPr>
    </w:p>
    <w:p>
      <w:pPr>
        <w:ind w:left="440" w:right="60" w:hanging="324"/>
        <w:spacing w:after="0" w:line="259"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“Studio City Project” or the “Project” refers to the first phase of our project to develop the Studio City site into a large-scale integrated leisure resort called “Studio City” combining 5-star luxury hotel and related facilities, gaming capacity, retail, attractions and entertainment venues (including a multipurpose entertainment studio);</w:t>
      </w:r>
    </w:p>
    <w:p>
      <w:pPr>
        <w:spacing w:after="0" w:line="59" w:lineRule="exact"/>
        <w:rPr>
          <w:rFonts w:ascii="Arial" w:cs="Arial" w:eastAsia="Arial" w:hAnsi="Arial"/>
          <w:sz w:val="18"/>
          <w:szCs w:val="18"/>
          <w:color w:val="auto"/>
        </w:rPr>
      </w:pPr>
    </w:p>
    <w:p>
      <w:pPr>
        <w:ind w:left="440" w:right="160" w:hanging="324"/>
        <w:spacing w:after="0" w:line="259"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“Studio City Project Facility” refers to the senior secured project facility, dated January 28, 2013, entered into between, among others, Studio City Company Limited as borrower and certain subsidiaries as guarantors for a total sum of HK$10,855,880,000 (equivalent to approximately US$1.4 billion) and consisting of a delayed draw term loan facility and revolving credit facility;</w:t>
      </w:r>
    </w:p>
    <w:p>
      <w:pPr>
        <w:spacing w:after="0" w:line="59"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 and “U.S. dollars” refer to the legal currency of the United States;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 GAAP” refers to the accounting principles generally accepted in the United States; and</w:t>
      </w:r>
    </w:p>
    <w:p>
      <w:pPr>
        <w:spacing w:after="0" w:line="90" w:lineRule="exact"/>
        <w:rPr>
          <w:rFonts w:ascii="Arial" w:cs="Arial" w:eastAsia="Arial" w:hAnsi="Arial"/>
          <w:sz w:val="18"/>
          <w:szCs w:val="18"/>
          <w:color w:val="auto"/>
        </w:rPr>
      </w:pPr>
    </w:p>
    <w:p>
      <w:pPr>
        <w:ind w:left="440" w:right="600" w:hanging="324"/>
        <w:spacing w:after="0" w:line="268"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“us,” “our company” and “our” refer to Studio City Finance Limited and, as the context requires, its predecessor entities and its consolidated subsidiaries.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quarterly report includes our unaudited condensed consolidated financial statements for the three months ended March 31, 2013.</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Any discrepancies in any table between totals and sums of amounts listed therein are due to rounding. Accordingly, figures shown as totals in certain tables may not be an arithmetic aggregation of the figures preceding them.</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74" w:right="279" w:bottom="1440" w:gutter="0" w:footer="0" w:header="0"/>
        </w:sectPr>
      </w:pPr>
    </w:p>
    <w:bookmarkStart w:id="29" w:name="page30"/>
    <w:bookmarkEnd w:id="29"/>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SPECIAL NOTE REGARDING FORWARD-LOOKING STATEMENTS</w:t>
      </w:r>
    </w:p>
    <w:p>
      <w:pPr>
        <w:spacing w:after="0" w:line="177" w:lineRule="exact"/>
        <w:rPr>
          <w:sz w:val="20"/>
          <w:szCs w:val="20"/>
          <w:color w:val="auto"/>
        </w:rPr>
      </w:pPr>
    </w:p>
    <w:p>
      <w:pPr>
        <w:ind w:right="500" w:firstLine="434"/>
        <w:spacing w:after="0" w:line="282" w:lineRule="auto"/>
        <w:rPr>
          <w:sz w:val="20"/>
          <w:szCs w:val="20"/>
          <w:color w:val="auto"/>
        </w:rPr>
      </w:pPr>
      <w:r>
        <w:rPr>
          <w:rFonts w:ascii="Arial" w:cs="Arial" w:eastAsia="Arial" w:hAnsi="Arial"/>
          <w:sz w:val="16"/>
          <w:szCs w:val="16"/>
          <w:color w:val="auto"/>
        </w:rPr>
        <w:t>This quarterly report contains forward-looking statements that relate to future events, including our future operating results and conditions, our prospects and our future financial performance and condition, all of which are largely based on our current expectations and projections. Known and unknown risks, uncertainties and other factors may cause our actual results, performance or achievements to be materially different from any future results, performances or achievements expressed or implied by the forward-looking statements. Moreover, because we operate in a heavily regulated and evolving industry, may become highly leveraged, and operate in Macau, a market that has recently experienced extremely rapid growth and intense competition, new risk factors may emerge from time to time. It is not possible for our management to predict all risk factors, nor can we assess the impact of these factors on our business or the extent to which any factor, or combination of factors, may cause actual results to differ materially from those expressed or implied in any forward-looking statement. Forward-looking statements involve inherent risks and uncertainties, and a number of factors could cause actual results to differ materially from those contained in any forward-looking statement. These factors include, but are not limited to,</w:t>
      </w:r>
    </w:p>
    <w:p>
      <w:pPr>
        <w:spacing w:after="0" w:line="5" w:lineRule="exact"/>
        <w:rPr>
          <w:sz w:val="20"/>
          <w:szCs w:val="20"/>
          <w:color w:val="auto"/>
        </w:rPr>
      </w:pPr>
    </w:p>
    <w:p>
      <w:pPr>
        <w:ind w:right="700" w:firstLine="8"/>
        <w:spacing w:after="0" w:line="254" w:lineRule="auto"/>
        <w:tabs>
          <w:tab w:leader="none" w:pos="21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growth of the gaming market and visitation in Macau, (ii) capital and credit market volatility, (iii) local and global economic conditions, (iv) our anticipated growth strategies, and (v) our future business development, results of operations and financial condition. In some cases, forward-looking statements can be identified by words or phrases such as “may”, “will”, “expect”, “anticipate”, “target”, “aim”, “estimate”, “intend”, “plan”, “believe”, “potential”, “continue”, “is/are likely to” or other similar expressions.</w:t>
      </w:r>
    </w:p>
    <w:p>
      <w:pPr>
        <w:spacing w:after="0" w:line="14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forward-looking statements made in this quarterly report relate only to events or information as of the date on which the statements are made in this quarterly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quarterly report with the understanding that our actual future results may be materially different from what we expect.</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74" w:right="339" w:bottom="1440" w:gutter="0" w:footer="0" w:header="0"/>
        </w:sectPr>
      </w:pPr>
    </w:p>
    <w:bookmarkStart w:id="30" w:name="page31"/>
    <w:bookmarkEnd w:id="3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EXCHANGE RATE INFORMATION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Although we will have certain expenses and revenues denominated in Patacas, our revenues and expenses will be denominated predominantly in H.K.</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dollars and in connection with a portion of our indebtedness and certain expenses, U.S. dollars. Unless otherwise noted, all translations from H.K. dollars to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dollars and from U.S. dollars to H.K. dollars in this quarterly report were made at a rate of HK$7.78 to US$1.00.</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H.K. dollar is freely convertible into other currencies (including the U.S. dollar). Since October 17, 1983, the H.K. dollar has been officially linked to the U.S. dollar at the rate of HK$7.80 to US$1.00. The market exchange rate has not deviated materially from the level of HK$7.80 to US$1.00 since the peg was first established. However, in May 2005, the Hong Kong Monetary Authority broadened the trading band from the original rate of HK$7.80 per U.S. dollar to a rate range of HK$7.75 to HK$7.85 per U.S. dollar. The Hong Kong government has stated its intention to maintain the link at that rate, and it, acting through the Hong Kong Monetary Authority, has a number of means by which it may act to maintain exchange rate stability. However, no assurance can be given that the Hong Kong government will maintain the link at HK$7.75 to HK$7.85 per U.S. dollar or at all.</w:t>
      </w:r>
    </w:p>
    <w:p>
      <w:pPr>
        <w:spacing w:after="0" w:line="12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noon buying rate on March 29, 2013 in New York City for cable transfers in H.K. dollar per U.S. dollar, as certified for customs purposes by the H.10 weekly statistical release of the Federal Reserve Board of the United States, or the Federal Reserve Board, was HK$7.7629 to US$1.00. On May 17, 2013, the noon buying rate was HK$7.7627 to US$1.00. We make no representation that any H.K. dollar or U.S. dollar amounts could have been, or could be, converted into U.S. dollars or H.K. dollars, as the case may be, at any particular rate or at all.</w:t>
      </w:r>
    </w:p>
    <w:p>
      <w:pPr>
        <w:spacing w:after="0" w:line="113"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The Pataca is pegged to the H.K. dollar at a rate of HK$1.00 = MOP1.03. All translations from Patacas to U.S. dollars in this quarterly report were made at the exchange rate of MOP8.0134 = US$1.00. The Federal Reserve Board does not certify for customs purposes a noon buying rate for cable transfers in Patacas.</w:t>
      </w: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CONDITION AND RESULTS OF OPERATIONS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following discussion should be read in connection with our unaudited condensed consolidated financial statements included elsewhere in this quarterly report. Our unaudited condensed consolidated financial statements have been prepared in accordance with U.S. GAAP. The historical results are not necessarily indicative of the results of operations to be expected in the future. Certain statements in this “Financial Condition and Results of Operations” are forward-looking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are currently in the development stage, and as a result there is no revenue and cash provided by our intended operations. Accordingly, the activities reflected in our consolidated statements of operations mainly relate to general and administrative expenses, amortization of land use right, interest expenses, other finance costs and pre-opening costs. Consequently, as is typical for a development stage company, we have incurred losses to date and expect these losses to continue to increase until we commence commercial operations with the planned opening of the Studio City Project in mid-2015.</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Three Months Ended March 31, 2013 Compared to Three Months Ended March 31, 2012</w:t>
      </w:r>
    </w:p>
    <w:p>
      <w:pPr>
        <w:spacing w:after="0" w:line="171"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For the three months ended March 31, 2013, we had a net loss of US$21.5 million, an increase of US$19.7 million from a net loss of US$1.8 million for the three months ended March 31, 2012, primarily due to our continuous development on Studio City, resulting an overall increase in our operating costs and expenses relating to amortization of land use right as well as interest expenses, net and other finance costs.</w:t>
      </w:r>
    </w:p>
    <w:p>
      <w:pPr>
        <w:spacing w:after="0" w:line="107"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Amortization of land use rights expenses for the three months ended March 31, 2013 were US$3.0 million, an increase of US$1.8 million from US$1.2 million incurred for the three months ended March 31, 2012, primarily associated with the amended Studio City land concession contract in July 2012.</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Pre-opening costs remained stable at US$0.6 million for each of the three months ended 2013 and 2012, respectively.</w:t>
      </w:r>
    </w:p>
    <w:p>
      <w:pPr>
        <w:spacing w:after="0" w:line="17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Interest expenses, net for the three months ended March 31, 2013 were US$12.9 million. The net interest expenses mainly represented US$17.5 million interest expenses incurred for the Studio City Notes issued in November 2012 and US$1.2 million interest expenses on Studio City land use right payable, offset in part by the interest capitalization of US$5.8 million associated with the Studio City construction and development projects.</w:t>
      </w:r>
    </w:p>
    <w:p>
      <w:pPr>
        <w:spacing w:after="0" w:line="107"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Other finance costs for the three months ended March 31, 2013 of US$4.6 million, included US$0.4 million of amortization of deferred financing costs associated with the Studio City Notes issued in November 2012 and loan commitment fee of US$4.2 million associated with the Studio City Project Facility.</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Liquidity and Capital Resources</w:t>
      </w:r>
    </w:p>
    <w:p>
      <w:pPr>
        <w:spacing w:after="0" w:line="96" w:lineRule="exact"/>
        <w:rPr>
          <w:sz w:val="20"/>
          <w:szCs w:val="20"/>
          <w:color w:val="auto"/>
        </w:rPr>
      </w:pPr>
    </w:p>
    <w:p>
      <w:pPr>
        <w:ind w:right="440" w:firstLine="438"/>
        <w:spacing w:after="0" w:line="291" w:lineRule="auto"/>
        <w:rPr>
          <w:sz w:val="20"/>
          <w:szCs w:val="20"/>
          <w:color w:val="auto"/>
        </w:rPr>
      </w:pPr>
      <w:r>
        <w:rPr>
          <w:rFonts w:ascii="Arial" w:cs="Arial" w:eastAsia="Arial" w:hAnsi="Arial"/>
          <w:sz w:val="16"/>
          <w:szCs w:val="16"/>
          <w:color w:val="auto"/>
        </w:rPr>
        <w:t>We have relied and intend to rely on shareholder equity contributions and/or subordinated loans from our shareholders, net proceeds from Studio City Notes and a portion of the Studio City Project Facility to meet our development project needs through the opening of the Studio City Project. As a development stage company relying on such financing sources, our working capital balance may be negative from time to time as the source of funds will be from long-term debt while our liabilities are current. See “—Indebtedness and Capital Contributions” for further details. In addition, we expect our cash outflow to increase as we will have substantial payment obligations relating to various development capital expenditure, pre-opening and working capital expenses and debt financing obligations during the construction period.</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of March 31, 2013, we held restricted cash and cash equivalents of approximately US$835.1 million. The restricted cash comprised of net proceeds from offering of Studio City Notes and the unspent cash from the capital injection for the Studio City Project from the advance from immediate holding company, Studio City Holdings, both of which were restricted only for payment of construction and development costs and other project costs of the Studio City Project in accordance with Studio City Notes and Studio City Project Facility terms.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cash flows for the periods indicated:</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w:t>
            </w:r>
          </w:p>
        </w:tc>
      </w:tr>
      <w:tr>
        <w:trPr>
          <w:trHeight w:val="162"/>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March 31,</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2"/>
                <w:szCs w:val="12"/>
                <w:color w:val="auto"/>
              </w:rPr>
            </w:pPr>
          </w:p>
        </w:tc>
        <w:tc>
          <w:tcPr>
            <w:tcW w:w="1300" w:type="dxa"/>
            <w:vAlign w:val="bottom"/>
            <w:gridSpan w:val="3"/>
          </w:tcPr>
          <w:p>
            <w:pPr>
              <w:jc w:val="right"/>
              <w:ind w:right="102"/>
              <w:spacing w:after="0" w:line="149"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4"/>
          </w:tcPr>
          <w:p>
            <w:pPr>
              <w:ind w:left="280"/>
              <w:spacing w:after="0"/>
              <w:rPr>
                <w:sz w:val="20"/>
                <w:szCs w:val="20"/>
                <w:color w:val="auto"/>
              </w:rPr>
            </w:pPr>
            <w:r>
              <w:rPr>
                <w:rFonts w:ascii="Arial" w:cs="Arial" w:eastAsia="Arial" w:hAnsi="Arial"/>
                <w:sz w:val="14"/>
                <w:szCs w:val="14"/>
                <w:b w:val="1"/>
                <w:bCs w:val="1"/>
                <w:color w:val="auto"/>
                <w:w w:val="85"/>
              </w:rPr>
              <w:t>(In thousands of US$</w:t>
            </w:r>
          </w:p>
        </w:tc>
        <w:tc>
          <w:tcPr>
            <w:tcW w:w="420" w:type="dxa"/>
            <w:vAlign w:val="bottom"/>
          </w:tcPr>
          <w:p>
            <w:pPr>
              <w:jc w:val="right"/>
              <w:ind w:right="302"/>
              <w:spacing w:after="0"/>
              <w:rPr>
                <w:sz w:val="20"/>
                <w:szCs w:val="20"/>
                <w:color w:val="auto"/>
              </w:rPr>
            </w:pPr>
            <w:r>
              <w:rPr>
                <w:rFonts w:ascii="Arial" w:cs="Arial" w:eastAsia="Arial" w:hAnsi="Arial"/>
                <w:sz w:val="8"/>
                <w:szCs w:val="8"/>
                <w:b w:val="1"/>
                <w:bCs w:val="1"/>
                <w:color w:val="auto"/>
                <w:w w:val="73"/>
              </w:rPr>
              <w:t>)</w:t>
            </w:r>
          </w:p>
        </w:tc>
        <w:tc>
          <w:tcPr>
            <w:tcW w:w="120" w:type="dxa"/>
            <w:vAlign w:val="bottom"/>
          </w:tcPr>
          <w:p>
            <w:pPr>
              <w:spacing w:after="0"/>
              <w:rPr>
                <w:sz w:val="14"/>
                <w:szCs w:val="14"/>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(71,801)</w:t>
            </w:r>
          </w:p>
        </w:tc>
        <w:tc>
          <w:tcPr>
            <w:tcW w:w="1420" w:type="dxa"/>
            <w:vAlign w:val="bottom"/>
            <w:gridSpan w:val="4"/>
          </w:tcPr>
          <w:p>
            <w:pPr>
              <w:jc w:val="right"/>
              <w:ind w:right="60"/>
              <w:spacing w:after="0"/>
              <w:rPr>
                <w:sz w:val="20"/>
                <w:szCs w:val="20"/>
                <w:color w:val="auto"/>
              </w:rPr>
            </w:pPr>
            <w:r>
              <w:rPr>
                <w:rFonts w:ascii="Arial" w:cs="Arial" w:eastAsia="Arial" w:hAnsi="Arial"/>
                <w:sz w:val="18"/>
                <w:szCs w:val="18"/>
                <w:color w:val="auto"/>
              </w:rPr>
              <w:t>(12,336)</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72,176</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9,023</w:t>
            </w:r>
          </w:p>
        </w:tc>
        <w:tc>
          <w:tcPr>
            <w:tcW w:w="120" w:type="dxa"/>
            <w:vAlign w:val="bottom"/>
            <w:shd w:val="clear" w:color="auto" w:fill="CCEEFF"/>
          </w:tcPr>
          <w:p>
            <w:pPr>
              <w:spacing w:after="0"/>
              <w:rPr>
                <w:sz w:val="18"/>
                <w:szCs w:val="18"/>
                <w:color w:val="auto"/>
              </w:rPr>
            </w:pPr>
          </w:p>
        </w:tc>
      </w:tr>
      <w:tr>
        <w:trPr>
          <w:trHeight w:val="221"/>
        </w:trPr>
        <w:tc>
          <w:tcPr>
            <w:tcW w:w="654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20" w:type="dxa"/>
            <w:vAlign w:val="bottom"/>
            <w:gridSpan w:val="4"/>
          </w:tcPr>
          <w:p>
            <w:pPr>
              <w:jc w:val="right"/>
              <w:ind w:right="60"/>
              <w:spacing w:after="0"/>
              <w:rPr>
                <w:sz w:val="20"/>
                <w:szCs w:val="20"/>
                <w:color w:val="auto"/>
              </w:rPr>
            </w:pPr>
            <w:r>
              <w:rPr>
                <w:rFonts w:ascii="Arial" w:cs="Arial" w:eastAsia="Arial" w:hAnsi="Arial"/>
                <w:sz w:val="18"/>
                <w:szCs w:val="18"/>
                <w:color w:val="auto"/>
              </w:rPr>
              <w:t>(3,413)</w:t>
            </w:r>
          </w:p>
        </w:tc>
      </w:tr>
      <w:tr>
        <w:trPr>
          <w:trHeight w:val="218"/>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5,393</w:t>
            </w:r>
          </w:p>
        </w:tc>
        <w:tc>
          <w:tcPr>
            <w:tcW w:w="120" w:type="dxa"/>
            <w:vAlign w:val="bottom"/>
            <w:shd w:val="clear" w:color="auto" w:fill="CCEEFF"/>
          </w:tcPr>
          <w:p>
            <w:pPr>
              <w:spacing w:after="0"/>
              <w:rPr>
                <w:sz w:val="18"/>
                <w:szCs w:val="18"/>
                <w:color w:val="auto"/>
              </w:rPr>
            </w:pPr>
          </w:p>
        </w:tc>
      </w:tr>
      <w:tr>
        <w:trPr>
          <w:trHeight w:val="222"/>
        </w:trPr>
        <w:tc>
          <w:tcPr>
            <w:tcW w:w="654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1,980</w:t>
            </w:r>
          </w:p>
        </w:tc>
        <w:tc>
          <w:tcPr>
            <w:tcW w:w="12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We are currently developing the Studio City Project and therefore there is no revenue and cash generated from our intended operations. Net cash used in operating activities during the presented periods in this quarterly report mainly represents general and administrative expenses and pre-opening costs paid during the period. For the three months ended March 31, 2013 and 2012, net cash used in operating activities were US$0.4 million and US$0.1 million respectively.</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33" w:name="page34"/>
    <w:bookmarkEnd w:id="33"/>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Investing Activities</w:t>
      </w:r>
    </w:p>
    <w:p>
      <w:pPr>
        <w:spacing w:after="0" w:line="9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Net cash used in investing activities was US$71.8 million for the three months ended March 31, 2013, an increase of US$59.5 million compared to US$12.3 million for the three months ended March 31, 2012. Such increase was primarily due to increase in capital expenditure payment of US$43.7 million, advance payments for constructions of US$25.7 million, as well as the scheduled installment payment of US$22.1 million for Studio City’s land premium, partially offset by decrease in restricted cash of US$32.1 million.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decrease in restricted cash of US$32.1 million was primarily due to withdrawal and payment of Studio City Project costs of US$158.1 million during the three months ended March 31, 2013 from the bank accounts that are restricted for Studio City Project costs in accordance with the terms of Studio City Notes and Studio City Project Facility, partially offset by the funds transfer from Studio City Holdings, our immediate holding company, of US$126.0 million as described below.</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Cash used in investing activities was US$12.3 million for the three months ended March 31, 2012, primarily due to the payment of design and preliminary works in connection with Studio City.</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Net cash provided by financing activities was US$72.2 million for the three months ended March 31, 2013, primarily from the advances from Studio City Holdings, our immediate holding company, which are unsecured and non-interest bearing, of US$126.0 million. The advances from Studio City Holdings of US$126.0 million was sourced from capital injection of MCE and New Cotai, LLC, shareholders of SCI. These were offset in part by the prepaid debt issuance costs of US$52.3 million associated with Studio City Project Facility and payment of debt issuance cost associated with Studio City Notes of US$1.5 million.</w:t>
      </w:r>
    </w:p>
    <w:p>
      <w:pPr>
        <w:spacing w:after="0" w:line="11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Cash provided by financing activities were US$9.0 million for the three months ended March 31, 2012. The amounts represent fund transfer from Studio City Hong Kong, our affiliated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 and Capital Contributions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2013, our indebtedness represented the Studio City Notes amounted to US$825 million.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January 28, 2013, we entered into an agreement for the Studio City Project Facility, a senior secured project facility for a total sum of</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HK$10,855,880,000 (equivalent to approximately US$1.4 billion), comprising a five year HK$10,080,460,000 (equivalent to approximately US$1.3 billion)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delayed draw term loan facility and a HK$775,420,000 (equivalent to approximately US$100 million) revolving credit facility. Borrowings under the Studio City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Project Facility bear interest at the Hong Kong Interbank Offered Rate (“HIBOR”) plus a margin of 4.50% per annum until the last day of the second full fiscal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quarter after the opening date of the Studio City Project. After that, interest will accrue at HIBOR plus a margin ranging from 3.75% to 4.50% per annum,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depending on the total leverage ratio of Studio City Company Limited and its subsidiaries.</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80" w:right="319" w:bottom="1440" w:gutter="0" w:footer="0" w:header="0"/>
        </w:sectPr>
      </w:pPr>
    </w:p>
    <w:bookmarkStart w:id="34" w:name="page35"/>
    <w:bookmarkEnd w:id="34"/>
    <w:p>
      <w:pPr>
        <w:ind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April 2013, MCE and New Cotai, LLC, shareholders of SCI, further contributed US$140 million to the Studio City Project in accordance with the shareholder agreement, resulting MCE and New Cotai, LLC contributed US$490 million in total as of the date of this quarterly report. Our shareholders are expected to provide total equity contribution and/or subordinated loans of US$825 million and SCI is expected to procure completion support of US$225 million through letters of credit or cash collateral. We believe that the significant equity investment of our shareholders provides us with a prudent capital structure.</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280" w:right="339" w:bottom="1440" w:gutter="0" w:footer="0" w:header="0"/>
        </w:sectPr>
      </w:pPr>
    </w:p>
    <w:bookmarkStart w:id="35" w:name="page36"/>
    <w:bookmarkEnd w:id="3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Studio City Finance Limited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 To Unaudited Condensed Consolidated Financial Statements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Three Months Ended March 31, 2013</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0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6"/>
              </w:rPr>
              <w:t>Page</w:t>
            </w:r>
          </w:p>
        </w:tc>
      </w:tr>
      <w:tr>
        <w:trPr>
          <w:trHeight w:val="303"/>
        </w:trPr>
        <w:tc>
          <w:tcPr>
            <w:tcW w:w="5000" w:type="dxa"/>
            <w:vAlign w:val="bottom"/>
          </w:tcPr>
          <w:p>
            <w:pPr>
              <w:spacing w:after="0"/>
              <w:rPr>
                <w:sz w:val="20"/>
                <w:szCs w:val="20"/>
                <w:color w:val="auto"/>
              </w:rPr>
            </w:pPr>
            <w:r>
              <w:rPr>
                <w:rFonts w:ascii="Arial" w:cs="Arial" w:eastAsia="Arial" w:hAnsi="Arial"/>
                <w:sz w:val="18"/>
                <w:szCs w:val="18"/>
                <w:color w:val="auto"/>
              </w:rPr>
              <w:t>Unaudited Condensed Consolidated Balance Sheets</w:t>
            </w:r>
          </w:p>
        </w:tc>
        <w:tc>
          <w:tcPr>
            <w:tcW w:w="60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324"/>
        </w:trPr>
        <w:tc>
          <w:tcPr>
            <w:tcW w:w="5000" w:type="dxa"/>
            <w:vAlign w:val="bottom"/>
          </w:tcPr>
          <w:p>
            <w:pPr>
              <w:spacing w:after="0"/>
              <w:rPr>
                <w:sz w:val="20"/>
                <w:szCs w:val="20"/>
                <w:color w:val="auto"/>
              </w:rPr>
            </w:pPr>
            <w:r>
              <w:rPr>
                <w:rFonts w:ascii="Arial" w:cs="Arial" w:eastAsia="Arial" w:hAnsi="Arial"/>
                <w:sz w:val="18"/>
                <w:szCs w:val="18"/>
                <w:color w:val="auto"/>
                <w:w w:val="99"/>
              </w:rPr>
              <w:t>Unaudited Condensed Consolidated Statements of Operations</w:t>
            </w:r>
          </w:p>
        </w:tc>
        <w:tc>
          <w:tcPr>
            <w:tcW w:w="60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324"/>
        </w:trPr>
        <w:tc>
          <w:tcPr>
            <w:tcW w:w="5000" w:type="dxa"/>
            <w:vAlign w:val="bottom"/>
          </w:tcPr>
          <w:p>
            <w:pPr>
              <w:spacing w:after="0"/>
              <w:rPr>
                <w:sz w:val="20"/>
                <w:szCs w:val="20"/>
                <w:color w:val="auto"/>
              </w:rPr>
            </w:pPr>
            <w:r>
              <w:rPr>
                <w:rFonts w:ascii="Arial" w:cs="Arial" w:eastAsia="Arial" w:hAnsi="Arial"/>
                <w:sz w:val="18"/>
                <w:szCs w:val="18"/>
                <w:color w:val="auto"/>
                <w:w w:val="98"/>
              </w:rPr>
              <w:t>Unaudited Condensed Consolidated Statements of Cash Flows</w:t>
            </w:r>
          </w:p>
        </w:tc>
        <w:tc>
          <w:tcPr>
            <w:tcW w:w="60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365"/>
        </w:trPr>
        <w:tc>
          <w:tcPr>
            <w:tcW w:w="5000" w:type="dxa"/>
            <w:vAlign w:val="bottom"/>
          </w:tcPr>
          <w:p>
            <w:pPr>
              <w:spacing w:after="0"/>
              <w:rPr>
                <w:sz w:val="24"/>
                <w:szCs w:val="24"/>
                <w:color w:val="auto"/>
              </w:rPr>
            </w:pPr>
          </w:p>
        </w:tc>
        <w:tc>
          <w:tcPr>
            <w:tcW w:w="6360" w:type="dxa"/>
            <w:vAlign w:val="bottom"/>
            <w:gridSpan w:val="2"/>
          </w:tcPr>
          <w:p>
            <w:pPr>
              <w:jc w:val="right"/>
              <w:ind w:right="5432"/>
              <w:spacing w:after="0"/>
              <w:rPr>
                <w:sz w:val="20"/>
                <w:szCs w:val="20"/>
                <w:color w:val="auto"/>
              </w:rPr>
            </w:pPr>
            <w:r>
              <w:rPr>
                <w:rFonts w:ascii="Arial" w:cs="Arial" w:eastAsia="Arial" w:hAnsi="Arial"/>
                <w:sz w:val="18"/>
                <w:szCs w:val="18"/>
                <w:color w:val="auto"/>
              </w:rPr>
              <w:t>F-1</w:t>
            </w:r>
          </w:p>
        </w:tc>
      </w:tr>
    </w:tbl>
    <w:p>
      <w:pPr>
        <w:sectPr>
          <w:pgSz w:w="11900" w:h="16838" w:orient="portrait"/>
          <w:cols w:equalWidth="0" w:num="1">
            <w:col w:w="11360"/>
          </w:cols>
          <w:pgMar w:left="240" w:top="274" w:right="29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Studio City Finance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900" w:type="dxa"/>
            <w:vAlign w:val="bottom"/>
          </w:tcPr>
          <w:p>
            <w:pPr>
              <w:spacing w:after="0"/>
              <w:rPr>
                <w:sz w:val="19"/>
                <w:szCs w:val="19"/>
                <w:color w:val="auto"/>
              </w:rPr>
            </w:pP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rPr>
              <w:t>March 31, 2013</w:t>
            </w:r>
          </w:p>
        </w:tc>
        <w:tc>
          <w:tcPr>
            <w:tcW w:w="380" w:type="dxa"/>
            <w:vAlign w:val="bottom"/>
          </w:tcPr>
          <w:p>
            <w:pPr>
              <w:spacing w:after="0"/>
              <w:rPr>
                <w:sz w:val="19"/>
                <w:szCs w:val="19"/>
                <w:color w:val="auto"/>
              </w:rPr>
            </w:pP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w w:val="92"/>
              </w:rPr>
              <w:t>December 31, 2012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9"/>
              </w:rPr>
              <w:t>(Unaudited)</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9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93,380</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Amounts due from affiliated companies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1,338</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2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96,032</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128,672</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9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315,736</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LONG-TERM PREPAYMENT, DEPOSITS AND OTHER ASSETS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98,532</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20,371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741,703</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DEFERRED FINANCING COST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16,287</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16,546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LAND USE RIGHT, NET</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163,409</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1,431,699</w:t>
            </w:r>
          </w:p>
        </w:tc>
        <w:tc>
          <w:tcPr>
            <w:tcW w:w="420" w:type="dxa"/>
            <w:vAlign w:val="bottom"/>
          </w:tcPr>
          <w:p>
            <w:pPr>
              <w:spacing w:after="0"/>
              <w:rPr>
                <w:sz w:val="19"/>
                <w:szCs w:val="19"/>
                <w:color w:val="auto"/>
              </w:rPr>
            </w:pPr>
          </w:p>
        </w:tc>
        <w:tc>
          <w:tcPr>
            <w:tcW w:w="6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1,346,128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9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103,769</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Amounts due to affiliated companies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2,976</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Amount due to ultimate holding company</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2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106,913</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105,919</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9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825,000</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ADVANCE FROM IMMEDIATE HOLDING COMPANY</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216,049</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90,084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4,955</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LAND USE RIGHT PAYABLE</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48,157</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71,358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 xml:space="preserve">Ordinary shares </w:t>
            </w:r>
            <w:r>
              <w:rPr>
                <w:rFonts w:ascii="Arial" w:cs="Arial" w:eastAsia="Arial" w:hAnsi="Arial"/>
                <w:sz w:val="11"/>
                <w:szCs w:val="11"/>
                <w:color w:val="auto"/>
              </w:rPr>
              <w:t>(1)</w:t>
            </w:r>
          </w:p>
        </w:tc>
        <w:tc>
          <w:tcPr>
            <w:tcW w:w="12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298,596</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(65)</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Deficit accumulated during the development stage</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(67,906)</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(46,372)</w:t>
            </w:r>
          </w:p>
        </w:tc>
        <w:tc>
          <w:tcPr>
            <w:tcW w:w="0" w:type="dxa"/>
            <w:vAlign w:val="bottom"/>
          </w:tcPr>
          <w:p>
            <w:pPr>
              <w:spacing w:after="0"/>
              <w:rPr>
                <w:sz w:val="1"/>
                <w:szCs w:val="1"/>
                <w:color w:val="auto"/>
              </w:rPr>
            </w:pPr>
          </w:p>
        </w:tc>
      </w:tr>
      <w:tr>
        <w:trPr>
          <w:trHeight w:val="230"/>
        </w:trPr>
        <w:tc>
          <w:tcPr>
            <w:tcW w:w="7920" w:type="dxa"/>
            <w:vAlign w:val="bottom"/>
            <w:gridSpan w:val="2"/>
          </w:tcPr>
          <w:p>
            <w:pPr>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230,625</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252,159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1,431,699</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1,346,128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authorized share capital of Studio City Finance Limited was 50,000 shares of US$1 par value per share, as of March 31, 2013 and December 31, 2012, 1 share of US$1 par value per share was issued and fully paid.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274"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Studio City Finance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gridSpan w:val="3"/>
          </w:tcPr>
          <w:p>
            <w:pPr>
              <w:spacing w:after="0"/>
              <w:rPr>
                <w:sz w:val="20"/>
                <w:szCs w:val="20"/>
                <w:color w:val="auto"/>
              </w:rPr>
            </w:pPr>
            <w:r>
              <w:rPr>
                <w:rFonts w:ascii="Arial" w:cs="Arial" w:eastAsia="Arial" w:hAnsi="Arial"/>
                <w:sz w:val="18"/>
                <w:szCs w:val="18"/>
                <w:b w:val="1"/>
                <w:bCs w:val="1"/>
                <w:color w:val="auto"/>
                <w:w w:val="94"/>
              </w:rPr>
              <w:t>From inception 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w w:val="95"/>
              </w:rPr>
              <w:t>Three Months Ended March 31,</w:t>
            </w:r>
          </w:p>
        </w:tc>
        <w:tc>
          <w:tcPr>
            <w:tcW w:w="440" w:type="dxa"/>
            <w:vAlign w:val="bottom"/>
          </w:tcPr>
          <w:p>
            <w:pPr>
              <w:spacing w:after="0"/>
              <w:rPr>
                <w:sz w:val="18"/>
                <w:szCs w:val="18"/>
                <w:color w:val="auto"/>
              </w:rPr>
            </w:pPr>
          </w:p>
        </w:tc>
        <w:tc>
          <w:tcPr>
            <w:tcW w:w="1500" w:type="dxa"/>
            <w:vAlign w:val="bottom"/>
            <w:gridSpan w:val="3"/>
          </w:tcPr>
          <w:p>
            <w:pPr>
              <w:spacing w:after="0"/>
              <w:rPr>
                <w:sz w:val="20"/>
                <w:szCs w:val="20"/>
                <w:color w:val="auto"/>
              </w:rPr>
            </w:pPr>
            <w:r>
              <w:rPr>
                <w:rFonts w:ascii="Arial" w:cs="Arial" w:eastAsia="Arial" w:hAnsi="Arial"/>
                <w:sz w:val="18"/>
                <w:szCs w:val="18"/>
                <w:b w:val="1"/>
                <w:bCs w:val="1"/>
                <w:color w:val="auto"/>
                <w:w w:val="93"/>
              </w:rPr>
              <w:t>August 22, 2000 to</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172"/>
              <w:spacing w:after="0"/>
              <w:rPr>
                <w:sz w:val="20"/>
                <w:szCs w:val="20"/>
                <w:color w:val="auto"/>
              </w:rPr>
            </w:pPr>
            <w:r>
              <w:rPr>
                <w:rFonts w:ascii="Arial" w:cs="Arial" w:eastAsia="Arial" w:hAnsi="Arial"/>
                <w:sz w:val="18"/>
                <w:szCs w:val="18"/>
                <w:b w:val="1"/>
                <w:bCs w:val="1"/>
                <w:color w:val="auto"/>
              </w:rPr>
              <w:t>2013</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192"/>
              <w:spacing w:after="0"/>
              <w:rPr>
                <w:sz w:val="20"/>
                <w:szCs w:val="20"/>
                <w:color w:val="auto"/>
              </w:rPr>
            </w:pPr>
            <w:r>
              <w:rPr>
                <w:rFonts w:ascii="Arial" w:cs="Arial" w:eastAsia="Arial" w:hAnsi="Arial"/>
                <w:sz w:val="18"/>
                <w:szCs w:val="18"/>
                <w:b w:val="1"/>
                <w:bCs w:val="1"/>
                <w:color w:val="auto"/>
              </w:rPr>
              <w:t>2012</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w w:val="90"/>
              </w:rPr>
              <w:t>March 31,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60" w:type="dxa"/>
            <w:vAlign w:val="bottom"/>
            <w:tcBorders>
              <w:top w:val="single" w:sz="8" w:color="CCEEFF"/>
            </w:tcBorders>
            <w:shd w:val="clear" w:color="auto" w:fill="CCEEFF"/>
          </w:tcPr>
          <w:p>
            <w:pPr>
              <w:spacing w:after="0" w:line="198" w:lineRule="exact"/>
              <w:rPr>
                <w:sz w:val="20"/>
                <w:szCs w:val="20"/>
                <w:color w:val="auto"/>
              </w:rPr>
            </w:pPr>
            <w:r>
              <w:rPr>
                <w:rFonts w:ascii="Arial" w:cs="Arial" w:eastAsia="Arial" w:hAnsi="Arial"/>
                <w:sz w:val="18"/>
                <w:szCs w:val="18"/>
                <w:color w:val="auto"/>
              </w:rPr>
              <w:t>OPERATING REVENUE</w:t>
            </w:r>
          </w:p>
        </w:tc>
        <w:tc>
          <w:tcPr>
            <w:tcW w:w="14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Other revenue</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574</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3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(780)</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(20)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(21,188)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land use right</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(3,026)</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Depreciation</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(623)</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(4,435)</w:t>
            </w: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color w:val="auto"/>
              </w:rPr>
              <w:t>Total operating costs and expenses</w:t>
            </w:r>
          </w:p>
        </w:tc>
        <w:tc>
          <w:tcPr>
            <w:tcW w:w="1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80" w:type="dxa"/>
            <w:vAlign w:val="bottom"/>
            <w:gridSpan w:val="2"/>
            <w:vMerge w:val="continue"/>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(4,429)</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(1,779)</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(40,912)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(3,855)</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(1,779)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(39,683)</w:t>
            </w:r>
          </w:p>
        </w:tc>
        <w:tc>
          <w:tcPr>
            <w:tcW w:w="0" w:type="dxa"/>
            <w:vAlign w:val="bottom"/>
          </w:tcPr>
          <w:p>
            <w:pPr>
              <w:spacing w:after="0"/>
              <w:rPr>
                <w:sz w:val="1"/>
                <w:szCs w:val="1"/>
                <w:color w:val="auto"/>
              </w:rPr>
            </w:pPr>
          </w:p>
        </w:tc>
      </w:tr>
      <w:tr>
        <w:trPr>
          <w:trHeight w:val="329"/>
        </w:trPr>
        <w:tc>
          <w:tcPr>
            <w:tcW w:w="4380" w:type="dxa"/>
            <w:vAlign w:val="bottom"/>
            <w:gridSpan w:val="2"/>
          </w:tcPr>
          <w:p>
            <w:pPr>
              <w:spacing w:after="0"/>
              <w:rPr>
                <w:sz w:val="20"/>
                <w:szCs w:val="20"/>
                <w:color w:val="auto"/>
              </w:rPr>
            </w:pPr>
            <w:r>
              <w:rPr>
                <w:rFonts w:ascii="Arial" w:cs="Arial" w:eastAsia="Arial" w:hAnsi="Arial"/>
                <w:sz w:val="18"/>
                <w:szCs w:val="18"/>
                <w:color w:val="auto"/>
              </w:rPr>
              <w:t>NON-OPERATING (EXPENSES) INCOME</w:t>
            </w:r>
          </w:p>
        </w:tc>
        <w:tc>
          <w:tcPr>
            <w:tcW w:w="14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expenses, net</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(12,905)</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Other finance costs</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(4,638)</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(4,761)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 gain, net</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(136)</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color w:val="auto"/>
              </w:rPr>
              <w:t>Total non-operating (expenses) income</w:t>
            </w:r>
          </w:p>
        </w:tc>
        <w:tc>
          <w:tcPr>
            <w:tcW w:w="1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80" w:type="dxa"/>
            <w:vAlign w:val="bottom"/>
            <w:gridSpan w:val="2"/>
            <w:vMerge w:val="continue"/>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(17,679)</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(26,785)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(21,534)</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(1,773)</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(66,468)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F-3</w:t>
            </w: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8" w:name="page39"/>
    <w:bookmarkEnd w:id="3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Studio City Finance Limited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Condensed Consolidated Statements of Cash Flows (Unaudited)</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U.S. dollars)</w:t>
      </w:r>
    </w:p>
    <w:p>
      <w:pPr>
        <w:sectPr>
          <w:pgSz w:w="11900" w:h="16838" w:orient="portrait"/>
          <w:cols w:equalWidth="0" w:num="1">
            <w:col w:w="11380"/>
          </w:cols>
          <w:pgMar w:left="240" w:top="274"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660" w:type="dxa"/>
            <w:vAlign w:val="bottom"/>
          </w:tcPr>
          <w:p>
            <w:pPr>
              <w:spacing w:after="0"/>
              <w:rPr>
                <w:sz w:val="18"/>
                <w:szCs w:val="18"/>
                <w:color w:val="auto"/>
              </w:rPr>
            </w:pPr>
          </w:p>
        </w:tc>
      </w:tr>
      <w:tr>
        <w:trPr>
          <w:trHeight w:val="222"/>
        </w:trPr>
        <w:tc>
          <w:tcPr>
            <w:tcW w:w="524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45"/>
        </w:trPr>
        <w:tc>
          <w:tcPr>
            <w:tcW w:w="52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660" w:type="dxa"/>
            <w:vAlign w:val="bottom"/>
          </w:tcPr>
          <w:p>
            <w:pPr>
              <w:spacing w:after="0"/>
              <w:rPr>
                <w:sz w:val="24"/>
                <w:szCs w:val="24"/>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Acquisition of property and equipment</w:t>
            </w:r>
          </w:p>
        </w:tc>
        <w:tc>
          <w:tcPr>
            <w:tcW w:w="66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Advance payments for acquisition of property and equipment</w:t>
            </w:r>
          </w:p>
        </w:tc>
        <w:tc>
          <w:tcPr>
            <w:tcW w:w="66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Payment for land use right</w:t>
            </w:r>
          </w:p>
        </w:tc>
        <w:tc>
          <w:tcPr>
            <w:tcW w:w="66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Changes in restricted cash</w:t>
            </w:r>
          </w:p>
        </w:tc>
        <w:tc>
          <w:tcPr>
            <w:tcW w:w="660" w:type="dxa"/>
            <w:vAlign w:val="bottom"/>
          </w:tcPr>
          <w:p>
            <w:pPr>
              <w:spacing w:after="0"/>
              <w:rPr>
                <w:sz w:val="18"/>
                <w:szCs w:val="18"/>
                <w:color w:val="auto"/>
              </w:rPr>
            </w:pPr>
          </w:p>
        </w:tc>
      </w:tr>
      <w:tr>
        <w:trPr>
          <w:trHeight w:val="222"/>
        </w:trPr>
        <w:tc>
          <w:tcPr>
            <w:tcW w:w="5240" w:type="dxa"/>
            <w:vAlign w:val="bottom"/>
          </w:tcPr>
          <w:p>
            <w:pPr>
              <w:spacing w:after="0"/>
              <w:rPr>
                <w:sz w:val="20"/>
                <w:szCs w:val="20"/>
                <w:color w:val="auto"/>
              </w:rPr>
            </w:pPr>
            <w:r>
              <w:rPr>
                <w:rFonts w:ascii="Arial" w:cs="Arial" w:eastAsia="Arial" w:hAnsi="Arial"/>
                <w:sz w:val="18"/>
                <w:szCs w:val="18"/>
                <w:color w:val="auto"/>
              </w:rPr>
              <w:t>Proceeds from sale of property and equipment</w:t>
            </w:r>
          </w:p>
        </w:tc>
        <w:tc>
          <w:tcPr>
            <w:tcW w:w="660" w:type="dxa"/>
            <w:vAlign w:val="bottom"/>
          </w:tcPr>
          <w:p>
            <w:pPr>
              <w:spacing w:after="0"/>
              <w:rPr>
                <w:sz w:val="19"/>
                <w:szCs w:val="19"/>
                <w:color w:val="auto"/>
              </w:rPr>
            </w:pPr>
          </w:p>
        </w:tc>
      </w:tr>
      <w:tr>
        <w:trPr>
          <w:trHeight w:val="243"/>
        </w:trPr>
        <w:tc>
          <w:tcPr>
            <w:tcW w:w="52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660" w:type="dxa"/>
            <w:vAlign w:val="bottom"/>
          </w:tcPr>
          <w:p>
            <w:pPr>
              <w:spacing w:after="0"/>
              <w:rPr>
                <w:sz w:val="21"/>
                <w:szCs w:val="21"/>
                <w:color w:val="auto"/>
              </w:rPr>
            </w:pPr>
          </w:p>
        </w:tc>
      </w:tr>
      <w:tr>
        <w:trPr>
          <w:trHeight w:val="345"/>
        </w:trPr>
        <w:tc>
          <w:tcPr>
            <w:tcW w:w="52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660" w:type="dxa"/>
            <w:vAlign w:val="bottom"/>
          </w:tcPr>
          <w:p>
            <w:pPr>
              <w:spacing w:after="0"/>
              <w:rPr>
                <w:sz w:val="24"/>
                <w:szCs w:val="24"/>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Prepayment of deferred financing cost</w:t>
            </w:r>
          </w:p>
        </w:tc>
        <w:tc>
          <w:tcPr>
            <w:tcW w:w="66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Payment of deferred financing cost</w:t>
            </w:r>
          </w:p>
        </w:tc>
        <w:tc>
          <w:tcPr>
            <w:tcW w:w="66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Advance from immediate holding company</w:t>
            </w:r>
          </w:p>
        </w:tc>
        <w:tc>
          <w:tcPr>
            <w:tcW w:w="66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Amount due to an affiliated company</w:t>
            </w:r>
          </w:p>
        </w:tc>
        <w:tc>
          <w:tcPr>
            <w:tcW w:w="66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Proceeds from long-term debt</w:t>
            </w:r>
          </w:p>
        </w:tc>
        <w:tc>
          <w:tcPr>
            <w:tcW w:w="660" w:type="dxa"/>
            <w:vAlign w:val="bottom"/>
          </w:tcPr>
          <w:p>
            <w:pPr>
              <w:spacing w:after="0"/>
              <w:rPr>
                <w:sz w:val="18"/>
                <w:szCs w:val="18"/>
                <w:color w:val="auto"/>
              </w:rPr>
            </w:pPr>
          </w:p>
        </w:tc>
      </w:tr>
      <w:tr>
        <w:trPr>
          <w:trHeight w:val="222"/>
        </w:trPr>
        <w:tc>
          <w:tcPr>
            <w:tcW w:w="5240" w:type="dxa"/>
            <w:vAlign w:val="bottom"/>
          </w:tcPr>
          <w:p>
            <w:pPr>
              <w:spacing w:after="0"/>
              <w:rPr>
                <w:sz w:val="20"/>
                <w:szCs w:val="20"/>
                <w:color w:val="auto"/>
              </w:rPr>
            </w:pPr>
            <w:r>
              <w:rPr>
                <w:rFonts w:ascii="Arial" w:cs="Arial" w:eastAsia="Arial" w:hAnsi="Arial"/>
                <w:sz w:val="18"/>
                <w:szCs w:val="18"/>
                <w:color w:val="auto"/>
              </w:rPr>
              <w:t>Loan from intermediate holding company</w:t>
            </w:r>
          </w:p>
        </w:tc>
        <w:tc>
          <w:tcPr>
            <w:tcW w:w="660" w:type="dxa"/>
            <w:vAlign w:val="bottom"/>
          </w:tcPr>
          <w:p>
            <w:pPr>
              <w:spacing w:after="0"/>
              <w:rPr>
                <w:sz w:val="19"/>
                <w:szCs w:val="19"/>
                <w:color w:val="auto"/>
              </w:rPr>
            </w:pPr>
          </w:p>
        </w:tc>
      </w:tr>
      <w:tr>
        <w:trPr>
          <w:trHeight w:val="243"/>
        </w:trPr>
        <w:tc>
          <w:tcPr>
            <w:tcW w:w="524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660" w:type="dxa"/>
            <w:vAlign w:val="bottom"/>
          </w:tcPr>
          <w:p>
            <w:pPr>
              <w:spacing w:after="0"/>
              <w:rPr>
                <w:sz w:val="21"/>
                <w:szCs w:val="21"/>
                <w:color w:val="auto"/>
              </w:rPr>
            </w:pPr>
          </w:p>
        </w:tc>
      </w:tr>
      <w:tr>
        <w:trPr>
          <w:trHeight w:val="345"/>
        </w:trPr>
        <w:tc>
          <w:tcPr>
            <w:tcW w:w="5240" w:type="dxa"/>
            <w:vAlign w:val="bottom"/>
          </w:tcPr>
          <w:p>
            <w:pPr>
              <w:spacing w:after="0"/>
              <w:rPr>
                <w:sz w:val="20"/>
                <w:szCs w:val="20"/>
                <w:color w:val="auto"/>
              </w:rPr>
            </w:pPr>
            <w:r>
              <w:rPr>
                <w:rFonts w:ascii="Arial" w:cs="Arial" w:eastAsia="Arial" w:hAnsi="Arial"/>
                <w:sz w:val="18"/>
                <w:szCs w:val="18"/>
                <w:color w:val="auto"/>
              </w:rPr>
              <w:t>EFFECT OF FOREIGN EXCHANGE ON CASH AND CASH</w:t>
            </w:r>
          </w:p>
        </w:tc>
        <w:tc>
          <w:tcPr>
            <w:tcW w:w="660" w:type="dxa"/>
            <w:vAlign w:val="bottom"/>
          </w:tcPr>
          <w:p>
            <w:pPr>
              <w:spacing w:after="0"/>
              <w:rPr>
                <w:sz w:val="24"/>
                <w:szCs w:val="24"/>
                <w:color w:val="auto"/>
              </w:rPr>
            </w:pPr>
          </w:p>
        </w:tc>
      </w:tr>
      <w:tr>
        <w:trPr>
          <w:trHeight w:val="222"/>
        </w:trPr>
        <w:tc>
          <w:tcPr>
            <w:tcW w:w="5240" w:type="dxa"/>
            <w:vAlign w:val="bottom"/>
          </w:tcPr>
          <w:p>
            <w:pPr>
              <w:ind w:left="220"/>
              <w:spacing w:after="0"/>
              <w:rPr>
                <w:sz w:val="20"/>
                <w:szCs w:val="20"/>
                <w:color w:val="auto"/>
              </w:rPr>
            </w:pPr>
            <w:r>
              <w:rPr>
                <w:rFonts w:ascii="Arial" w:cs="Arial" w:eastAsia="Arial" w:hAnsi="Arial"/>
                <w:sz w:val="18"/>
                <w:szCs w:val="18"/>
                <w:color w:val="auto"/>
              </w:rPr>
              <w:t>EQUIVALENTS</w:t>
            </w:r>
          </w:p>
        </w:tc>
        <w:tc>
          <w:tcPr>
            <w:tcW w:w="660" w:type="dxa"/>
            <w:vAlign w:val="bottom"/>
          </w:tcPr>
          <w:p>
            <w:pPr>
              <w:spacing w:after="0"/>
              <w:rPr>
                <w:sz w:val="19"/>
                <w:szCs w:val="19"/>
                <w:color w:val="auto"/>
              </w:rPr>
            </w:pPr>
          </w:p>
        </w:tc>
      </w:tr>
      <w:tr>
        <w:trPr>
          <w:trHeight w:val="345"/>
        </w:trPr>
        <w:tc>
          <w:tcPr>
            <w:tcW w:w="524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660" w:type="dxa"/>
            <w:vAlign w:val="bottom"/>
          </w:tcPr>
          <w:p>
            <w:pPr>
              <w:spacing w:after="0"/>
              <w:rPr>
                <w:sz w:val="24"/>
                <w:szCs w:val="24"/>
                <w:color w:val="auto"/>
              </w:rPr>
            </w:pPr>
          </w:p>
        </w:tc>
      </w:tr>
      <w:tr>
        <w:trPr>
          <w:trHeight w:val="222"/>
        </w:trPr>
        <w:tc>
          <w:tcPr>
            <w:tcW w:w="52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660" w:type="dxa"/>
            <w:vAlign w:val="bottom"/>
          </w:tcPr>
          <w:p>
            <w:pPr>
              <w:spacing w:after="0"/>
              <w:rPr>
                <w:sz w:val="19"/>
                <w:szCs w:val="19"/>
                <w:color w:val="auto"/>
              </w:rPr>
            </w:pPr>
          </w:p>
        </w:tc>
      </w:tr>
      <w:tr>
        <w:trPr>
          <w:trHeight w:val="243"/>
        </w:trPr>
        <w:tc>
          <w:tcPr>
            <w:tcW w:w="524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72"/>
        </w:trPr>
        <w:tc>
          <w:tcPr>
            <w:tcW w:w="5240" w:type="dxa"/>
            <w:vAlign w:val="bottom"/>
          </w:tcPr>
          <w:p>
            <w:pPr>
              <w:spacing w:after="0"/>
              <w:rPr>
                <w:sz w:val="20"/>
                <w:szCs w:val="20"/>
                <w:color w:val="auto"/>
              </w:rPr>
            </w:pPr>
            <w:r>
              <w:rPr>
                <w:rFonts w:ascii="Arial" w:cs="Arial" w:eastAsia="Arial" w:hAnsi="Arial"/>
                <w:sz w:val="18"/>
                <w:szCs w:val="18"/>
                <w:color w:val="auto"/>
              </w:rPr>
              <w:t>NON-CASH INVESTING ACTIVITY</w:t>
            </w:r>
          </w:p>
        </w:tc>
        <w:tc>
          <w:tcPr>
            <w:tcW w:w="660" w:type="dxa"/>
            <w:vAlign w:val="bottom"/>
          </w:tcPr>
          <w:p>
            <w:pPr>
              <w:spacing w:after="0"/>
              <w:rPr>
                <w:sz w:val="24"/>
                <w:szCs w:val="24"/>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Construction costs and property and equipment funded through</w:t>
            </w:r>
          </w:p>
        </w:tc>
        <w:tc>
          <w:tcPr>
            <w:tcW w:w="660" w:type="dxa"/>
            <w:vAlign w:val="bottom"/>
          </w:tcPr>
          <w:p>
            <w:pPr>
              <w:spacing w:after="0"/>
              <w:rPr>
                <w:sz w:val="18"/>
                <w:szCs w:val="18"/>
                <w:color w:val="auto"/>
              </w:rPr>
            </w:pPr>
          </w:p>
        </w:tc>
      </w:tr>
      <w:tr>
        <w:trPr>
          <w:trHeight w:val="216"/>
        </w:trPr>
        <w:tc>
          <w:tcPr>
            <w:tcW w:w="5240" w:type="dxa"/>
            <w:vAlign w:val="bottom"/>
          </w:tcPr>
          <w:p>
            <w:pPr>
              <w:ind w:left="220"/>
              <w:spacing w:after="0"/>
              <w:rPr>
                <w:sz w:val="20"/>
                <w:szCs w:val="20"/>
                <w:color w:val="auto"/>
              </w:rPr>
            </w:pPr>
            <w:r>
              <w:rPr>
                <w:rFonts w:ascii="Arial" w:cs="Arial" w:eastAsia="Arial" w:hAnsi="Arial"/>
                <w:sz w:val="18"/>
                <w:szCs w:val="18"/>
                <w:color w:val="auto"/>
                <w:w w:val="95"/>
              </w:rPr>
              <w:t>accrued expenses and other current liabilities and other long-term</w:t>
            </w:r>
          </w:p>
        </w:tc>
        <w:tc>
          <w:tcPr>
            <w:tcW w:w="660" w:type="dxa"/>
            <w:vAlign w:val="bottom"/>
          </w:tcPr>
          <w:p>
            <w:pPr>
              <w:spacing w:after="0"/>
              <w:rPr>
                <w:sz w:val="18"/>
                <w:szCs w:val="18"/>
                <w:color w:val="auto"/>
              </w:rPr>
            </w:pPr>
          </w:p>
        </w:tc>
      </w:tr>
      <w:tr>
        <w:trPr>
          <w:trHeight w:val="222"/>
        </w:trPr>
        <w:tc>
          <w:tcPr>
            <w:tcW w:w="5240" w:type="dxa"/>
            <w:vAlign w:val="bottom"/>
          </w:tcPr>
          <w:p>
            <w:pPr>
              <w:ind w:left="220"/>
              <w:spacing w:after="0"/>
              <w:rPr>
                <w:sz w:val="20"/>
                <w:szCs w:val="20"/>
                <w:color w:val="auto"/>
              </w:rPr>
            </w:pPr>
            <w:r>
              <w:rPr>
                <w:rFonts w:ascii="Arial" w:cs="Arial" w:eastAsia="Arial" w:hAnsi="Arial"/>
                <w:sz w:val="18"/>
                <w:szCs w:val="18"/>
                <w:color w:val="auto"/>
              </w:rPr>
              <w:t>liabilities</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9"/>
        </w:trPr>
        <w:tc>
          <w:tcPr>
            <w:tcW w:w="5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F-4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-3968750</wp:posOffset>
            </wp:positionV>
            <wp:extent cx="72466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-3694430</wp:posOffset>
            </wp:positionV>
            <wp:extent cx="72466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-3420110</wp:posOffset>
            </wp:positionV>
            <wp:extent cx="72466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-3128010</wp:posOffset>
            </wp:positionV>
            <wp:extent cx="72466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-2767965</wp:posOffset>
            </wp:positionV>
            <wp:extent cx="72466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-2493645</wp:posOffset>
            </wp:positionV>
            <wp:extent cx="72466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-2219325</wp:posOffset>
            </wp:positionV>
            <wp:extent cx="72466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-1927860</wp:posOffset>
            </wp:positionV>
            <wp:extent cx="72466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-1344295</wp:posOffset>
            </wp:positionV>
            <wp:extent cx="72466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-1052830</wp:posOffset>
            </wp:positionV>
            <wp:extent cx="72466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-675640</wp:posOffset>
            </wp:positionV>
            <wp:extent cx="7246620" cy="4114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-4328795</wp:posOffset>
            </wp:positionV>
            <wp:extent cx="72466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w w:val="91"/>
              </w:rPr>
              <w:t>From inception on</w:t>
            </w:r>
          </w:p>
        </w:tc>
        <w:tc>
          <w:tcPr>
            <w:tcW w:w="0" w:type="dxa"/>
            <w:vAlign w:val="bottom"/>
          </w:tcPr>
          <w:p>
            <w:pPr>
              <w:spacing w:after="0"/>
              <w:rPr>
                <w:sz w:val="1"/>
                <w:szCs w:val="1"/>
                <w:color w:val="auto"/>
              </w:rPr>
            </w:pPr>
          </w:p>
        </w:tc>
      </w:tr>
      <w:tr>
        <w:trPr>
          <w:trHeight w:val="216"/>
        </w:trPr>
        <w:tc>
          <w:tcPr>
            <w:tcW w:w="328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w w:val="89"/>
              </w:rPr>
              <w:t>Three Months Ended March 31,</w:t>
            </w:r>
          </w:p>
        </w:tc>
        <w:tc>
          <w:tcPr>
            <w:tcW w:w="440" w:type="dxa"/>
            <w:vAlign w:val="bottom"/>
          </w:tcPr>
          <w:p>
            <w:pPr>
              <w:spacing w:after="0"/>
              <w:rPr>
                <w:sz w:val="18"/>
                <w:szCs w:val="18"/>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w w:val="90"/>
              </w:rPr>
              <w:t>August 22, 2000 to</w:t>
            </w:r>
          </w:p>
        </w:tc>
        <w:tc>
          <w:tcPr>
            <w:tcW w:w="0" w:type="dxa"/>
            <w:vAlign w:val="bottom"/>
          </w:tcPr>
          <w:p>
            <w:pPr>
              <w:spacing w:after="0"/>
              <w:rPr>
                <w:sz w:val="1"/>
                <w:szCs w:val="1"/>
                <w:color w:val="auto"/>
              </w:rPr>
            </w:pPr>
          </w:p>
        </w:tc>
      </w:tr>
      <w:tr>
        <w:trPr>
          <w:trHeight w:val="228"/>
        </w:trPr>
        <w:tc>
          <w:tcPr>
            <w:tcW w:w="1660" w:type="dxa"/>
            <w:vAlign w:val="bottom"/>
          </w:tcPr>
          <w:p>
            <w:pPr>
              <w:jc w:val="right"/>
              <w:ind w:right="1112"/>
              <w:spacing w:after="0"/>
              <w:rPr>
                <w:sz w:val="20"/>
                <w:szCs w:val="20"/>
                <w:color w:val="auto"/>
              </w:rPr>
            </w:pPr>
            <w:r>
              <w:rPr>
                <w:rFonts w:ascii="Arial" w:cs="Arial" w:eastAsia="Arial" w:hAnsi="Arial"/>
                <w:sz w:val="18"/>
                <w:szCs w:val="18"/>
                <w:b w:val="1"/>
                <w:bCs w:val="1"/>
                <w:color w:val="auto"/>
              </w:rPr>
              <w:t>2013</w:t>
            </w:r>
          </w:p>
        </w:tc>
        <w:tc>
          <w:tcPr>
            <w:tcW w:w="300" w:type="dxa"/>
            <w:vAlign w:val="bottom"/>
          </w:tcPr>
          <w:p>
            <w:pPr>
              <w:spacing w:after="0"/>
              <w:rPr>
                <w:sz w:val="19"/>
                <w:szCs w:val="19"/>
                <w:color w:val="auto"/>
              </w:rPr>
            </w:pPr>
          </w:p>
        </w:tc>
        <w:tc>
          <w:tcPr>
            <w:tcW w:w="820" w:type="dxa"/>
            <w:vAlign w:val="bottom"/>
          </w:tcPr>
          <w:p>
            <w:pPr>
              <w:jc w:val="right"/>
              <w:ind w:right="192"/>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w w:val="90"/>
              </w:rPr>
              <w:t>March 31, 2013</w:t>
            </w:r>
          </w:p>
        </w:tc>
        <w:tc>
          <w:tcPr>
            <w:tcW w:w="6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6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1660" w:type="dxa"/>
            <w:vAlign w:val="bottom"/>
          </w:tcPr>
          <w:p>
            <w:pPr>
              <w:jc w:val="right"/>
              <w:ind w:right="792"/>
              <w:spacing w:after="0"/>
              <w:rPr>
                <w:sz w:val="20"/>
                <w:szCs w:val="20"/>
                <w:color w:val="auto"/>
              </w:rPr>
            </w:pPr>
            <w:r>
              <w:rPr>
                <w:rFonts w:ascii="Arial" w:cs="Arial" w:eastAsia="Arial" w:hAnsi="Arial"/>
                <w:sz w:val="18"/>
                <w:szCs w:val="18"/>
                <w:color w:val="auto"/>
              </w:rPr>
              <w:t>(375)</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320" w:type="dxa"/>
            <w:vAlign w:val="bottom"/>
            <w:gridSpan w:val="3"/>
          </w:tcPr>
          <w:p>
            <w:pPr>
              <w:jc w:val="right"/>
              <w:ind w:right="440"/>
              <w:spacing w:after="0"/>
              <w:rPr>
                <w:sz w:val="20"/>
                <w:szCs w:val="20"/>
                <w:color w:val="auto"/>
              </w:rPr>
            </w:pPr>
            <w:r>
              <w:rPr>
                <w:rFonts w:ascii="Arial" w:cs="Arial" w:eastAsia="Arial" w:hAnsi="Arial"/>
                <w:sz w:val="18"/>
                <w:szCs w:val="18"/>
                <w:color w:val="auto"/>
              </w:rPr>
              <w:t>(100)</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(25,693)</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0"/>
        </w:trPr>
        <w:tc>
          <w:tcPr>
            <w:tcW w:w="1660" w:type="dxa"/>
            <w:vAlign w:val="bottom"/>
          </w:tcPr>
          <w:p>
            <w:pPr>
              <w:jc w:val="right"/>
              <w:ind w:right="792"/>
              <w:spacing w:after="0"/>
              <w:rPr>
                <w:sz w:val="20"/>
                <w:szCs w:val="20"/>
                <w:color w:val="auto"/>
              </w:rPr>
            </w:pPr>
            <w:r>
              <w:rPr>
                <w:rFonts w:ascii="Arial" w:cs="Arial" w:eastAsia="Arial" w:hAnsi="Arial"/>
                <w:sz w:val="18"/>
                <w:szCs w:val="18"/>
                <w:color w:val="auto"/>
              </w:rPr>
              <w:t>(56,074)</w:t>
            </w:r>
          </w:p>
        </w:tc>
        <w:tc>
          <w:tcPr>
            <w:tcW w:w="300" w:type="dxa"/>
            <w:vAlign w:val="bottom"/>
          </w:tcPr>
          <w:p>
            <w:pPr>
              <w:spacing w:after="0"/>
              <w:rPr>
                <w:sz w:val="24"/>
                <w:szCs w:val="24"/>
                <w:color w:val="auto"/>
              </w:rPr>
            </w:pPr>
          </w:p>
        </w:tc>
        <w:tc>
          <w:tcPr>
            <w:tcW w:w="1320" w:type="dxa"/>
            <w:vAlign w:val="bottom"/>
            <w:gridSpan w:val="3"/>
          </w:tcPr>
          <w:p>
            <w:pPr>
              <w:jc w:val="right"/>
              <w:ind w:right="440"/>
              <w:spacing w:after="0"/>
              <w:rPr>
                <w:sz w:val="20"/>
                <w:szCs w:val="20"/>
                <w:color w:val="auto"/>
              </w:rPr>
            </w:pPr>
            <w:r>
              <w:rPr>
                <w:rFonts w:ascii="Arial" w:cs="Arial" w:eastAsia="Arial" w:hAnsi="Arial"/>
                <w:sz w:val="18"/>
                <w:szCs w:val="18"/>
                <w:color w:val="auto"/>
              </w:rPr>
              <w:t>(12,336)</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(263,738)</w:t>
            </w:r>
          </w:p>
        </w:tc>
        <w:tc>
          <w:tcPr>
            <w:tcW w:w="0" w:type="dxa"/>
            <w:vAlign w:val="bottom"/>
          </w:tcPr>
          <w:p>
            <w:pPr>
              <w:spacing w:after="0"/>
              <w:rPr>
                <w:sz w:val="1"/>
                <w:szCs w:val="1"/>
                <w:color w:val="auto"/>
              </w:rPr>
            </w:pPr>
          </w:p>
        </w:tc>
      </w:tr>
      <w:tr>
        <w:trPr>
          <w:trHeight w:val="216"/>
        </w:trPr>
        <w:tc>
          <w:tcPr>
            <w:tcW w:w="1660" w:type="dxa"/>
            <w:vAlign w:val="bottom"/>
          </w:tcPr>
          <w:p>
            <w:pPr>
              <w:jc w:val="right"/>
              <w:ind w:right="792"/>
              <w:spacing w:after="0"/>
              <w:rPr>
                <w:sz w:val="20"/>
                <w:szCs w:val="20"/>
                <w:color w:val="auto"/>
              </w:rPr>
            </w:pPr>
            <w:r>
              <w:rPr>
                <w:rFonts w:ascii="Arial" w:cs="Arial" w:eastAsia="Arial" w:hAnsi="Arial"/>
                <w:sz w:val="18"/>
                <w:szCs w:val="18"/>
                <w:color w:val="auto"/>
              </w:rPr>
              <w:t>(25,707)</w:t>
            </w:r>
          </w:p>
        </w:tc>
        <w:tc>
          <w:tcPr>
            <w:tcW w:w="300" w:type="dxa"/>
            <w:vAlign w:val="bottom"/>
          </w:tcPr>
          <w:p>
            <w:pPr>
              <w:spacing w:after="0"/>
              <w:rPr>
                <w:sz w:val="18"/>
                <w:szCs w:val="18"/>
                <w:color w:val="auto"/>
              </w:rPr>
            </w:pPr>
          </w:p>
        </w:tc>
        <w:tc>
          <w:tcPr>
            <w:tcW w:w="132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(25,707)</w:t>
            </w:r>
          </w:p>
        </w:tc>
        <w:tc>
          <w:tcPr>
            <w:tcW w:w="0" w:type="dxa"/>
            <w:vAlign w:val="bottom"/>
          </w:tcPr>
          <w:p>
            <w:pPr>
              <w:spacing w:after="0"/>
              <w:rPr>
                <w:sz w:val="1"/>
                <w:szCs w:val="1"/>
                <w:color w:val="auto"/>
              </w:rPr>
            </w:pPr>
          </w:p>
        </w:tc>
      </w:tr>
      <w:tr>
        <w:trPr>
          <w:trHeight w:val="216"/>
        </w:trPr>
        <w:tc>
          <w:tcPr>
            <w:tcW w:w="1660" w:type="dxa"/>
            <w:vAlign w:val="bottom"/>
          </w:tcPr>
          <w:p>
            <w:pPr>
              <w:jc w:val="right"/>
              <w:ind w:right="792"/>
              <w:spacing w:after="0"/>
              <w:rPr>
                <w:sz w:val="20"/>
                <w:szCs w:val="20"/>
                <w:color w:val="auto"/>
              </w:rPr>
            </w:pPr>
            <w:r>
              <w:rPr>
                <w:rFonts w:ascii="Arial" w:cs="Arial" w:eastAsia="Arial" w:hAnsi="Arial"/>
                <w:sz w:val="18"/>
                <w:szCs w:val="18"/>
                <w:color w:val="auto"/>
              </w:rPr>
              <w:t>(22,083)</w:t>
            </w:r>
          </w:p>
        </w:tc>
        <w:tc>
          <w:tcPr>
            <w:tcW w:w="300" w:type="dxa"/>
            <w:vAlign w:val="bottom"/>
          </w:tcPr>
          <w:p>
            <w:pPr>
              <w:spacing w:after="0"/>
              <w:rPr>
                <w:sz w:val="18"/>
                <w:szCs w:val="18"/>
                <w:color w:val="auto"/>
              </w:rPr>
            </w:pPr>
          </w:p>
        </w:tc>
        <w:tc>
          <w:tcPr>
            <w:tcW w:w="132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(84,401)</w:t>
            </w:r>
          </w:p>
        </w:tc>
        <w:tc>
          <w:tcPr>
            <w:tcW w:w="0" w:type="dxa"/>
            <w:vAlign w:val="bottom"/>
          </w:tcPr>
          <w:p>
            <w:pPr>
              <w:spacing w:after="0"/>
              <w:rPr>
                <w:sz w:val="1"/>
                <w:szCs w:val="1"/>
                <w:color w:val="auto"/>
              </w:rPr>
            </w:pPr>
          </w:p>
        </w:tc>
      </w:tr>
      <w:tr>
        <w:trPr>
          <w:trHeight w:val="216"/>
        </w:trPr>
        <w:tc>
          <w:tcPr>
            <w:tcW w:w="1660" w:type="dxa"/>
            <w:vAlign w:val="bottom"/>
          </w:tcPr>
          <w:p>
            <w:pPr>
              <w:jc w:val="right"/>
              <w:ind w:right="852"/>
              <w:spacing w:after="0"/>
              <w:rPr>
                <w:sz w:val="20"/>
                <w:szCs w:val="20"/>
                <w:color w:val="auto"/>
              </w:rPr>
            </w:pPr>
            <w:r>
              <w:rPr>
                <w:rFonts w:ascii="Arial" w:cs="Arial" w:eastAsia="Arial" w:hAnsi="Arial"/>
                <w:sz w:val="18"/>
                <w:szCs w:val="18"/>
                <w:color w:val="auto"/>
              </w:rPr>
              <w:t>32,063</w:t>
            </w:r>
          </w:p>
        </w:tc>
        <w:tc>
          <w:tcPr>
            <w:tcW w:w="300" w:type="dxa"/>
            <w:vAlign w:val="bottom"/>
          </w:tcPr>
          <w:p>
            <w:pPr>
              <w:spacing w:after="0"/>
              <w:rPr>
                <w:sz w:val="18"/>
                <w:szCs w:val="18"/>
                <w:color w:val="auto"/>
              </w:rPr>
            </w:pPr>
          </w:p>
        </w:tc>
        <w:tc>
          <w:tcPr>
            <w:tcW w:w="132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(835,083)</w:t>
            </w:r>
          </w:p>
        </w:tc>
        <w:tc>
          <w:tcPr>
            <w:tcW w:w="0" w:type="dxa"/>
            <w:vAlign w:val="bottom"/>
          </w:tcPr>
          <w:p>
            <w:pPr>
              <w:spacing w:after="0"/>
              <w:rPr>
                <w:sz w:val="1"/>
                <w:szCs w:val="1"/>
                <w:color w:val="auto"/>
              </w:rPr>
            </w:pPr>
          </w:p>
        </w:tc>
      </w:tr>
      <w:tr>
        <w:trPr>
          <w:trHeight w:val="222"/>
        </w:trPr>
        <w:tc>
          <w:tcPr>
            <w:tcW w:w="1660" w:type="dxa"/>
            <w:vAlign w:val="bottom"/>
          </w:tcPr>
          <w:p>
            <w:pPr>
              <w:jc w:val="right"/>
              <w:ind w:right="9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gridSpan w:val="2"/>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660" w:type="dxa"/>
            <w:vAlign w:val="bottom"/>
          </w:tcPr>
          <w:p>
            <w:pPr>
              <w:jc w:val="right"/>
              <w:ind w:right="792"/>
              <w:spacing w:after="0"/>
              <w:rPr>
                <w:sz w:val="20"/>
                <w:szCs w:val="20"/>
                <w:color w:val="auto"/>
              </w:rPr>
            </w:pPr>
            <w:r>
              <w:rPr>
                <w:rFonts w:ascii="Arial" w:cs="Arial" w:eastAsia="Arial" w:hAnsi="Arial"/>
                <w:sz w:val="18"/>
                <w:szCs w:val="18"/>
                <w:color w:val="auto"/>
              </w:rPr>
              <w:t>(71,801)</w:t>
            </w:r>
          </w:p>
        </w:tc>
        <w:tc>
          <w:tcPr>
            <w:tcW w:w="300" w:type="dxa"/>
            <w:vAlign w:val="bottom"/>
          </w:tcPr>
          <w:p>
            <w:pPr>
              <w:spacing w:after="0"/>
              <w:rPr>
                <w:sz w:val="19"/>
                <w:szCs w:val="19"/>
                <w:color w:val="auto"/>
              </w:rPr>
            </w:pPr>
          </w:p>
        </w:tc>
        <w:tc>
          <w:tcPr>
            <w:tcW w:w="1320" w:type="dxa"/>
            <w:vAlign w:val="bottom"/>
            <w:gridSpan w:val="3"/>
          </w:tcPr>
          <w:p>
            <w:pPr>
              <w:jc w:val="right"/>
              <w:ind w:right="440"/>
              <w:spacing w:after="0"/>
              <w:rPr>
                <w:sz w:val="20"/>
                <w:szCs w:val="20"/>
                <w:color w:val="auto"/>
              </w:rPr>
            </w:pPr>
            <w:r>
              <w:rPr>
                <w:rFonts w:ascii="Arial" w:cs="Arial" w:eastAsia="Arial" w:hAnsi="Arial"/>
                <w:sz w:val="18"/>
                <w:szCs w:val="18"/>
                <w:color w:val="auto"/>
              </w:rPr>
              <w:t>(12,336)</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(1,208,927)</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0"/>
        </w:trPr>
        <w:tc>
          <w:tcPr>
            <w:tcW w:w="1660" w:type="dxa"/>
            <w:vAlign w:val="bottom"/>
          </w:tcPr>
          <w:p>
            <w:pPr>
              <w:jc w:val="right"/>
              <w:ind w:right="792"/>
              <w:spacing w:after="0"/>
              <w:rPr>
                <w:sz w:val="20"/>
                <w:szCs w:val="20"/>
                <w:color w:val="auto"/>
              </w:rPr>
            </w:pPr>
            <w:r>
              <w:rPr>
                <w:rFonts w:ascii="Arial" w:cs="Arial" w:eastAsia="Arial" w:hAnsi="Arial"/>
                <w:sz w:val="18"/>
                <w:szCs w:val="18"/>
                <w:color w:val="auto"/>
              </w:rPr>
              <w:t>(52,281)</w:t>
            </w:r>
          </w:p>
        </w:tc>
        <w:tc>
          <w:tcPr>
            <w:tcW w:w="300" w:type="dxa"/>
            <w:vAlign w:val="bottom"/>
          </w:tcPr>
          <w:p>
            <w:pPr>
              <w:spacing w:after="0"/>
              <w:rPr>
                <w:sz w:val="24"/>
                <w:szCs w:val="24"/>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(71,093)</w:t>
            </w:r>
          </w:p>
        </w:tc>
        <w:tc>
          <w:tcPr>
            <w:tcW w:w="0" w:type="dxa"/>
            <w:vAlign w:val="bottom"/>
          </w:tcPr>
          <w:p>
            <w:pPr>
              <w:spacing w:after="0"/>
              <w:rPr>
                <w:sz w:val="1"/>
                <w:szCs w:val="1"/>
                <w:color w:val="auto"/>
              </w:rPr>
            </w:pPr>
          </w:p>
        </w:tc>
      </w:tr>
      <w:tr>
        <w:trPr>
          <w:trHeight w:val="216"/>
        </w:trPr>
        <w:tc>
          <w:tcPr>
            <w:tcW w:w="1660" w:type="dxa"/>
            <w:vAlign w:val="bottom"/>
          </w:tcPr>
          <w:p>
            <w:pPr>
              <w:jc w:val="right"/>
              <w:ind w:right="792"/>
              <w:spacing w:after="0"/>
              <w:rPr>
                <w:sz w:val="20"/>
                <w:szCs w:val="20"/>
                <w:color w:val="auto"/>
              </w:rPr>
            </w:pPr>
            <w:r>
              <w:rPr>
                <w:rFonts w:ascii="Arial" w:cs="Arial" w:eastAsia="Arial" w:hAnsi="Arial"/>
                <w:sz w:val="18"/>
                <w:szCs w:val="18"/>
                <w:color w:val="auto"/>
              </w:rPr>
              <w:t>(1,508)</w:t>
            </w:r>
          </w:p>
        </w:tc>
        <w:tc>
          <w:tcPr>
            <w:tcW w:w="300" w:type="dxa"/>
            <w:vAlign w:val="bottom"/>
          </w:tcPr>
          <w:p>
            <w:pPr>
              <w:spacing w:after="0"/>
              <w:rPr>
                <w:sz w:val="18"/>
                <w:szCs w:val="18"/>
                <w:color w:val="auto"/>
              </w:rPr>
            </w:pPr>
          </w:p>
        </w:tc>
        <w:tc>
          <w:tcPr>
            <w:tcW w:w="132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(16,602)</w:t>
            </w:r>
          </w:p>
        </w:tc>
        <w:tc>
          <w:tcPr>
            <w:tcW w:w="0" w:type="dxa"/>
            <w:vAlign w:val="bottom"/>
          </w:tcPr>
          <w:p>
            <w:pPr>
              <w:spacing w:after="0"/>
              <w:rPr>
                <w:sz w:val="1"/>
                <w:szCs w:val="1"/>
                <w:color w:val="auto"/>
              </w:rPr>
            </w:pPr>
          </w:p>
        </w:tc>
      </w:tr>
      <w:tr>
        <w:trPr>
          <w:trHeight w:val="216"/>
        </w:trPr>
        <w:tc>
          <w:tcPr>
            <w:tcW w:w="1660" w:type="dxa"/>
            <w:vAlign w:val="bottom"/>
          </w:tcPr>
          <w:p>
            <w:pPr>
              <w:jc w:val="right"/>
              <w:ind w:right="852"/>
              <w:spacing w:after="0"/>
              <w:rPr>
                <w:sz w:val="20"/>
                <w:szCs w:val="20"/>
                <w:color w:val="auto"/>
              </w:rPr>
            </w:pPr>
            <w:r>
              <w:rPr>
                <w:rFonts w:ascii="Arial" w:cs="Arial" w:eastAsia="Arial" w:hAnsi="Arial"/>
                <w:sz w:val="18"/>
                <w:szCs w:val="18"/>
                <w:color w:val="auto"/>
              </w:rPr>
              <w:t>125,965</w:t>
            </w:r>
          </w:p>
        </w:tc>
        <w:tc>
          <w:tcPr>
            <w:tcW w:w="300" w:type="dxa"/>
            <w:vAlign w:val="bottom"/>
          </w:tcPr>
          <w:p>
            <w:pPr>
              <w:spacing w:after="0"/>
              <w:rPr>
                <w:sz w:val="18"/>
                <w:szCs w:val="18"/>
                <w:color w:val="auto"/>
              </w:rPr>
            </w:pPr>
          </w:p>
        </w:tc>
        <w:tc>
          <w:tcPr>
            <w:tcW w:w="132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216,049</w:t>
            </w:r>
          </w:p>
        </w:tc>
        <w:tc>
          <w:tcPr>
            <w:tcW w:w="0" w:type="dxa"/>
            <w:vAlign w:val="bottom"/>
          </w:tcPr>
          <w:p>
            <w:pPr>
              <w:spacing w:after="0"/>
              <w:rPr>
                <w:sz w:val="1"/>
                <w:szCs w:val="1"/>
                <w:color w:val="auto"/>
              </w:rPr>
            </w:pPr>
          </w:p>
        </w:tc>
      </w:tr>
      <w:tr>
        <w:trPr>
          <w:trHeight w:val="216"/>
        </w:trPr>
        <w:tc>
          <w:tcPr>
            <w:tcW w:w="1660" w:type="dxa"/>
            <w:vAlign w:val="bottom"/>
          </w:tcPr>
          <w:p>
            <w:pPr>
              <w:jc w:val="right"/>
              <w:ind w:right="9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9,023</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239,856</w:t>
            </w:r>
          </w:p>
        </w:tc>
        <w:tc>
          <w:tcPr>
            <w:tcW w:w="0" w:type="dxa"/>
            <w:vAlign w:val="bottom"/>
          </w:tcPr>
          <w:p>
            <w:pPr>
              <w:spacing w:after="0"/>
              <w:rPr>
                <w:sz w:val="1"/>
                <w:szCs w:val="1"/>
                <w:color w:val="auto"/>
              </w:rPr>
            </w:pPr>
          </w:p>
        </w:tc>
      </w:tr>
      <w:tr>
        <w:trPr>
          <w:trHeight w:val="216"/>
        </w:trPr>
        <w:tc>
          <w:tcPr>
            <w:tcW w:w="1660" w:type="dxa"/>
            <w:vAlign w:val="bottom"/>
          </w:tcPr>
          <w:p>
            <w:pPr>
              <w:jc w:val="right"/>
              <w:ind w:right="9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2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825,000</w:t>
            </w:r>
          </w:p>
        </w:tc>
        <w:tc>
          <w:tcPr>
            <w:tcW w:w="0" w:type="dxa"/>
            <w:vAlign w:val="bottom"/>
          </w:tcPr>
          <w:p>
            <w:pPr>
              <w:spacing w:after="0"/>
              <w:rPr>
                <w:sz w:val="1"/>
                <w:szCs w:val="1"/>
                <w:color w:val="auto"/>
              </w:rPr>
            </w:pPr>
          </w:p>
        </w:tc>
      </w:tr>
      <w:tr>
        <w:trPr>
          <w:trHeight w:val="222"/>
        </w:trPr>
        <w:tc>
          <w:tcPr>
            <w:tcW w:w="1660" w:type="dxa"/>
            <w:vAlign w:val="bottom"/>
          </w:tcPr>
          <w:p>
            <w:pPr>
              <w:jc w:val="right"/>
              <w:ind w:right="9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gridSpan w:val="2"/>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660" w:type="dxa"/>
            <w:vAlign w:val="bottom"/>
          </w:tcPr>
          <w:p>
            <w:pPr>
              <w:jc w:val="right"/>
              <w:ind w:right="852"/>
              <w:spacing w:after="0"/>
              <w:rPr>
                <w:sz w:val="20"/>
                <w:szCs w:val="20"/>
                <w:color w:val="auto"/>
              </w:rPr>
            </w:pPr>
            <w:r>
              <w:rPr>
                <w:rFonts w:ascii="Arial" w:cs="Arial" w:eastAsia="Arial" w:hAnsi="Arial"/>
                <w:sz w:val="18"/>
                <w:szCs w:val="18"/>
                <w:color w:val="auto"/>
              </w:rPr>
              <w:t>72,176</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9,023</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1,234,619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7"/>
        </w:trPr>
        <w:tc>
          <w:tcPr>
            <w:tcW w:w="1660" w:type="dxa"/>
            <w:vAlign w:val="bottom"/>
          </w:tcPr>
          <w:p>
            <w:pPr>
              <w:jc w:val="right"/>
              <w:ind w:right="9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60" w:type="dxa"/>
            <w:vAlign w:val="bottom"/>
          </w:tcPr>
          <w:p>
            <w:pPr>
              <w:jc w:val="right"/>
              <w:ind w:right="9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320" w:type="dxa"/>
            <w:vAlign w:val="bottom"/>
            <w:gridSpan w:val="3"/>
          </w:tcPr>
          <w:p>
            <w:pPr>
              <w:jc w:val="right"/>
              <w:ind w:right="440"/>
              <w:spacing w:after="0"/>
              <w:rPr>
                <w:sz w:val="20"/>
                <w:szCs w:val="20"/>
                <w:color w:val="auto"/>
              </w:rPr>
            </w:pPr>
            <w:r>
              <w:rPr>
                <w:rFonts w:ascii="Arial" w:cs="Arial" w:eastAsia="Arial" w:hAnsi="Arial"/>
                <w:sz w:val="18"/>
                <w:szCs w:val="18"/>
                <w:color w:val="auto"/>
              </w:rPr>
              <w:t>(3,413)</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1660" w:type="dxa"/>
            <w:vAlign w:val="bottom"/>
          </w:tcPr>
          <w:p>
            <w:pPr>
              <w:jc w:val="right"/>
              <w:ind w:right="9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5,393</w:t>
            </w: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660" w:type="dxa"/>
            <w:vAlign w:val="bottom"/>
          </w:tcPr>
          <w:p>
            <w:pPr>
              <w:jc w:val="right"/>
              <w:ind w:right="932"/>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1,980</w:t>
            </w:r>
          </w:p>
        </w:tc>
        <w:tc>
          <w:tcPr>
            <w:tcW w:w="480" w:type="dxa"/>
            <w:vAlign w:val="bottom"/>
          </w:tcPr>
          <w:p>
            <w:pPr>
              <w:spacing w:after="0"/>
              <w:rPr>
                <w:sz w:val="19"/>
                <w:szCs w:val="19"/>
                <w:color w:val="auto"/>
              </w:rPr>
            </w:pP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-3163570</wp:posOffset>
            </wp:positionV>
            <wp:extent cx="7029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2945" cy="8890"/>
                    </a:xfrm>
                    <a:prstGeom prst="rect">
                      <a:avLst/>
                    </a:prstGeom>
                    <a:noFill/>
                  </pic:spPr>
                </pic:pic>
              </a:graphicData>
            </a:graphic>
          </wp:anchor>
        </w:drawing>
        <w:drawing>
          <wp:anchor simplePos="0" relativeHeight="251657728" behindDoc="1" locked="0" layoutInCell="0" allowOverlap="1">
            <wp:simplePos x="0" y="0"/>
            <wp:positionH relativeFrom="column">
              <wp:posOffset>-243840</wp:posOffset>
            </wp:positionH>
            <wp:positionV relativeFrom="paragraph">
              <wp:posOffset>-2254885</wp:posOffset>
            </wp:positionV>
            <wp:extent cx="7029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2945" cy="8890"/>
                    </a:xfrm>
                    <a:prstGeom prst="rect">
                      <a:avLst/>
                    </a:prstGeom>
                    <a:noFill/>
                  </pic:spPr>
                </pic:pic>
              </a:graphicData>
            </a:graphic>
          </wp:anchor>
        </w:drawing>
        <w:drawing>
          <wp:anchor simplePos="0" relativeHeight="251657728" behindDoc="1" locked="0" layoutInCell="0" allowOverlap="1">
            <wp:simplePos x="0" y="0"/>
            <wp:positionH relativeFrom="column">
              <wp:posOffset>-243840</wp:posOffset>
            </wp:positionH>
            <wp:positionV relativeFrom="paragraph">
              <wp:posOffset>-2100580</wp:posOffset>
            </wp:positionV>
            <wp:extent cx="7029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2945" cy="8890"/>
                    </a:xfrm>
                    <a:prstGeom prst="rect">
                      <a:avLst/>
                    </a:prstGeom>
                    <a:noFill/>
                  </pic:spPr>
                </pic:pic>
              </a:graphicData>
            </a:graphic>
          </wp:anchor>
        </w:drawing>
        <w:drawing>
          <wp:anchor simplePos="0" relativeHeight="251657728" behindDoc="1" locked="0" layoutInCell="0" allowOverlap="1">
            <wp:simplePos x="0" y="0"/>
            <wp:positionH relativeFrom="column">
              <wp:posOffset>-243840</wp:posOffset>
            </wp:positionH>
            <wp:positionV relativeFrom="paragraph">
              <wp:posOffset>-1054100</wp:posOffset>
            </wp:positionV>
            <wp:extent cx="7029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2945" cy="8890"/>
                    </a:xfrm>
                    <a:prstGeom prst="rect">
                      <a:avLst/>
                    </a:prstGeom>
                    <a:noFill/>
                  </pic:spPr>
                </pic:pic>
              </a:graphicData>
            </a:graphic>
          </wp:anchor>
        </w:drawing>
        <w:drawing>
          <wp:anchor simplePos="0" relativeHeight="251657728" behindDoc="1" locked="0" layoutInCell="0" allowOverlap="1">
            <wp:simplePos x="0" y="0"/>
            <wp:positionH relativeFrom="column">
              <wp:posOffset>-243840</wp:posOffset>
            </wp:positionH>
            <wp:positionV relativeFrom="paragraph">
              <wp:posOffset>-899795</wp:posOffset>
            </wp:positionV>
            <wp:extent cx="7029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2945" cy="8890"/>
                    </a:xfrm>
                    <a:prstGeom prst="rect">
                      <a:avLst/>
                    </a:prstGeom>
                    <a:noFill/>
                  </pic:spPr>
                </pic:pic>
              </a:graphicData>
            </a:graphic>
          </wp:anchor>
        </w:drawing>
        <w:drawing>
          <wp:anchor simplePos="0" relativeHeight="251657728" behindDoc="1" locked="0" layoutInCell="0" allowOverlap="1">
            <wp:simplePos x="0" y="0"/>
            <wp:positionH relativeFrom="column">
              <wp:posOffset>-243840</wp:posOffset>
            </wp:positionH>
            <wp:positionV relativeFrom="paragraph">
              <wp:posOffset>-539750</wp:posOffset>
            </wp:positionV>
            <wp:extent cx="7029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2945" cy="8890"/>
                    </a:xfrm>
                    <a:prstGeom prst="rect">
                      <a:avLst/>
                    </a:prstGeom>
                    <a:noFill/>
                  </pic:spPr>
                </pic:pic>
              </a:graphicData>
            </a:graphic>
          </wp:anchor>
        </w:drawing>
        <w:drawing>
          <wp:anchor simplePos="0" relativeHeight="251657728" behindDoc="1" locked="0" layoutInCell="0" allowOverlap="1">
            <wp:simplePos x="0" y="0"/>
            <wp:positionH relativeFrom="column">
              <wp:posOffset>-243840</wp:posOffset>
            </wp:positionH>
            <wp:positionV relativeFrom="paragraph">
              <wp:posOffset>-179705</wp:posOffset>
            </wp:positionV>
            <wp:extent cx="70294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2945" cy="8890"/>
                    </a:xfrm>
                    <a:prstGeom prst="rect">
                      <a:avLst/>
                    </a:prstGeom>
                    <a:noFill/>
                  </pic:spPr>
                </pic:pic>
              </a:graphicData>
            </a:graphic>
          </wp:anchor>
        </w:drawing>
        <w:drawing>
          <wp:anchor simplePos="0" relativeHeight="251657728" behindDoc="1" locked="0" layoutInCell="0" allowOverlap="1">
            <wp:simplePos x="0" y="0"/>
            <wp:positionH relativeFrom="column">
              <wp:posOffset>-243840</wp:posOffset>
            </wp:positionH>
            <wp:positionV relativeFrom="paragraph">
              <wp:posOffset>-25400</wp:posOffset>
            </wp:positionV>
            <wp:extent cx="70294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2945" cy="8890"/>
                    </a:xfrm>
                    <a:prstGeom prst="rect">
                      <a:avLst/>
                    </a:prstGeom>
                    <a:noFill/>
                  </pic:spPr>
                </pic:pic>
              </a:graphicData>
            </a:graphic>
          </wp:anchor>
        </w:drawing>
        <w:drawing>
          <wp:anchor simplePos="0" relativeHeight="251657728" behindDoc="1" locked="0" layoutInCell="0" allowOverlap="1">
            <wp:simplePos x="0" y="0"/>
            <wp:positionH relativeFrom="column">
              <wp:posOffset>-243840</wp:posOffset>
            </wp:positionH>
            <wp:positionV relativeFrom="paragraph">
              <wp:posOffset>-8255</wp:posOffset>
            </wp:positionV>
            <wp:extent cx="70294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40"/>
        <w:spacing w:after="0"/>
        <w:tabs>
          <w:tab w:leader="none" w:pos="1640" w:val="left"/>
          <w:tab w:leader="none" w:pos="2360" w:val="left"/>
          <w:tab w:leader="none" w:pos="3700" w:val="left"/>
          <w:tab w:leader="none" w:pos="4600" w:val="left"/>
        </w:tabs>
        <w:rPr>
          <w:sz w:val="20"/>
          <w:szCs w:val="20"/>
          <w:color w:val="auto"/>
        </w:rPr>
      </w:pPr>
      <w:r>
        <w:rPr>
          <w:rFonts w:ascii="Arial" w:cs="Arial" w:eastAsia="Arial" w:hAnsi="Arial"/>
          <w:sz w:val="18"/>
          <w:szCs w:val="18"/>
          <w:color w:val="auto"/>
        </w:rPr>
        <w:t>29,120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5,970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41,054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10795</wp:posOffset>
            </wp:positionV>
            <wp:extent cx="70294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2945" cy="8890"/>
                    </a:xfrm>
                    <a:prstGeom prst="rect">
                      <a:avLst/>
                    </a:prstGeom>
                    <a:noFill/>
                  </pic:spPr>
                </pic:pic>
              </a:graphicData>
            </a:graphic>
          </wp:anchor>
        </w:drawing>
        <w:drawing>
          <wp:anchor simplePos="0" relativeHeight="251657728" behindDoc="1" locked="0" layoutInCell="0" allowOverlap="1">
            <wp:simplePos x="0" y="0"/>
            <wp:positionH relativeFrom="column">
              <wp:posOffset>-243840</wp:posOffset>
            </wp:positionH>
            <wp:positionV relativeFrom="paragraph">
              <wp:posOffset>27940</wp:posOffset>
            </wp:positionV>
            <wp:extent cx="70294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2945" cy="8890"/>
                    </a:xfrm>
                    <a:prstGeom prst="rect">
                      <a:avLst/>
                    </a:prstGeom>
                    <a:noFill/>
                  </pic:spPr>
                </pic:pic>
              </a:graphicData>
            </a:graphic>
          </wp:anchor>
        </w:drawing>
        <w:drawing>
          <wp:anchor simplePos="0" relativeHeight="251657728" behindDoc="1" locked="0" layoutInCell="0" allowOverlap="1">
            <wp:simplePos x="0" y="0"/>
            <wp:positionH relativeFrom="column">
              <wp:posOffset>1059180</wp:posOffset>
            </wp:positionH>
            <wp:positionV relativeFrom="paragraph">
              <wp:posOffset>10795</wp:posOffset>
            </wp:positionV>
            <wp:extent cx="70294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2945" cy="8890"/>
                    </a:xfrm>
                    <a:prstGeom prst="rect">
                      <a:avLst/>
                    </a:prstGeom>
                    <a:noFill/>
                  </pic:spPr>
                </pic:pic>
              </a:graphicData>
            </a:graphic>
          </wp:anchor>
        </w:drawing>
        <w:drawing>
          <wp:anchor simplePos="0" relativeHeight="251657728" behindDoc="1" locked="0" layoutInCell="0" allowOverlap="1">
            <wp:simplePos x="0" y="0"/>
            <wp:positionH relativeFrom="column">
              <wp:posOffset>1059180</wp:posOffset>
            </wp:positionH>
            <wp:positionV relativeFrom="paragraph">
              <wp:posOffset>27940</wp:posOffset>
            </wp:positionV>
            <wp:extent cx="70294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2945" cy="8890"/>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10795</wp:posOffset>
            </wp:positionV>
            <wp:extent cx="88328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3285" cy="8890"/>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27940</wp:posOffset>
            </wp:positionV>
            <wp:extent cx="88328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sectPr>
      <w:pgSz w:w="11900" w:h="16838" w:orient="portrait"/>
      <w:cols w:equalWidth="0" w:num="2">
        <w:col w:w="5900" w:space="300"/>
        <w:col w:w="5180"/>
      </w:cols>
      <w:pgMar w:left="240" w:top="274"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lowerRoman"/>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2019-12-07T14:52:04Z</dcterms:created>
  <dcterms:modified xsi:type="dcterms:W3CDTF">2019-12-07T14:52:04Z</dcterms:modified>
</cp:coreProperties>
</file>