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396630d20f.htm"/>
        <w:bookmarkStart w:id="1" w:name="ksd396630d20f"/>
        <w:bookmarkEnd w:id="0"/>
        <w:bookmarkEnd w:id="1"/>
        <w:r>
          <w:rPr>
            <w:rStyle w:val="InternetLink"/>
          </w:rPr>
          <w:t>Table of Contents</w:t>
        </w:r>
      </w:hyperlink>
    </w:p>
    <w:p>
      <w:pPr>
        <w:pStyle w:val="TextBody"/>
        <w:spacing w:lineRule="atLeast" w:line="141" w:before="0" w:after="0"/>
        <w:ind w:left="0" w:right="0" w:hanging="0"/>
        <w:jc w:val="left"/>
        <w:rPr>
          <w:spacing w:val="0"/>
        </w:rPr>
      </w:pPr>
      <w:r>
        <w:rPr>
          <w:spacing w:val="0"/>
        </w:rPr>
        <w:t> </w:t>
      </w:r>
    </w:p>
    <w:p>
      <w:pPr>
        <w:pStyle w:val="TextBody"/>
        <w:spacing w:lineRule="atLeast" w:line="141" w:before="0" w:after="40"/>
        <w:ind w:left="0" w:right="0" w:hanging="0"/>
        <w:jc w:val="left"/>
        <w:rPr>
          <w:spacing w:val="0"/>
        </w:rPr>
      </w:pPr>
      <w:r>
        <w:rPr>
          <w:spacing w:val="0"/>
        </w:rPr>
        <w:t> </w:t>
      </w:r>
    </w:p>
    <w:p>
      <w:pPr>
        <w:pStyle w:val="TextBody"/>
        <w:spacing w:before="0" w:after="0"/>
        <w:ind w:left="0" w:right="0" w:hanging="0"/>
        <w:jc w:val="center"/>
        <w:rPr>
          <w:rFonts w:ascii="Times New Roman" w:hAnsi="Times New Roman"/>
          <w:b/>
          <w:spacing w:val="0"/>
          <w:sz w:val="32"/>
        </w:rPr>
      </w:pPr>
      <w:r>
        <w:rPr>
          <w:rFonts w:ascii="Times New Roman" w:hAnsi="Times New Roman"/>
          <w:b/>
          <w:spacing w:val="0"/>
          <w:sz w:val="32"/>
        </w:rPr>
        <w:t xml:space="preserve">UNITED STATES </w:t>
      </w:r>
    </w:p>
    <w:p>
      <w:pPr>
        <w:pStyle w:val="TextBody"/>
        <w:spacing w:before="0" w:after="0"/>
        <w:ind w:left="0" w:right="0" w:hanging="0"/>
        <w:jc w:val="center"/>
        <w:rPr>
          <w:rFonts w:ascii="Times New Roman" w:hAnsi="Times New Roman"/>
          <w:b/>
          <w:spacing w:val="0"/>
          <w:sz w:val="32"/>
        </w:rPr>
      </w:pPr>
      <w:r>
        <w:rPr>
          <w:rFonts w:ascii="Times New Roman" w:hAnsi="Times New Roman"/>
          <w:b/>
          <w:spacing w:val="0"/>
          <w:sz w:val="32"/>
        </w:rPr>
        <w:t xml:space="preserve">SECURITIES AND EXCHANGE COMMISSION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WASHINGTON, D.C. 20549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center"/>
        <w:rPr>
          <w:rFonts w:ascii="Times New Roman" w:hAnsi="Times New Roman"/>
          <w:b/>
          <w:spacing w:val="0"/>
          <w:sz w:val="36"/>
        </w:rPr>
      </w:pPr>
      <w:r>
        <w:rPr>
          <w:rFonts w:ascii="Times New Roman" w:hAnsi="Times New Roman"/>
          <w:b/>
          <w:spacing w:val="0"/>
          <w:sz w:val="36"/>
        </w:rPr>
        <w:t>FORM 20-F</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spacing w:val="0"/>
              </w:rPr>
            </w:pPr>
            <w:r>
              <w:rPr>
                <w:spacing w:val="0"/>
              </w:rPr>
              <w:t>☐</w:t>
            </w:r>
          </w:p>
        </w:tc>
        <w:tc>
          <w:tcPr>
            <w:tcW w:w="9960" w:type="dxa"/>
            <w:tcBorders/>
            <w:shd w:fill="auto" w:val="clear"/>
            <w:vAlign w:val="center"/>
          </w:tcPr>
          <w:p>
            <w:pPr>
              <w:pStyle w:val="TableContents"/>
              <w:spacing w:before="0" w:after="0"/>
              <w:jc w:val="both"/>
              <w:rPr>
                <w:rFonts w:ascii="Times New Roman" w:hAnsi="Times New Roman"/>
                <w:b/>
                <w:spacing w:val="0"/>
                <w:sz w:val="18"/>
              </w:rPr>
            </w:pPr>
            <w:r>
              <w:rPr>
                <w:rFonts w:ascii="Times New Roman" w:hAnsi="Times New Roman"/>
                <w:b/>
                <w:spacing w:val="0"/>
                <w:sz w:val="18"/>
              </w:rPr>
              <w:t xml:space="preserve">REGISTRATION STATEMENT PURSUANT TO SECTION 12(b) OR 12(g) OF THE SECURITIES EXCHANGE ACT OF 1934 </w:t>
            </w:r>
          </w:p>
        </w:tc>
      </w:tr>
    </w:tbl>
    <w:p>
      <w:pPr>
        <w:pStyle w:val="TextBody"/>
        <w:spacing w:before="60" w:after="0"/>
        <w:ind w:left="0" w:right="0" w:hanging="0"/>
        <w:jc w:val="center"/>
        <w:rPr>
          <w:rFonts w:ascii="Times New Roman" w:hAnsi="Times New Roman"/>
          <w:b/>
          <w:spacing w:val="0"/>
          <w:sz w:val="18"/>
        </w:rPr>
      </w:pPr>
      <w:r>
        <w:rPr>
          <w:rFonts w:ascii="Times New Roman" w:hAnsi="Times New Roman"/>
          <w:b/>
          <w:spacing w:val="0"/>
          <w:sz w:val="18"/>
        </w:rPr>
        <w:t xml:space="preserve">OR </w:t>
      </w:r>
    </w:p>
    <w:p>
      <w:pPr>
        <w:pStyle w:val="TextBody"/>
        <w:spacing w:before="0" w:after="0"/>
        <w:ind w:left="0" w:right="0" w:hanging="0"/>
        <w:jc w:val="left"/>
        <w:rPr>
          <w:spacing w:val="0"/>
        </w:rPr>
      </w:pPr>
      <w:r>
        <w:rPr>
          <w:spacing w:val="0"/>
        </w:rPr>
        <w:t> </w:t>
      </w:r>
    </w:p>
    <w:tbl>
      <w:tblPr>
        <w:tblW w:w="9220" w:type="dxa"/>
        <w:jc w:val="left"/>
        <w:tblInd w:w="0" w:type="dxa"/>
        <w:tblCellMar>
          <w:top w:w="0" w:type="dxa"/>
          <w:left w:w="0" w:type="dxa"/>
          <w:bottom w:w="0" w:type="dxa"/>
          <w:right w:w="0" w:type="dxa"/>
        </w:tblCellMar>
      </w:tblPr>
      <w:tblGrid>
        <w:gridCol w:w="245"/>
        <w:gridCol w:w="8975"/>
      </w:tblGrid>
      <w:tr>
        <w:trPr/>
        <w:tc>
          <w:tcPr>
            <w:tcW w:w="245" w:type="dxa"/>
            <w:tcBorders/>
            <w:shd w:fill="auto" w:val="clear"/>
            <w:vAlign w:val="center"/>
          </w:tcPr>
          <w:p>
            <w:pPr>
              <w:pStyle w:val="TableContents"/>
              <w:spacing w:before="0" w:after="0"/>
              <w:jc w:val="left"/>
              <w:rPr>
                <w:spacing w:val="0"/>
              </w:rPr>
            </w:pPr>
            <w:r>
              <w:rPr>
                <w:spacing w:val="0"/>
              </w:rPr>
              <w:t>☒</w:t>
            </w:r>
          </w:p>
        </w:tc>
        <w:tc>
          <w:tcPr>
            <w:tcW w:w="8975" w:type="dxa"/>
            <w:tcBorders/>
            <w:shd w:fill="auto" w:val="clear"/>
            <w:vAlign w:val="center"/>
          </w:tcPr>
          <w:p>
            <w:pPr>
              <w:pStyle w:val="TableContents"/>
              <w:spacing w:before="0" w:after="0"/>
              <w:jc w:val="both"/>
              <w:rPr>
                <w:rFonts w:ascii="Times New Roman" w:hAnsi="Times New Roman"/>
                <w:b/>
                <w:spacing w:val="0"/>
                <w:sz w:val="18"/>
              </w:rPr>
            </w:pPr>
            <w:r>
              <w:rPr>
                <w:rFonts w:ascii="Times New Roman" w:hAnsi="Times New Roman"/>
                <w:b/>
                <w:spacing w:val="0"/>
                <w:sz w:val="18"/>
              </w:rPr>
              <w:t xml:space="preserve">ANNUAL REPORT PURSUANT TO SECTION 13 OR 15(d) OF THE SECURITIES EXCHANGE ACT OF 1934 </w:t>
            </w:r>
          </w:p>
        </w:tc>
      </w:tr>
    </w:tbl>
    <w:p>
      <w:pPr>
        <w:pStyle w:val="TextBody"/>
        <w:spacing w:before="60" w:after="0"/>
        <w:ind w:left="0" w:right="0" w:hanging="0"/>
        <w:jc w:val="center"/>
        <w:rPr>
          <w:rFonts w:ascii="Times New Roman" w:hAnsi="Times New Roman"/>
          <w:b/>
          <w:spacing w:val="0"/>
          <w:sz w:val="18"/>
        </w:rPr>
      </w:pPr>
      <w:r>
        <w:rPr>
          <w:rFonts w:ascii="Times New Roman" w:hAnsi="Times New Roman"/>
          <w:b/>
          <w:spacing w:val="0"/>
          <w:sz w:val="18"/>
        </w:rPr>
        <w:t xml:space="preserve">For the fiscal year ended December 31, 2022 </w:t>
      </w:r>
    </w:p>
    <w:p>
      <w:pPr>
        <w:pStyle w:val="TextBody"/>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OR </w:t>
      </w:r>
    </w:p>
    <w:p>
      <w:pPr>
        <w:pStyle w:val="TextBody"/>
        <w:spacing w:before="0" w:after="0"/>
        <w:ind w:left="0" w:right="0" w:hanging="0"/>
        <w:jc w:val="left"/>
        <w:rPr>
          <w:spacing w:val="0"/>
        </w:rPr>
      </w:pPr>
      <w:r>
        <w:rPr>
          <w:spacing w:val="0"/>
        </w:rPr>
        <w:t> </w:t>
      </w:r>
    </w:p>
    <w:tbl>
      <w:tblPr>
        <w:tblW w:w="9595" w:type="dxa"/>
        <w:jc w:val="left"/>
        <w:tblInd w:w="0" w:type="dxa"/>
        <w:tblCellMar>
          <w:top w:w="0" w:type="dxa"/>
          <w:left w:w="0" w:type="dxa"/>
          <w:bottom w:w="0" w:type="dxa"/>
          <w:right w:w="0" w:type="dxa"/>
        </w:tblCellMar>
      </w:tblPr>
      <w:tblGrid>
        <w:gridCol w:w="245"/>
        <w:gridCol w:w="9350"/>
      </w:tblGrid>
      <w:tr>
        <w:trPr/>
        <w:tc>
          <w:tcPr>
            <w:tcW w:w="245" w:type="dxa"/>
            <w:tcBorders/>
            <w:shd w:fill="auto" w:val="clear"/>
            <w:vAlign w:val="center"/>
          </w:tcPr>
          <w:p>
            <w:pPr>
              <w:pStyle w:val="TableContents"/>
              <w:spacing w:before="0" w:after="0"/>
              <w:jc w:val="left"/>
              <w:rPr>
                <w:spacing w:val="0"/>
              </w:rPr>
            </w:pPr>
            <w:r>
              <w:rPr>
                <w:spacing w:val="0"/>
              </w:rPr>
              <w:t>☐</w:t>
            </w:r>
          </w:p>
        </w:tc>
        <w:tc>
          <w:tcPr>
            <w:tcW w:w="9350" w:type="dxa"/>
            <w:tcBorders/>
            <w:shd w:fill="auto" w:val="clear"/>
            <w:vAlign w:val="center"/>
          </w:tcPr>
          <w:p>
            <w:pPr>
              <w:pStyle w:val="TableContents"/>
              <w:spacing w:before="0" w:after="0"/>
              <w:jc w:val="both"/>
              <w:rPr>
                <w:rFonts w:ascii="Times New Roman" w:hAnsi="Times New Roman"/>
                <w:b/>
                <w:spacing w:val="0"/>
                <w:sz w:val="18"/>
              </w:rPr>
            </w:pPr>
            <w:r>
              <w:rPr>
                <w:rFonts w:ascii="Times New Roman" w:hAnsi="Times New Roman"/>
                <w:b/>
                <w:spacing w:val="0"/>
                <w:sz w:val="18"/>
              </w:rPr>
              <w:t xml:space="preserve">TRANSITION REPORT PURSUANT TO SECTION 13 OR 15(d) OF THE SECURITIES EXCHANGE ACT OF 1934 </w:t>
            </w:r>
          </w:p>
        </w:tc>
      </w:tr>
    </w:tbl>
    <w:p>
      <w:pPr>
        <w:pStyle w:val="TextBody"/>
        <w:spacing w:before="60" w:after="0"/>
        <w:ind w:left="0" w:right="0" w:hanging="0"/>
        <w:jc w:val="center"/>
        <w:rPr>
          <w:rFonts w:ascii="Times New Roman" w:hAnsi="Times New Roman"/>
          <w:b/>
          <w:spacing w:val="0"/>
          <w:sz w:val="18"/>
        </w:rPr>
      </w:pPr>
      <w:r>
        <w:rPr>
          <w:rFonts w:ascii="Times New Roman" w:hAnsi="Times New Roman"/>
          <w:b/>
          <w:spacing w:val="0"/>
          <w:sz w:val="18"/>
        </w:rPr>
        <w:t xml:space="preserve">For the transition period from </w:t>
      </w:r>
    </w:p>
    <w:p>
      <w:pPr>
        <w:pStyle w:val="TextBody"/>
        <w:spacing w:before="60" w:after="0"/>
        <w:jc w:val="center"/>
        <w:rPr>
          <w:spacing w:val="0"/>
          <w:u w:val="single"/>
        </w:rPr>
      </w:pPr>
      <w:r>
        <w:rPr>
          <w:spacing w:val="0"/>
          <w:u w:val="single"/>
        </w:rPr>
        <w:t>    </w:t>
      </w:r>
    </w:p>
    <w:p>
      <w:pPr>
        <w:pStyle w:val="TextBody"/>
        <w:spacing w:before="60" w:after="0"/>
        <w:jc w:val="center"/>
        <w:rPr>
          <w:spacing w:val="0"/>
          <w:u w:val="single"/>
        </w:rPr>
      </w:pPr>
      <w:r>
        <w:rPr>
          <w:spacing w:val="0"/>
          <w:u w:val="single"/>
        </w:rPr>
        <w:t>    </w:t>
      </w:r>
    </w:p>
    <w:p>
      <w:pPr>
        <w:pStyle w:val="TextBody"/>
        <w:spacing w:before="60" w:after="0"/>
        <w:jc w:val="center"/>
        <w:rPr>
          <w:spacing w:val="0"/>
          <w:u w:val="single"/>
        </w:rPr>
      </w:pPr>
      <w:r>
        <w:rPr>
          <w:spacing w:val="0"/>
          <w:u w:val="single"/>
        </w:rPr>
        <w:t>    </w:t>
      </w:r>
    </w:p>
    <w:p>
      <w:pPr>
        <w:pStyle w:val="TextBody"/>
        <w:spacing w:before="60" w:after="0"/>
        <w:jc w:val="center"/>
        <w:rPr>
          <w:rFonts w:ascii="Times New Roman" w:hAnsi="Times New Roman"/>
          <w:b/>
          <w:spacing w:val="0"/>
          <w:sz w:val="18"/>
        </w:rPr>
      </w:pPr>
      <w:r>
        <w:rPr>
          <w:rFonts w:ascii="Times New Roman" w:hAnsi="Times New Roman"/>
          <w:b/>
          <w:spacing w:val="0"/>
          <w:sz w:val="18"/>
        </w:rPr>
        <w:t xml:space="preserve">to </w:t>
      </w:r>
    </w:p>
    <w:p>
      <w:pPr>
        <w:pStyle w:val="TextBody"/>
        <w:spacing w:before="60" w:after="0"/>
        <w:jc w:val="center"/>
        <w:rPr>
          <w:spacing w:val="0"/>
          <w:u w:val="single"/>
        </w:rPr>
      </w:pPr>
      <w:r>
        <w:rPr>
          <w:spacing w:val="0"/>
          <w:u w:val="single"/>
        </w:rPr>
        <w:t>    </w:t>
      </w:r>
    </w:p>
    <w:p>
      <w:pPr>
        <w:pStyle w:val="TextBody"/>
        <w:spacing w:before="60" w:after="0"/>
        <w:jc w:val="center"/>
        <w:rPr>
          <w:spacing w:val="0"/>
          <w:u w:val="single"/>
        </w:rPr>
      </w:pPr>
      <w:r>
        <w:rPr>
          <w:spacing w:val="0"/>
          <w:u w:val="single"/>
        </w:rPr>
        <w:t>    </w:t>
      </w:r>
    </w:p>
    <w:p>
      <w:pPr>
        <w:pStyle w:val="TextBody"/>
        <w:spacing w:before="60" w:after="0"/>
        <w:jc w:val="center"/>
        <w:rPr>
          <w:spacing w:val="0"/>
          <w:u w:val="single"/>
        </w:rPr>
      </w:pPr>
      <w:r>
        <w:rPr>
          <w:spacing w:val="0"/>
          <w:u w:val="single"/>
        </w:rPr>
        <w:t>    </w:t>
      </w:r>
    </w:p>
    <w:p>
      <w:pPr>
        <w:pStyle w:val="TextBody"/>
        <w:spacing w:before="60" w:after="0"/>
        <w:ind w:left="0" w:right="0" w:hanging="0"/>
        <w:jc w:val="center"/>
        <w:rPr>
          <w:rFonts w:ascii="Times New Roman" w:hAnsi="Times New Roman"/>
          <w:b/>
          <w:spacing w:val="0"/>
          <w:sz w:val="18"/>
        </w:rPr>
      </w:pPr>
      <w:r>
        <w:rPr>
          <w:rFonts w:ascii="Times New Roman" w:hAnsi="Times New Roman"/>
          <w:b/>
          <w:spacing w:val="0"/>
          <w:sz w:val="18"/>
        </w:rPr>
        <w:t xml:space="preserve">OR </w:t>
      </w:r>
    </w:p>
    <w:tbl>
      <w:tblPr>
        <w:tblW w:w="10015" w:type="dxa"/>
        <w:jc w:val="left"/>
        <w:tblInd w:w="0" w:type="dxa"/>
        <w:tblCellMar>
          <w:top w:w="0" w:type="dxa"/>
          <w:left w:w="0" w:type="dxa"/>
          <w:bottom w:w="0" w:type="dxa"/>
          <w:right w:w="0" w:type="dxa"/>
        </w:tblCellMar>
      </w:tblPr>
      <w:tblGrid>
        <w:gridCol w:w="245"/>
        <w:gridCol w:w="9770"/>
      </w:tblGrid>
      <w:tr>
        <w:trPr/>
        <w:tc>
          <w:tcPr>
            <w:tcW w:w="245" w:type="dxa"/>
            <w:tcBorders/>
            <w:shd w:fill="auto" w:val="clear"/>
            <w:vAlign w:val="center"/>
          </w:tcPr>
          <w:p>
            <w:pPr>
              <w:pStyle w:val="TableContents"/>
              <w:spacing w:before="0" w:after="0"/>
              <w:jc w:val="left"/>
              <w:rPr>
                <w:spacing w:val="0"/>
              </w:rPr>
            </w:pPr>
            <w:r>
              <w:rPr>
                <w:spacing w:val="0"/>
              </w:rPr>
              <w:t>☐</w:t>
            </w:r>
          </w:p>
        </w:tc>
        <w:tc>
          <w:tcPr>
            <w:tcW w:w="9770" w:type="dxa"/>
            <w:tcBorders/>
            <w:shd w:fill="auto" w:val="clear"/>
            <w:vAlign w:val="center"/>
          </w:tcPr>
          <w:p>
            <w:pPr>
              <w:pStyle w:val="TableContents"/>
              <w:spacing w:before="0" w:after="0"/>
              <w:jc w:val="both"/>
              <w:rPr>
                <w:rFonts w:ascii="Times New Roman" w:hAnsi="Times New Roman"/>
                <w:b/>
                <w:spacing w:val="0"/>
                <w:sz w:val="18"/>
              </w:rPr>
            </w:pPr>
            <w:r>
              <w:rPr>
                <w:rFonts w:ascii="Times New Roman" w:hAnsi="Times New Roman"/>
                <w:b/>
                <w:spacing w:val="0"/>
                <w:sz w:val="18"/>
              </w:rPr>
              <w:t xml:space="preserve">SHELL COMPANY REPORT PURSUANT TO SECTION 13 OR 15(d) OF THE SECURITIES EXCHANGE ACT OF 1934 </w:t>
            </w:r>
          </w:p>
        </w:tc>
      </w:tr>
    </w:tbl>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Date of event requiring this shell company report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Commission </w:t>
      </w:r>
    </w:p>
    <w:p>
      <w:pPr>
        <w:pStyle w:val="TextBody"/>
        <w:spacing w:before="60" w:after="0"/>
        <w:jc w:val="center"/>
        <w:rPr>
          <w:rFonts w:ascii="Times New Roman" w:hAnsi="Times New Roman"/>
          <w:b/>
          <w:spacing w:val="0"/>
          <w:sz w:val="17"/>
        </w:rPr>
      </w:pPr>
      <w:r>
        <w:rPr>
          <w:rFonts w:ascii="Times New Roman" w:hAnsi="Times New Roman"/>
          <w:b/>
          <w:spacing w:val="0"/>
          <w:sz w:val="17"/>
        </w:rPr>
        <w:t>file number 001-33178</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center"/>
        <w:rPr>
          <w:rFonts w:ascii="Times New Roman" w:hAnsi="Times New Roman"/>
          <w:b/>
          <w:spacing w:val="0"/>
          <w:sz w:val="44"/>
        </w:rPr>
      </w:pPr>
      <w:r>
        <w:rPr>
          <w:rFonts w:ascii="Times New Roman" w:hAnsi="Times New Roman"/>
          <w:b/>
          <w:spacing w:val="0"/>
          <w:sz w:val="44"/>
        </w:rPr>
        <w:t xml:space="preserve">MELCO RESORTS &amp; ENTERTAINMENT LIMITED </w:t>
      </w:r>
    </w:p>
    <w:p>
      <w:pPr>
        <w:pStyle w:val="TextBody"/>
        <w:spacing w:before="0" w:after="0"/>
        <w:ind w:left="0" w:right="0" w:hanging="0"/>
        <w:jc w:val="center"/>
        <w:rPr>
          <w:rFonts w:ascii="Times New Roman" w:hAnsi="Times New Roman"/>
          <w:b/>
          <w:spacing w:val="0"/>
          <w:sz w:val="15"/>
        </w:rPr>
      </w:pPr>
      <w:r>
        <w:rPr>
          <w:rFonts w:ascii="Times New Roman" w:hAnsi="Times New Roman"/>
          <w:b/>
          <w:spacing w:val="0"/>
          <w:sz w:val="15"/>
        </w:rPr>
        <w:t xml:space="preserve">(Exact name of Registrant as specified in its charter)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(Translation of Registrant’s name into English)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Cayman Islands </w:t>
      </w:r>
    </w:p>
    <w:p>
      <w:pPr>
        <w:pStyle w:val="TextBody"/>
        <w:spacing w:before="0" w:after="0"/>
        <w:ind w:left="0" w:right="0" w:hanging="0"/>
        <w:jc w:val="center"/>
        <w:rPr>
          <w:rFonts w:ascii="Times New Roman" w:hAnsi="Times New Roman"/>
          <w:b/>
          <w:spacing w:val="0"/>
          <w:sz w:val="17"/>
        </w:rPr>
      </w:pPr>
      <w:r>
        <w:rPr>
          <w:rFonts w:ascii="Times New Roman" w:hAnsi="Times New Roman"/>
          <w:b/>
          <w:spacing w:val="0"/>
          <w:sz w:val="17"/>
        </w:rPr>
        <w:t xml:space="preserve">(Jurisdiction of incorporation or organization)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71 Robinson Road #04-03, Singapore 068895 and 38th Floor, The Centrium, 60 Wyndham Street, Central, Hong Kong </w:t>
      </w:r>
    </w:p>
    <w:p>
      <w:pPr>
        <w:pStyle w:val="TextBody"/>
        <w:spacing w:before="0" w:after="0"/>
        <w:ind w:left="0" w:right="0" w:hanging="0"/>
        <w:jc w:val="center"/>
        <w:rPr>
          <w:rFonts w:ascii="Times New Roman" w:hAnsi="Times New Roman"/>
          <w:b/>
          <w:spacing w:val="0"/>
          <w:sz w:val="17"/>
        </w:rPr>
      </w:pPr>
      <w:r>
        <w:rPr>
          <w:rFonts w:ascii="Times New Roman" w:hAnsi="Times New Roman"/>
          <w:b/>
          <w:spacing w:val="0"/>
          <w:sz w:val="17"/>
        </w:rPr>
        <w:t xml:space="preserve">(Address of principal executive offices)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Amy Kuzdowicz, Senior Vice President, Chief Accounting Officer Tel +65 8488 9770 or +852 2598 3600, Fax +852 2537 3618 </w:t>
      </w:r>
    </w:p>
    <w:p>
      <w:pPr>
        <w:pStyle w:val="TextBody"/>
        <w:spacing w:before="0" w:after="0"/>
        <w:ind w:left="0" w:right="0" w:hanging="0"/>
        <w:jc w:val="center"/>
        <w:rPr>
          <w:rFonts w:ascii="Times New Roman" w:hAnsi="Times New Roman"/>
          <w:b/>
          <w:spacing w:val="0"/>
          <w:sz w:val="17"/>
        </w:rPr>
      </w:pPr>
      <w:r>
        <w:rPr>
          <w:rFonts w:ascii="Times New Roman" w:hAnsi="Times New Roman"/>
          <w:b/>
          <w:spacing w:val="0"/>
          <w:sz w:val="17"/>
        </w:rPr>
        <w:t xml:space="preserve">71 Robinson Road #04-03, Singapore 068895 </w:t>
      </w:r>
    </w:p>
    <w:p>
      <w:pPr>
        <w:pStyle w:val="TextBody"/>
        <w:spacing w:before="0" w:after="0"/>
        <w:ind w:left="0" w:right="0" w:hanging="0"/>
        <w:jc w:val="center"/>
        <w:rPr>
          <w:rFonts w:ascii="Times New Roman" w:hAnsi="Times New Roman"/>
          <w:b/>
          <w:spacing w:val="0"/>
          <w:sz w:val="17"/>
        </w:rPr>
      </w:pPr>
      <w:r>
        <w:rPr>
          <w:rFonts w:ascii="Times New Roman" w:hAnsi="Times New Roman"/>
          <w:b/>
          <w:spacing w:val="0"/>
          <w:sz w:val="17"/>
        </w:rPr>
        <w:t>(Name, Telephone, E-mail and/or Facsimile</w:t>
      </w:r>
    </w:p>
    <w:p>
      <w:pPr>
        <w:pStyle w:val="TextBody"/>
        <w:spacing w:before="0" w:after="0"/>
        <w:jc w:val="center"/>
        <w:rPr>
          <w:rFonts w:ascii="Times New Roman" w:hAnsi="Times New Roman"/>
          <w:b/>
          <w:spacing w:val="0"/>
          <w:sz w:val="17"/>
        </w:rPr>
      </w:pPr>
      <w:r>
        <w:rPr>
          <w:rFonts w:ascii="Times New Roman" w:hAnsi="Times New Roman"/>
          <w:b/>
          <w:spacing w:val="0"/>
          <w:sz w:val="17"/>
        </w:rPr>
        <w:t xml:space="preserve">number and Address of Company Contact Person)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Securities registered or to be registered pursuant to Section 12(b) of the Act: </w:t>
      </w:r>
    </w:p>
    <w:p>
      <w:pPr>
        <w:pStyle w:val="TextBody"/>
        <w:spacing w:before="0" w:after="0"/>
        <w:ind w:left="0" w:right="0" w:hanging="0"/>
        <w:jc w:val="left"/>
        <w:rPr>
          <w:spacing w:val="0"/>
        </w:rPr>
      </w:pPr>
      <w:r>
        <w:rPr>
          <w:spacing w:val="0"/>
        </w:rPr>
        <w:t> </w:t>
      </w:r>
    </w:p>
    <w:tbl>
      <w:tblPr>
        <w:tblW w:w="8745" w:type="dxa"/>
        <w:jc w:val="left"/>
        <w:tblInd w:w="0" w:type="dxa"/>
        <w:tblCellMar>
          <w:top w:w="0" w:type="dxa"/>
          <w:left w:w="0" w:type="dxa"/>
          <w:bottom w:w="0" w:type="dxa"/>
          <w:right w:w="0" w:type="dxa"/>
        </w:tblCellMar>
      </w:tblPr>
      <w:tblGrid>
        <w:gridCol w:w="4085"/>
        <w:gridCol w:w="60"/>
        <w:gridCol w:w="1190"/>
        <w:gridCol w:w="60"/>
        <w:gridCol w:w="3350"/>
      </w:tblGrid>
      <w:tr>
        <w:trPr/>
        <w:tc>
          <w:tcPr>
            <w:tcW w:w="4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4085" w:type="dxa"/>
            <w:tcBorders/>
            <w:shd w:fill="auto" w:val="clear"/>
            <w:vAlign w:val="center"/>
          </w:tcPr>
          <w:p>
            <w:pPr>
              <w:pStyle w:val="TableContents"/>
              <w:spacing w:before="0" w:after="20"/>
              <w:jc w:val="center"/>
              <w:rPr>
                <w:rFonts w:ascii="Times New Roman" w:hAnsi="Times New Roman"/>
                <w:b/>
                <w:spacing w:val="0"/>
                <w:sz w:val="17"/>
              </w:rPr>
            </w:pPr>
            <w:r>
              <w:rPr>
                <w:rFonts w:ascii="Times New Roman" w:hAnsi="Times New Roman"/>
                <w:b/>
                <w:spacing w:val="0"/>
                <w:sz w:val="17"/>
              </w:rPr>
              <w:t>Title of Each Class</w:t>
            </w:r>
          </w:p>
        </w:tc>
        <w:tc>
          <w:tcPr>
            <w:tcW w:w="60" w:type="dxa"/>
            <w:tcBorders/>
            <w:shd w:fill="auto" w:val="clear"/>
            <w:vAlign w:val="center"/>
          </w:tcPr>
          <w:p>
            <w:pPr>
              <w:pStyle w:val="TableContents"/>
              <w:spacing w:before="0" w:after="0"/>
              <w:rPr>
                <w:spacing w:val="0"/>
              </w:rPr>
            </w:pPr>
            <w:r>
              <w:rPr>
                <w:spacing w:val="0"/>
              </w:rPr>
              <w:t> </w:t>
            </w:r>
          </w:p>
        </w:tc>
        <w:tc>
          <w:tcPr>
            <w:tcW w:w="1190" w:type="dxa"/>
            <w:tcBorders/>
            <w:shd w:fill="auto" w:val="clear"/>
            <w:vAlign w:val="center"/>
          </w:tcPr>
          <w:p>
            <w:pPr>
              <w:pStyle w:val="TableContents"/>
              <w:spacing w:before="0" w:after="20"/>
              <w:jc w:val="center"/>
              <w:rPr>
                <w:rFonts w:ascii="Times New Roman" w:hAnsi="Times New Roman"/>
                <w:b/>
                <w:spacing w:val="0"/>
                <w:sz w:val="17"/>
              </w:rPr>
            </w:pPr>
            <w:r>
              <w:rPr>
                <w:rFonts w:ascii="Times New Roman" w:hAnsi="Times New Roman"/>
                <w:b/>
                <w:spacing w:val="0"/>
                <w:sz w:val="17"/>
              </w:rPr>
              <w:t>Trading Symbol</w:t>
            </w:r>
          </w:p>
        </w:tc>
        <w:tc>
          <w:tcPr>
            <w:tcW w:w="60" w:type="dxa"/>
            <w:tcBorders/>
            <w:shd w:fill="auto" w:val="clear"/>
            <w:vAlign w:val="center"/>
          </w:tcPr>
          <w:p>
            <w:pPr>
              <w:pStyle w:val="TableContents"/>
              <w:spacing w:before="0" w:after="0"/>
              <w:rPr>
                <w:spacing w:val="0"/>
              </w:rPr>
            </w:pPr>
            <w:r>
              <w:rPr>
                <w:spacing w:val="0"/>
              </w:rPr>
              <w:t> </w:t>
            </w:r>
          </w:p>
        </w:tc>
        <w:tc>
          <w:tcPr>
            <w:tcW w:w="3350" w:type="dxa"/>
            <w:tcBorders/>
            <w:shd w:fill="auto" w:val="clear"/>
            <w:vAlign w:val="center"/>
          </w:tcPr>
          <w:p>
            <w:pPr>
              <w:pStyle w:val="TableContents"/>
              <w:spacing w:before="0" w:after="20"/>
              <w:jc w:val="center"/>
              <w:rPr>
                <w:rFonts w:ascii="Times New Roman" w:hAnsi="Times New Roman"/>
                <w:b/>
                <w:spacing w:val="0"/>
                <w:sz w:val="17"/>
              </w:rPr>
            </w:pPr>
            <w:r>
              <w:rPr>
                <w:rFonts w:ascii="Times New Roman" w:hAnsi="Times New Roman"/>
                <w:b/>
                <w:spacing w:val="0"/>
                <w:sz w:val="17"/>
              </w:rPr>
              <w:t>Name of Each Exchange on Which Registered</w:t>
            </w:r>
          </w:p>
        </w:tc>
      </w:tr>
      <w:tr>
        <w:trPr/>
        <w:tc>
          <w:tcPr>
            <w:tcW w:w="4085" w:type="dxa"/>
            <w:tcBorders/>
            <w:shd w:fill="auto" w:val="clear"/>
            <w:vAlign w:val="center"/>
          </w:tcPr>
          <w:p>
            <w:pPr>
              <w:pStyle w:val="TableContents"/>
              <w:spacing w:before="0" w:after="0"/>
              <w:jc w:val="center"/>
              <w:rPr>
                <w:b/>
                <w:spacing w:val="0"/>
              </w:rPr>
            </w:pPr>
            <w:r>
              <w:rPr>
                <w:b/>
                <w:spacing w:val="0"/>
              </w:rPr>
              <w:t xml:space="preserve">American depositary shares </w:t>
              <w:br/>
              <w:t>each representing three ordinary shares</w:t>
            </w:r>
          </w:p>
        </w:tc>
        <w:tc>
          <w:tcPr>
            <w:tcW w:w="60" w:type="dxa"/>
            <w:tcBorders/>
            <w:shd w:fill="auto" w:val="clear"/>
            <w:vAlign w:val="center"/>
          </w:tcPr>
          <w:p>
            <w:pPr>
              <w:pStyle w:val="TableContents"/>
              <w:spacing w:before="0" w:after="0"/>
              <w:rPr>
                <w:spacing w:val="0"/>
              </w:rPr>
            </w:pPr>
            <w:r>
              <w:rPr>
                <w:spacing w:val="0"/>
              </w:rPr>
              <w:t> </w:t>
            </w:r>
          </w:p>
        </w:tc>
        <w:tc>
          <w:tcPr>
            <w:tcW w:w="1190" w:type="dxa"/>
            <w:tcBorders/>
            <w:shd w:fill="auto" w:val="clear"/>
            <w:vAlign w:val="center"/>
          </w:tcPr>
          <w:p>
            <w:pPr>
              <w:pStyle w:val="TableContents"/>
              <w:spacing w:before="0" w:after="0"/>
              <w:jc w:val="center"/>
              <w:rPr>
                <w:b/>
                <w:spacing w:val="0"/>
              </w:rPr>
            </w:pPr>
            <w:r>
              <w:rPr>
                <w:b/>
                <w:spacing w:val="0"/>
              </w:rPr>
              <w:t>MLCO</w:t>
            </w:r>
          </w:p>
        </w:tc>
        <w:tc>
          <w:tcPr>
            <w:tcW w:w="60" w:type="dxa"/>
            <w:tcBorders/>
            <w:shd w:fill="auto" w:val="clear"/>
            <w:vAlign w:val="center"/>
          </w:tcPr>
          <w:p>
            <w:pPr>
              <w:pStyle w:val="TableContents"/>
              <w:spacing w:before="0" w:after="0"/>
              <w:rPr>
                <w:spacing w:val="0"/>
              </w:rPr>
            </w:pPr>
            <w:r>
              <w:rPr>
                <w:spacing w:val="0"/>
              </w:rPr>
              <w:t> </w:t>
            </w:r>
          </w:p>
        </w:tc>
        <w:tc>
          <w:tcPr>
            <w:tcW w:w="3350" w:type="dxa"/>
            <w:tcBorders/>
            <w:shd w:fill="auto" w:val="clear"/>
            <w:vAlign w:val="center"/>
          </w:tcPr>
          <w:p>
            <w:pPr>
              <w:pStyle w:val="TableContents"/>
              <w:spacing w:before="0" w:after="0"/>
              <w:jc w:val="center"/>
              <w:rPr>
                <w:rFonts w:ascii="Times New Roman" w:hAnsi="Times New Roman"/>
                <w:b/>
                <w:spacing w:val="0"/>
                <w:sz w:val="17"/>
              </w:rPr>
            </w:pPr>
            <w:r>
              <w:rPr>
                <w:rFonts w:ascii="Times New Roman" w:hAnsi="Times New Roman"/>
                <w:b/>
                <w:spacing w:val="0"/>
                <w:sz w:val="17"/>
              </w:rPr>
              <w:t>The Nasdaq Stock Market LLC</w:t>
            </w:r>
          </w:p>
          <w:p>
            <w:pPr>
              <w:pStyle w:val="TableContents"/>
              <w:spacing w:before="0" w:after="20"/>
              <w:jc w:val="center"/>
              <w:rPr>
                <w:rFonts w:ascii="Times New Roman" w:hAnsi="Times New Roman"/>
                <w:b/>
                <w:spacing w:val="0"/>
                <w:sz w:val="17"/>
              </w:rPr>
            </w:pPr>
            <w:r>
              <w:rPr>
                <w:rFonts w:ascii="Times New Roman" w:hAnsi="Times New Roman"/>
                <w:b/>
                <w:spacing w:val="0"/>
                <w:sz w:val="17"/>
              </w:rPr>
              <w:t>(The Nasdaq Global Select Market)</w:t>
            </w:r>
          </w:p>
        </w:tc>
      </w:tr>
    </w:tbl>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Securities registered or to be registered pursuant to Section 12(g) of the Act: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None. </w:t>
      </w:r>
    </w:p>
    <w:p>
      <w:pPr>
        <w:pStyle w:val="TextBody"/>
        <w:spacing w:before="0" w:after="0"/>
        <w:ind w:left="0" w:right="0" w:hanging="0"/>
        <w:jc w:val="center"/>
        <w:rPr>
          <w:rFonts w:ascii="Times New Roman" w:hAnsi="Times New Roman"/>
          <w:b/>
          <w:spacing w:val="0"/>
          <w:sz w:val="17"/>
        </w:rPr>
      </w:pPr>
      <w:r>
        <w:rPr>
          <w:rFonts w:ascii="Times New Roman" w:hAnsi="Times New Roman"/>
          <w:b/>
          <w:spacing w:val="0"/>
          <w:sz w:val="17"/>
        </w:rPr>
        <w:t xml:space="preserve">(Title of Class)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Securities for which there is a reporting obligation pursuant to Section 15(d) of the Act: </w:t>
      </w:r>
    </w:p>
    <w:p>
      <w:pPr>
        <w:pStyle w:val="TextBody"/>
        <w:spacing w:before="60" w:after="0"/>
        <w:ind w:left="0" w:right="0" w:hanging="0"/>
        <w:jc w:val="center"/>
        <w:rPr>
          <w:rFonts w:ascii="Times New Roman" w:hAnsi="Times New Roman"/>
          <w:b/>
          <w:spacing w:val="0"/>
          <w:sz w:val="17"/>
        </w:rPr>
      </w:pPr>
      <w:r>
        <w:rPr>
          <w:rFonts w:ascii="Times New Roman" w:hAnsi="Times New Roman"/>
          <w:b/>
          <w:spacing w:val="0"/>
          <w:sz w:val="17"/>
        </w:rPr>
        <w:t xml:space="preserve">None. </w:t>
      </w:r>
    </w:p>
    <w:p>
      <w:pPr>
        <w:pStyle w:val="TextBody"/>
        <w:spacing w:before="0" w:after="0"/>
        <w:ind w:left="0" w:right="0" w:hanging="0"/>
        <w:jc w:val="center"/>
        <w:rPr>
          <w:rFonts w:ascii="Times New Roman" w:hAnsi="Times New Roman"/>
          <w:b/>
          <w:spacing w:val="0"/>
          <w:sz w:val="17"/>
        </w:rPr>
      </w:pPr>
      <w:r>
        <w:rPr>
          <w:rFonts w:ascii="Times New Roman" w:hAnsi="Times New Roman"/>
          <w:b/>
          <w:spacing w:val="0"/>
          <w:sz w:val="17"/>
        </w:rPr>
        <w:t xml:space="preserve">(Title of Class) </w:t>
      </w:r>
    </w:p>
    <w:p>
      <w:pPr>
        <w:pStyle w:val="TextBody"/>
        <w:spacing w:before="0" w:after="0"/>
        <w:ind w:left="0" w:right="0" w:hanging="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60" w:after="0"/>
        <w:ind w:left="0" w:right="0" w:hanging="0"/>
        <w:jc w:val="both"/>
        <w:rPr>
          <w:rFonts w:ascii="Times New Roman" w:hAnsi="Times New Roman"/>
          <w:b/>
          <w:spacing w:val="0"/>
          <w:sz w:val="14"/>
        </w:rPr>
      </w:pPr>
      <w:r>
        <w:rPr>
          <w:rFonts w:ascii="Times New Roman" w:hAnsi="Times New Roman"/>
          <w:b/>
          <w:spacing w:val="0"/>
          <w:sz w:val="14"/>
        </w:rPr>
        <w:t xml:space="preserve">Indicate the number of outstanding shares of each of the issuer’s classes of capital or common stock as of the close of the period covered by the annual report. </w:t>
      </w:r>
    </w:p>
    <w:p>
      <w:pPr>
        <w:pStyle w:val="TextBody"/>
        <w:spacing w:before="60" w:after="0"/>
        <w:ind w:left="0" w:right="0" w:hanging="0"/>
        <w:jc w:val="center"/>
        <w:rPr>
          <w:rFonts w:ascii="Times New Roman" w:hAnsi="Times New Roman"/>
          <w:spacing w:val="0"/>
          <w:sz w:val="14"/>
        </w:rPr>
      </w:pPr>
      <w:r>
        <w:rPr>
          <w:rFonts w:ascii="Times New Roman" w:hAnsi="Times New Roman"/>
          <w:spacing w:val="0"/>
          <w:sz w:val="14"/>
        </w:rPr>
        <w:t xml:space="preserve">1,370,052,143 ordinary shares outstanding as of December 31, 2022 </w:t>
      </w:r>
    </w:p>
    <w:p>
      <w:pPr>
        <w:pStyle w:val="TextBody"/>
        <w:spacing w:before="60" w:after="0"/>
        <w:ind w:left="0" w:right="0" w:hanging="0"/>
        <w:jc w:val="both"/>
        <w:rPr>
          <w:rFonts w:ascii="Times New Roman" w:hAnsi="Times New Roman"/>
          <w:b/>
          <w:spacing w:val="0"/>
          <w:sz w:val="14"/>
        </w:rPr>
      </w:pPr>
      <w:r>
        <w:rPr>
          <w:rFonts w:ascii="Times New Roman" w:hAnsi="Times New Roman"/>
          <w:b/>
          <w:spacing w:val="0"/>
          <w:sz w:val="14"/>
        </w:rPr>
        <w:t>Indicate by check mark if the registrant is a well-known seasoned issuer, as defined in Rule</w:t>
      </w:r>
    </w:p>
    <w:p>
      <w:pPr>
        <w:pStyle w:val="TextBody"/>
        <w:spacing w:before="60" w:after="0"/>
        <w:jc w:val="both"/>
        <w:rPr>
          <w:spacing w:val="0"/>
        </w:rPr>
      </w:pPr>
      <w:r>
        <w:rPr>
          <w:spacing w:val="0"/>
        </w:rPr>
        <w:t> </w:t>
      </w:r>
      <w:r>
        <w:rPr>
          <w:rFonts w:ascii="Times New Roman" w:hAnsi="Times New Roman"/>
          <w:b/>
          <w:spacing w:val="0"/>
          <w:sz w:val="14"/>
        </w:rPr>
        <w:t>405 of the Securities Act.</w:t>
      </w:r>
    </w:p>
    <w:p>
      <w:pPr>
        <w:pStyle w:val="TextBody"/>
        <w:spacing w:before="60" w:after="0"/>
        <w:jc w:val="both"/>
        <w:rPr>
          <w:spacing w:val="0"/>
        </w:rPr>
      </w:pPr>
      <w:r>
        <w:rPr>
          <w:spacing w:val="0"/>
        </w:rPr>
        <w:t>    </w:t>
      </w:r>
    </w:p>
    <w:p>
      <w:pPr>
        <w:pStyle w:val="TextBody"/>
        <w:spacing w:before="60" w:after="0"/>
        <w:jc w:val="both"/>
        <w:rPr>
          <w:rFonts w:ascii="Times New Roman" w:hAnsi="Times New Roman"/>
          <w:b/>
          <w:spacing w:val="0"/>
          <w:sz w:val="14"/>
        </w:rPr>
      </w:pPr>
      <w:r>
        <w:rPr>
          <w:rFonts w:ascii="Times New Roman" w:hAnsi="Times New Roman"/>
          <w:b/>
          <w:spacing w:val="0"/>
          <w:sz w:val="14"/>
        </w:rPr>
        <w:t>Yes</w:t>
      </w:r>
    </w:p>
    <w:p>
      <w:pPr>
        <w:pStyle w:val="TextBody"/>
        <w:spacing w:before="60" w:after="0"/>
        <w:jc w:val="both"/>
        <w:rPr>
          <w:spacing w:val="0"/>
        </w:rPr>
      </w:pPr>
      <w:r>
        <w:rPr>
          <w:spacing w:val="0"/>
        </w:rPr>
        <w:t> </w:t>
      </w:r>
    </w:p>
    <w:p>
      <w:pPr>
        <w:pStyle w:val="TextBody"/>
        <w:spacing w:before="60" w:after="0"/>
        <w:jc w:val="both"/>
        <w:rPr>
          <w:spacing w:val="0"/>
        </w:rPr>
      </w:pPr>
      <w:r>
        <w:rPr>
          <w:spacing w:val="0"/>
        </w:rPr>
        <w:t>☒</w:t>
      </w:r>
    </w:p>
    <w:p>
      <w:pPr>
        <w:pStyle w:val="TextBody"/>
        <w:spacing w:before="60" w:after="0"/>
        <w:jc w:val="both"/>
        <w:rPr>
          <w:spacing w:val="0"/>
        </w:rPr>
      </w:pPr>
      <w:r>
        <w:rPr>
          <w:spacing w:val="0"/>
        </w:rPr>
        <w:t>    </w:t>
      </w:r>
    </w:p>
    <w:p>
      <w:pPr>
        <w:pStyle w:val="TextBody"/>
        <w:spacing w:before="60" w:after="0"/>
        <w:jc w:val="both"/>
        <w:rPr>
          <w:rFonts w:ascii="Times New Roman" w:hAnsi="Times New Roman"/>
          <w:b/>
          <w:spacing w:val="0"/>
          <w:sz w:val="14"/>
        </w:rPr>
      </w:pPr>
      <w:r>
        <w:rPr>
          <w:rFonts w:ascii="Times New Roman" w:hAnsi="Times New Roman"/>
          <w:b/>
          <w:spacing w:val="0"/>
          <w:sz w:val="14"/>
        </w:rPr>
        <w:t>No</w:t>
      </w:r>
    </w:p>
    <w:p>
      <w:pPr>
        <w:pStyle w:val="TextBody"/>
        <w:spacing w:before="60" w:after="0"/>
        <w:jc w:val="both"/>
        <w:rPr>
          <w:spacing w:val="0"/>
        </w:rPr>
      </w:pPr>
      <w:r>
        <w:rPr>
          <w:spacing w:val="0"/>
        </w:rPr>
        <w:t> </w:t>
      </w:r>
    </w:p>
    <w:p>
      <w:pPr>
        <w:pStyle w:val="TextBody"/>
        <w:spacing w:before="60" w:after="0"/>
        <w:jc w:val="both"/>
        <w:rPr>
          <w:spacing w:val="0"/>
        </w:rPr>
      </w:pPr>
      <w:r>
        <w:rPr>
          <w:spacing w:val="0"/>
        </w:rPr>
        <w:t xml:space="preserve">☐ </w:t>
      </w:r>
    </w:p>
    <w:p>
      <w:pPr>
        <w:pStyle w:val="TextBody"/>
        <w:spacing w:before="60" w:after="0"/>
        <w:ind w:left="0" w:right="0" w:hanging="0"/>
        <w:jc w:val="left"/>
        <w:rPr>
          <w:rFonts w:ascii="Times New Roman" w:hAnsi="Times New Roman"/>
          <w:b/>
          <w:spacing w:val="0"/>
          <w:sz w:val="14"/>
        </w:rPr>
      </w:pPr>
      <w:r>
        <w:rPr>
          <w:rFonts w:ascii="Times New Roman" w:hAnsi="Times New Roman"/>
          <w:b/>
          <w:spacing w:val="0"/>
          <w:sz w:val="14"/>
        </w:rPr>
        <w:t>If this report is an annual or transition report, indicate by check mark if the registrant is not required to file reports pursuant to Section</w:t>
      </w:r>
    </w:p>
    <w:p>
      <w:pPr>
        <w:pStyle w:val="TextBody"/>
        <w:spacing w:before="60" w:after="0"/>
        <w:jc w:val="left"/>
        <w:rPr>
          <w:spacing w:val="0"/>
        </w:rPr>
      </w:pPr>
      <w:r>
        <w:rPr>
          <w:spacing w:val="0"/>
        </w:rPr>
        <w:t> </w:t>
      </w:r>
      <w:r>
        <w:rPr>
          <w:rFonts w:ascii="Times New Roman" w:hAnsi="Times New Roman"/>
          <w:b/>
          <w:spacing w:val="0"/>
          <w:sz w:val="14"/>
        </w:rPr>
        <w:t>13 or 15(d) of the Securities Exchange Act of 1934.</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Yes</w:t>
      </w:r>
    </w:p>
    <w:p>
      <w:pPr>
        <w:pStyle w:val="TextBody"/>
        <w:spacing w:before="60" w:after="0"/>
        <w:jc w:val="left"/>
        <w:rPr>
          <w:spacing w:val="0"/>
        </w:rPr>
      </w:pPr>
      <w:r>
        <w:rPr>
          <w:spacing w:val="0"/>
        </w:rPr>
        <w:t> </w:t>
      </w:r>
    </w:p>
    <w:p>
      <w:pPr>
        <w:pStyle w:val="TextBody"/>
        <w:spacing w:before="60" w:after="0"/>
        <w:jc w:val="left"/>
        <w:rPr>
          <w:spacing w:val="0"/>
        </w:rPr>
      </w:pPr>
      <w:r>
        <w:rPr>
          <w:spacing w:val="0"/>
        </w:rPr>
        <w:t>☐</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No</w:t>
      </w:r>
    </w:p>
    <w:p>
      <w:pPr>
        <w:pStyle w:val="TextBody"/>
        <w:spacing w:before="60" w:after="0"/>
        <w:jc w:val="left"/>
        <w:rPr>
          <w:spacing w:val="0"/>
        </w:rPr>
      </w:pPr>
      <w:r>
        <w:rPr>
          <w:spacing w:val="0"/>
        </w:rPr>
        <w:t> </w:t>
      </w:r>
    </w:p>
    <w:p>
      <w:pPr>
        <w:pStyle w:val="TextBody"/>
        <w:spacing w:before="60" w:after="0"/>
        <w:jc w:val="left"/>
        <w:rPr>
          <w:spacing w:val="0"/>
        </w:rPr>
      </w:pPr>
      <w:r>
        <w:rPr>
          <w:spacing w:val="0"/>
        </w:rPr>
        <w:t>☒</w:t>
      </w:r>
    </w:p>
    <w:p>
      <w:pPr>
        <w:pStyle w:val="TextBody"/>
        <w:spacing w:before="60" w:after="0"/>
        <w:ind w:left="0" w:right="0" w:hanging="0"/>
        <w:jc w:val="left"/>
        <w:rPr>
          <w:rFonts w:ascii="Times New Roman" w:hAnsi="Times New Roman"/>
          <w:b/>
          <w:spacing w:val="0"/>
          <w:sz w:val="14"/>
        </w:rPr>
      </w:pPr>
      <w:r>
        <w:rPr>
          <w:rFonts w:ascii="Times New Roman" w:hAnsi="Times New Roman"/>
          <w:b/>
          <w:spacing w:val="0"/>
          <w:sz w:val="14"/>
        </w:rPr>
        <w:t>Indicate by check mark whether the registrant: (1)</w:t>
      </w:r>
    </w:p>
    <w:p>
      <w:pPr>
        <w:pStyle w:val="TextBody"/>
        <w:spacing w:before="60" w:after="0"/>
        <w:jc w:val="left"/>
        <w:rPr>
          <w:spacing w:val="0"/>
        </w:rPr>
      </w:pPr>
      <w:r>
        <w:rPr>
          <w:spacing w:val="0"/>
        </w:rPr>
        <w:t> </w:t>
      </w:r>
      <w:r>
        <w:rPr>
          <w:rFonts w:ascii="Times New Roman" w:hAnsi="Times New Roman"/>
          <w:b/>
          <w:spacing w:val="0"/>
          <w:sz w:val="14"/>
        </w:rPr>
        <w:t>has filed all reports required to be filed by Section</w:t>
      </w:r>
    </w:p>
    <w:p>
      <w:pPr>
        <w:pStyle w:val="TextBody"/>
        <w:spacing w:before="60" w:after="0"/>
        <w:jc w:val="left"/>
        <w:rPr>
          <w:spacing w:val="0"/>
        </w:rPr>
      </w:pPr>
      <w:r>
        <w:rPr>
          <w:spacing w:val="0"/>
        </w:rPr>
        <w:t> </w:t>
      </w:r>
      <w:r>
        <w:rPr>
          <w:rFonts w:ascii="Times New Roman" w:hAnsi="Times New Roman"/>
          <w:b/>
          <w:spacing w:val="0"/>
          <w:sz w:val="14"/>
        </w:rPr>
        <w:t>13 or 15(d) of the Securities Exchange Act of 1934 during the preceding 12 months (or for such shorter period that the registrant was required to file such reports), and (2)</w:t>
      </w:r>
    </w:p>
    <w:p>
      <w:pPr>
        <w:pStyle w:val="TextBody"/>
        <w:spacing w:before="60" w:after="0"/>
        <w:jc w:val="left"/>
        <w:rPr>
          <w:spacing w:val="0"/>
        </w:rPr>
      </w:pPr>
      <w:r>
        <w:rPr>
          <w:spacing w:val="0"/>
        </w:rPr>
        <w:t> </w:t>
      </w:r>
      <w:r>
        <w:rPr>
          <w:rFonts w:ascii="Times New Roman" w:hAnsi="Times New Roman"/>
          <w:b/>
          <w:spacing w:val="0"/>
          <w:sz w:val="14"/>
        </w:rPr>
        <w:t>has been subject to such filing requirements for the past 90 days.</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Yes</w:t>
      </w:r>
    </w:p>
    <w:p>
      <w:pPr>
        <w:pStyle w:val="TextBody"/>
        <w:spacing w:before="60" w:after="0"/>
        <w:jc w:val="left"/>
        <w:rPr>
          <w:spacing w:val="0"/>
        </w:rPr>
      </w:pPr>
      <w:r>
        <w:rPr>
          <w:spacing w:val="0"/>
        </w:rPr>
        <w:t> </w:t>
      </w:r>
    </w:p>
    <w:p>
      <w:pPr>
        <w:pStyle w:val="TextBody"/>
        <w:spacing w:before="60" w:after="0"/>
        <w:jc w:val="left"/>
        <w:rPr>
          <w:spacing w:val="0"/>
        </w:rPr>
      </w:pPr>
      <w:r>
        <w:rPr>
          <w:spacing w:val="0"/>
        </w:rPr>
        <w:t>☒</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No</w:t>
      </w:r>
    </w:p>
    <w:p>
      <w:pPr>
        <w:pStyle w:val="TextBody"/>
        <w:spacing w:before="60" w:after="0"/>
        <w:jc w:val="left"/>
        <w:rPr>
          <w:spacing w:val="0"/>
        </w:rPr>
      </w:pPr>
      <w:r>
        <w:rPr>
          <w:spacing w:val="0"/>
        </w:rPr>
        <w:t> </w:t>
      </w:r>
    </w:p>
    <w:p>
      <w:pPr>
        <w:pStyle w:val="TextBody"/>
        <w:spacing w:before="60" w:after="0"/>
        <w:jc w:val="left"/>
        <w:rPr>
          <w:spacing w:val="0"/>
        </w:rPr>
      </w:pPr>
      <w:r>
        <w:rPr>
          <w:spacing w:val="0"/>
        </w:rPr>
        <w:t>☐</w:t>
      </w:r>
    </w:p>
    <w:p>
      <w:pPr>
        <w:pStyle w:val="TextBody"/>
        <w:spacing w:before="120" w:after="0"/>
        <w:ind w:left="0" w:right="0" w:hanging="0"/>
        <w:jc w:val="left"/>
        <w:rPr>
          <w:rFonts w:ascii="Times New Roman" w:hAnsi="Times New Roman"/>
          <w:b/>
          <w:spacing w:val="0"/>
          <w:sz w:val="14"/>
        </w:rPr>
      </w:pPr>
      <w:r>
        <w:rPr>
          <w:rFonts w:ascii="Times New Roman" w:hAnsi="Times New Roman"/>
          <w:b/>
          <w:spacing w:val="0"/>
          <w:sz w:val="14"/>
        </w:rPr>
        <w:t>Indicate by check mark whether the registrant has submitted electronically every Interactive Data File required to be submitted pursuant to Rule 405 of</w:t>
      </w:r>
    </w:p>
    <w:p>
      <w:pPr>
        <w:pStyle w:val="TextBody"/>
        <w:spacing w:before="120" w:after="0"/>
        <w:jc w:val="left"/>
        <w:rPr>
          <w:spacing w:val="0"/>
        </w:rPr>
      </w:pPr>
      <w:r>
        <w:rPr>
          <w:spacing w:val="0"/>
        </w:rPr>
        <w:t> </w:t>
      </w:r>
      <w:r>
        <w:rPr>
          <w:rFonts w:ascii="Times New Roman" w:hAnsi="Times New Roman"/>
          <w:b/>
          <w:spacing w:val="0"/>
          <w:sz w:val="14"/>
        </w:rPr>
        <w:t>Regulation</w:t>
      </w:r>
    </w:p>
    <w:p>
      <w:pPr>
        <w:pStyle w:val="TextBody"/>
        <w:spacing w:before="120" w:after="0"/>
        <w:jc w:val="left"/>
        <w:rPr>
          <w:spacing w:val="0"/>
        </w:rPr>
      </w:pPr>
      <w:r>
        <w:rPr>
          <w:spacing w:val="0"/>
        </w:rPr>
        <w:t> </w:t>
      </w:r>
      <w:r>
        <w:rPr>
          <w:rFonts w:ascii="Times New Roman" w:hAnsi="Times New Roman"/>
          <w:b/>
          <w:spacing w:val="0"/>
          <w:sz w:val="14"/>
        </w:rPr>
        <w:t>S-T</w:t>
      </w:r>
    </w:p>
    <w:p>
      <w:pPr>
        <w:pStyle w:val="TextBody"/>
        <w:spacing w:before="120" w:after="0"/>
        <w:jc w:val="left"/>
        <w:rPr>
          <w:spacing w:val="0"/>
        </w:rPr>
      </w:pPr>
      <w:r>
        <w:rPr>
          <w:spacing w:val="0"/>
        </w:rPr>
        <w:t> </w:t>
      </w:r>
      <w:r>
        <w:rPr>
          <w:rFonts w:ascii="Times New Roman" w:hAnsi="Times New Roman"/>
          <w:b/>
          <w:spacing w:val="0"/>
          <w:sz w:val="14"/>
        </w:rPr>
        <w:t>(</w:t>
      </w:r>
    </w:p>
    <w:p>
      <w:pPr>
        <w:pStyle w:val="TextBody"/>
        <w:spacing w:before="120" w:after="0"/>
        <w:jc w:val="left"/>
        <w:rPr>
          <w:rFonts w:ascii="Times New Roman" w:hAnsi="Times New Roman"/>
          <w:b/>
          <w:spacing w:val="0"/>
          <w:sz w:val="14"/>
        </w:rPr>
      </w:pPr>
      <w:r>
        <w:rPr>
          <w:rFonts w:ascii="Times New Roman" w:hAnsi="Times New Roman"/>
          <w:b/>
          <w:spacing w:val="0"/>
          <w:sz w:val="14"/>
        </w:rPr>
        <w:t>§</w:t>
      </w:r>
    </w:p>
    <w:p>
      <w:pPr>
        <w:pStyle w:val="TextBody"/>
        <w:spacing w:before="120" w:after="0"/>
        <w:jc w:val="left"/>
        <w:rPr>
          <w:rFonts w:ascii="Times New Roman" w:hAnsi="Times New Roman"/>
          <w:b/>
          <w:spacing w:val="0"/>
          <w:sz w:val="14"/>
        </w:rPr>
      </w:pPr>
      <w:r>
        <w:rPr>
          <w:rFonts w:ascii="Times New Roman" w:hAnsi="Times New Roman"/>
          <w:b/>
          <w:spacing w:val="0"/>
          <w:sz w:val="14"/>
        </w:rPr>
        <w:t>232.405 of this chapter) during the preceding 12 months (or for such shorter period that the registrant was required to submit such files).</w:t>
      </w:r>
    </w:p>
    <w:p>
      <w:pPr>
        <w:pStyle w:val="TextBody"/>
        <w:spacing w:before="120" w:after="0"/>
        <w:jc w:val="left"/>
        <w:rPr>
          <w:spacing w:val="0"/>
        </w:rPr>
      </w:pPr>
      <w:r>
        <w:rPr>
          <w:spacing w:val="0"/>
        </w:rPr>
        <w:t>    </w:t>
      </w:r>
    </w:p>
    <w:p>
      <w:pPr>
        <w:pStyle w:val="TextBody"/>
        <w:spacing w:before="120" w:after="0"/>
        <w:jc w:val="left"/>
        <w:rPr>
          <w:rFonts w:ascii="Times New Roman" w:hAnsi="Times New Roman"/>
          <w:b/>
          <w:spacing w:val="0"/>
          <w:sz w:val="14"/>
        </w:rPr>
      </w:pPr>
      <w:r>
        <w:rPr>
          <w:rFonts w:ascii="Times New Roman" w:hAnsi="Times New Roman"/>
          <w:b/>
          <w:spacing w:val="0"/>
          <w:sz w:val="14"/>
        </w:rPr>
        <w:t>Yes</w:t>
      </w:r>
    </w:p>
    <w:p>
      <w:pPr>
        <w:pStyle w:val="TextBody"/>
        <w:spacing w:before="120" w:after="0"/>
        <w:jc w:val="left"/>
        <w:rPr>
          <w:spacing w:val="0"/>
        </w:rPr>
      </w:pPr>
      <w:r>
        <w:rPr>
          <w:spacing w:val="0"/>
        </w:rPr>
        <w:t> </w:t>
      </w:r>
    </w:p>
    <w:p>
      <w:pPr>
        <w:pStyle w:val="TextBody"/>
        <w:spacing w:before="120" w:after="0"/>
        <w:jc w:val="left"/>
        <w:rPr>
          <w:spacing w:val="0"/>
        </w:rPr>
      </w:pPr>
      <w:r>
        <w:rPr>
          <w:spacing w:val="0"/>
        </w:rPr>
        <w:t>☒</w:t>
      </w:r>
    </w:p>
    <w:p>
      <w:pPr>
        <w:pStyle w:val="TextBody"/>
        <w:spacing w:before="120" w:after="0"/>
        <w:jc w:val="left"/>
        <w:rPr>
          <w:spacing w:val="0"/>
        </w:rPr>
      </w:pPr>
      <w:r>
        <w:rPr>
          <w:spacing w:val="0"/>
        </w:rPr>
        <w:t>    </w:t>
      </w:r>
    </w:p>
    <w:p>
      <w:pPr>
        <w:pStyle w:val="TextBody"/>
        <w:spacing w:before="120" w:after="0"/>
        <w:jc w:val="left"/>
        <w:rPr>
          <w:rFonts w:ascii="Times New Roman" w:hAnsi="Times New Roman"/>
          <w:b/>
          <w:spacing w:val="0"/>
          <w:sz w:val="14"/>
        </w:rPr>
      </w:pPr>
      <w:r>
        <w:rPr>
          <w:rFonts w:ascii="Times New Roman" w:hAnsi="Times New Roman"/>
          <w:b/>
          <w:spacing w:val="0"/>
          <w:sz w:val="14"/>
        </w:rPr>
        <w:t>No</w:t>
      </w:r>
    </w:p>
    <w:p>
      <w:pPr>
        <w:pStyle w:val="TextBody"/>
        <w:spacing w:before="120" w:after="0"/>
        <w:jc w:val="left"/>
        <w:rPr>
          <w:spacing w:val="0"/>
        </w:rPr>
      </w:pPr>
      <w:r>
        <w:rPr>
          <w:spacing w:val="0"/>
        </w:rPr>
        <w:t> </w:t>
      </w:r>
    </w:p>
    <w:p>
      <w:pPr>
        <w:pStyle w:val="TextBody"/>
        <w:spacing w:before="120" w:after="0"/>
        <w:jc w:val="left"/>
        <w:rPr>
          <w:spacing w:val="0"/>
        </w:rPr>
      </w:pPr>
      <w:r>
        <w:rPr>
          <w:spacing w:val="0"/>
        </w:rPr>
        <w:t xml:space="preserve">☐ </w:t>
      </w:r>
    </w:p>
    <w:p>
      <w:pPr>
        <w:pStyle w:val="TextBody"/>
        <w:spacing w:before="60" w:after="0"/>
        <w:ind w:left="0" w:right="0" w:hanging="0"/>
        <w:jc w:val="left"/>
        <w:rPr>
          <w:rFonts w:ascii="Times New Roman" w:hAnsi="Times New Roman"/>
          <w:spacing w:val="0"/>
          <w:sz w:val="14"/>
        </w:rPr>
      </w:pPr>
      <w:r>
        <w:rPr>
          <w:rFonts w:ascii="Times New Roman" w:hAnsi="Times New Roman"/>
          <w:spacing w:val="0"/>
          <w:sz w:val="14"/>
        </w:rPr>
        <w:t>I</w:t>
      </w:r>
    </w:p>
    <w:p>
      <w:pPr>
        <w:pStyle w:val="TextBody"/>
        <w:spacing w:before="60" w:after="0"/>
        <w:jc w:val="left"/>
        <w:rPr>
          <w:rFonts w:ascii="Times New Roman" w:hAnsi="Times New Roman"/>
          <w:b/>
          <w:spacing w:val="0"/>
          <w:sz w:val="14"/>
        </w:rPr>
      </w:pPr>
      <w:r>
        <w:rPr>
          <w:rFonts w:ascii="Times New Roman" w:hAnsi="Times New Roman"/>
          <w:b/>
          <w:spacing w:val="0"/>
          <w:sz w:val="14"/>
        </w:rPr>
        <w:t>ndicate by check mark whether the registrant is a large accelerated filer, an accelerated filer, a</w:t>
      </w:r>
    </w:p>
    <w:p>
      <w:pPr>
        <w:pStyle w:val="TextBody"/>
        <w:spacing w:before="60" w:after="0"/>
        <w:jc w:val="left"/>
        <w:rPr>
          <w:spacing w:val="0"/>
        </w:rPr>
      </w:pPr>
      <w:r>
        <w:rPr>
          <w:spacing w:val="0"/>
        </w:rPr>
        <w:t> </w:t>
      </w:r>
      <w:r>
        <w:rPr>
          <w:rFonts w:ascii="Times New Roman" w:hAnsi="Times New Roman"/>
          <w:b/>
          <w:spacing w:val="0"/>
          <w:sz w:val="14"/>
        </w:rPr>
        <w:t>non-accelerated</w:t>
      </w:r>
    </w:p>
    <w:p>
      <w:pPr>
        <w:pStyle w:val="TextBody"/>
        <w:spacing w:before="60" w:after="0"/>
        <w:jc w:val="left"/>
        <w:rPr>
          <w:spacing w:val="0"/>
        </w:rPr>
      </w:pPr>
      <w:r>
        <w:rPr>
          <w:spacing w:val="0"/>
        </w:rPr>
        <w:t> </w:t>
      </w:r>
      <w:r>
        <w:rPr>
          <w:rFonts w:ascii="Times New Roman" w:hAnsi="Times New Roman"/>
          <w:b/>
          <w:spacing w:val="0"/>
          <w:sz w:val="14"/>
        </w:rPr>
        <w:t>filer, or an emerging growth company. See definition of “large accelerated filer,” “accelerated filer,” and “emerging growth company” in</w:t>
      </w:r>
    </w:p>
    <w:p>
      <w:pPr>
        <w:pStyle w:val="TextBody"/>
        <w:spacing w:before="60" w:after="0"/>
        <w:jc w:val="left"/>
        <w:rPr>
          <w:spacing w:val="0"/>
        </w:rPr>
      </w:pPr>
      <w:r>
        <w:rPr>
          <w:spacing w:val="0"/>
        </w:rPr>
        <w:t> </w:t>
      </w:r>
      <w:r>
        <w:rPr>
          <w:rFonts w:ascii="Times New Roman" w:hAnsi="Times New Roman"/>
          <w:b/>
          <w:spacing w:val="0"/>
          <w:sz w:val="14"/>
        </w:rPr>
        <w:t>Rule</w:t>
      </w:r>
    </w:p>
    <w:p>
      <w:pPr>
        <w:pStyle w:val="TextBody"/>
        <w:spacing w:before="60" w:after="0"/>
        <w:jc w:val="left"/>
        <w:rPr>
          <w:spacing w:val="0"/>
        </w:rPr>
      </w:pPr>
      <w:r>
        <w:rPr>
          <w:spacing w:val="0"/>
        </w:rPr>
        <w:t> </w:t>
      </w:r>
      <w:r>
        <w:rPr>
          <w:rFonts w:ascii="Times New Roman" w:hAnsi="Times New Roman"/>
          <w:b/>
          <w:spacing w:val="0"/>
          <w:sz w:val="14"/>
        </w:rPr>
        <w:t>12b-2</w:t>
      </w:r>
    </w:p>
    <w:p>
      <w:pPr>
        <w:pStyle w:val="TextBody"/>
        <w:spacing w:before="60" w:after="0"/>
        <w:jc w:val="left"/>
        <w:rPr>
          <w:spacing w:val="0"/>
        </w:rPr>
      </w:pPr>
      <w:r>
        <w:rPr>
          <w:spacing w:val="0"/>
        </w:rPr>
        <w:t> </w:t>
      </w:r>
      <w:r>
        <w:rPr>
          <w:rFonts w:ascii="Times New Roman" w:hAnsi="Times New Roman"/>
          <w:b/>
          <w:spacing w:val="0"/>
          <w:sz w:val="14"/>
        </w:rPr>
        <w:t>of the Exchange Act. (Check one):</w:t>
      </w:r>
    </w:p>
    <w:p>
      <w:pPr>
        <w:pStyle w:val="TextBody"/>
        <w:spacing w:before="0" w:after="0"/>
        <w:ind w:left="0" w:right="0" w:hanging="0"/>
        <w:jc w:val="left"/>
        <w:rPr>
          <w:spacing w:val="0"/>
        </w:rPr>
      </w:pPr>
      <w:r>
        <w:rPr>
          <w:spacing w:val="0"/>
        </w:rPr>
        <w:t> </w:t>
      </w:r>
    </w:p>
    <w:tbl>
      <w:tblPr>
        <w:tblW w:w="9380" w:type="dxa"/>
        <w:jc w:val="left"/>
        <w:tblInd w:w="0" w:type="dxa"/>
        <w:tblCellMar>
          <w:top w:w="0" w:type="dxa"/>
          <w:left w:w="0" w:type="dxa"/>
          <w:bottom w:w="0" w:type="dxa"/>
          <w:right w:w="0" w:type="dxa"/>
        </w:tblCellMar>
      </w:tblPr>
      <w:tblGrid>
        <w:gridCol w:w="2315"/>
        <w:gridCol w:w="60"/>
        <w:gridCol w:w="1745"/>
        <w:gridCol w:w="120"/>
        <w:gridCol w:w="2195"/>
        <w:gridCol w:w="60"/>
        <w:gridCol w:w="2885"/>
      </w:tblGrid>
      <w:tr>
        <w:trPr/>
        <w:tc>
          <w:tcPr>
            <w:tcW w:w="23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auto" w:val="clear"/>
            <w:vAlign w:val="center"/>
          </w:tcPr>
          <w:p>
            <w:pPr>
              <w:pStyle w:val="TableContents"/>
              <w:spacing w:before="0" w:after="0"/>
              <w:jc w:val="center"/>
              <w:rPr>
                <w:b/>
                <w:spacing w:val="0"/>
              </w:rPr>
            </w:pPr>
            <w:r>
              <w:rPr>
                <w:b/>
                <w:spacing w:val="0"/>
              </w:rPr>
              <w:t>Large accelerated filer</w:t>
            </w:r>
          </w:p>
          <w:p>
            <w:pPr>
              <w:pStyle w:val="TableContents"/>
              <w:spacing w:before="0" w:after="0"/>
              <w:jc w:val="center"/>
              <w:rPr>
                <w:spacing w:val="0"/>
              </w:rPr>
            </w:pPr>
            <w:r>
              <w:rPr>
                <w:spacing w:val="0"/>
              </w:rPr>
              <w:t> </w:t>
            </w:r>
          </w:p>
          <w:p>
            <w:pPr>
              <w:pStyle w:val="TableContents"/>
              <w:spacing w:before="0" w:after="0"/>
              <w:jc w:val="center"/>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1745" w:type="dxa"/>
            <w:tcBorders/>
            <w:shd w:fill="auto" w:val="clear"/>
            <w:vAlign w:val="center"/>
          </w:tcPr>
          <w:p>
            <w:pPr>
              <w:pStyle w:val="TableContents"/>
              <w:spacing w:before="0" w:after="0"/>
              <w:jc w:val="center"/>
              <w:rPr>
                <w:b/>
                <w:spacing w:val="0"/>
              </w:rPr>
            </w:pPr>
            <w:r>
              <w:rPr>
                <w:b/>
                <w:spacing w:val="0"/>
              </w:rPr>
              <w:t>Accelerated filer </w:t>
            </w:r>
          </w:p>
          <w:p>
            <w:pPr>
              <w:pStyle w:val="TableContents"/>
              <w:spacing w:before="0" w:after="0"/>
              <w:jc w:val="center"/>
              <w:rPr>
                <w:spacing w:val="0"/>
              </w:rPr>
            </w:pPr>
            <w:r>
              <w:rPr>
                <w:spacing w:val="0"/>
              </w:rPr>
              <w:t>☐</w:t>
            </w:r>
          </w:p>
        </w:tc>
        <w:tc>
          <w:tcPr>
            <w:tcW w:w="120" w:type="dxa"/>
            <w:tcBorders/>
            <w:shd w:fill="auto" w:val="clear"/>
            <w:vAlign w:val="center"/>
          </w:tcPr>
          <w:p>
            <w:pPr>
              <w:pStyle w:val="TableContents"/>
              <w:spacing w:before="0" w:after="0"/>
              <w:rPr>
                <w:spacing w:val="0"/>
              </w:rPr>
            </w:pPr>
            <w:r>
              <w:rPr>
                <w:spacing w:val="0"/>
              </w:rPr>
              <w:t>  </w:t>
            </w:r>
          </w:p>
        </w:tc>
        <w:tc>
          <w:tcPr>
            <w:tcW w:w="2195" w:type="dxa"/>
            <w:tcBorders/>
            <w:shd w:fill="auto" w:val="clear"/>
            <w:vAlign w:val="center"/>
          </w:tcPr>
          <w:p>
            <w:pPr>
              <w:pStyle w:val="TableContents"/>
              <w:spacing w:before="0" w:after="0"/>
              <w:jc w:val="center"/>
              <w:rPr>
                <w:b/>
                <w:spacing w:val="0"/>
              </w:rPr>
            </w:pPr>
            <w:r>
              <w:rPr>
                <w:b/>
                <w:spacing w:val="0"/>
              </w:rPr>
              <w:t>Non-accelerated filer </w:t>
            </w:r>
          </w:p>
          <w:p>
            <w:pPr>
              <w:pStyle w:val="TableContents"/>
              <w:spacing w:before="0" w:after="0"/>
              <w:jc w:val="center"/>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2885" w:type="dxa"/>
            <w:tcBorders/>
            <w:shd w:fill="auto" w:val="clear"/>
            <w:vAlign w:val="center"/>
          </w:tcPr>
          <w:p>
            <w:pPr>
              <w:pStyle w:val="TableContents"/>
              <w:spacing w:before="0" w:after="0"/>
              <w:jc w:val="center"/>
              <w:rPr>
                <w:b/>
                <w:spacing w:val="0"/>
              </w:rPr>
            </w:pPr>
            <w:r>
              <w:rPr>
                <w:b/>
                <w:spacing w:val="0"/>
              </w:rPr>
              <w:t>Emerging growth company </w:t>
            </w:r>
          </w:p>
          <w:p>
            <w:pPr>
              <w:pStyle w:val="TableContents"/>
              <w:spacing w:before="0" w:after="0"/>
              <w:jc w:val="center"/>
              <w:rPr>
                <w:spacing w:val="0"/>
              </w:rPr>
            </w:pPr>
            <w:r>
              <w:rPr>
                <w:spacing w:val="0"/>
              </w:rPr>
              <w:t>☐</w:t>
            </w:r>
          </w:p>
        </w:tc>
      </w:tr>
    </w:tbl>
    <w:p>
      <w:pPr>
        <w:pStyle w:val="TextBody"/>
        <w:spacing w:before="60" w:after="0"/>
        <w:ind w:left="0" w:right="0" w:hanging="0"/>
        <w:jc w:val="left"/>
        <w:rPr>
          <w:rFonts w:ascii="Times New Roman" w:hAnsi="Times New Roman"/>
          <w:b/>
          <w:spacing w:val="0"/>
          <w:sz w:val="14"/>
        </w:rPr>
      </w:pPr>
      <w:r>
        <w:rPr>
          <w:rFonts w:ascii="Times New Roman" w:hAnsi="Times New Roman"/>
          <w:b/>
          <w:spacing w:val="0"/>
          <w:sz w:val="14"/>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w:t>
      </w:r>
    </w:p>
    <w:p>
      <w:pPr>
        <w:pStyle w:val="TextBody"/>
        <w:spacing w:before="60" w:after="0"/>
        <w:jc w:val="left"/>
        <w:rPr>
          <w:spacing w:val="0"/>
        </w:rPr>
      </w:pPr>
      <w:r>
        <w:rPr>
          <w:spacing w:val="0"/>
        </w:rPr>
        <w:t> </w:t>
      </w:r>
      <w:r>
        <w:rPr>
          <w:rFonts w:ascii="Times New Roman" w:hAnsi="Times New Roman"/>
          <w:b/>
          <w:spacing w:val="0"/>
          <w:sz w:val="14"/>
        </w:rPr>
        <w:t>13(a) of the Exchange Act.</w:t>
      </w:r>
    </w:p>
    <w:p>
      <w:pPr>
        <w:pStyle w:val="TextBody"/>
        <w:spacing w:before="60" w:after="0"/>
        <w:jc w:val="left"/>
        <w:rPr>
          <w:spacing w:val="0"/>
        </w:rPr>
      </w:pPr>
      <w:r>
        <w:rPr>
          <w:spacing w:val="0"/>
        </w:rPr>
        <w:t> </w:t>
      </w:r>
    </w:p>
    <w:p>
      <w:pPr>
        <w:pStyle w:val="TextBody"/>
        <w:spacing w:before="60" w:after="0"/>
        <w:jc w:val="left"/>
        <w:rPr>
          <w:spacing w:val="0"/>
        </w:rPr>
      </w:pPr>
      <w:r>
        <w:rPr>
          <w:spacing w:val="0"/>
        </w:rPr>
        <w:t xml:space="preserve">☐ </w:t>
      </w:r>
    </w:p>
    <w:p>
      <w:pPr>
        <w:pStyle w:val="TextBody"/>
        <w:spacing w:before="60" w:after="0"/>
        <w:ind w:left="0" w:right="0" w:hanging="0"/>
        <w:jc w:val="left"/>
        <w:rPr>
          <w:spacing w:val="0"/>
        </w:rPr>
      </w:pPr>
      <w:r>
        <w:rPr>
          <w:spacing w:val="0"/>
        </w:rPr>
        <w:t xml:space="preserve">† </w:t>
      </w:r>
      <w:r>
        <w:rPr>
          <w:rFonts w:ascii="Times New Roman" w:hAnsi="Times New Roman"/>
          <w:b/>
          <w:spacing w:val="0"/>
          <w:sz w:val="14"/>
        </w:rPr>
        <w:t xml:space="preserve">The term “new or revised financial accounting standard” refers to any update issued by the Financial Accounting Standards Board to its Accounting Standards Codification after April 5, 2012. </w:t>
      </w:r>
    </w:p>
    <w:p>
      <w:pPr>
        <w:pStyle w:val="TextBody"/>
        <w:spacing w:before="60" w:after="0"/>
        <w:ind w:left="0" w:right="0" w:hanging="0"/>
        <w:jc w:val="left"/>
        <w:rPr>
          <w:rFonts w:ascii="Times New Roman" w:hAnsi="Times New Roman"/>
          <w:b/>
          <w:spacing w:val="0"/>
          <w:sz w:val="14"/>
        </w:rPr>
      </w:pPr>
      <w:r>
        <w:rPr>
          <w:rFonts w:ascii="Times New Roman" w:hAnsi="Times New Roman"/>
          <w:b/>
          <w:spacing w:val="0"/>
          <w:sz w:val="14"/>
        </w:rPr>
        <w:t>Indicate by check mark whether the registrant has filed a report on and attestation to its management’s assessment of the effectiveness of its internal control over financial reporting under Section</w:t>
      </w:r>
    </w:p>
    <w:p>
      <w:pPr>
        <w:pStyle w:val="TextBody"/>
        <w:spacing w:before="60" w:after="0"/>
        <w:jc w:val="left"/>
        <w:rPr>
          <w:spacing w:val="0"/>
        </w:rPr>
      </w:pPr>
      <w:r>
        <w:rPr>
          <w:spacing w:val="0"/>
        </w:rPr>
        <w:t> </w:t>
      </w:r>
      <w:r>
        <w:rPr>
          <w:rFonts w:ascii="Times New Roman" w:hAnsi="Times New Roman"/>
          <w:b/>
          <w:spacing w:val="0"/>
          <w:sz w:val="14"/>
        </w:rPr>
        <w:t>404(b) of the Sarbanes-Oxley Act (15 U.S.C. 7262(b)) by the registered public accounting firm that prepared or issued its audit report.</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Yes</w:t>
      </w:r>
    </w:p>
    <w:p>
      <w:pPr>
        <w:pStyle w:val="TextBody"/>
        <w:spacing w:before="60" w:after="0"/>
        <w:jc w:val="left"/>
        <w:rPr>
          <w:spacing w:val="0"/>
        </w:rPr>
      </w:pPr>
      <w:r>
        <w:rPr>
          <w:spacing w:val="0"/>
        </w:rPr>
        <w:t> </w:t>
      </w:r>
    </w:p>
    <w:p>
      <w:pPr>
        <w:pStyle w:val="TextBody"/>
        <w:spacing w:before="60" w:after="0"/>
        <w:jc w:val="left"/>
        <w:rPr>
          <w:spacing w:val="0"/>
        </w:rPr>
      </w:pPr>
      <w:r>
        <w:rPr>
          <w:spacing w:val="0"/>
        </w:rPr>
        <w:t>☒</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No</w:t>
      </w:r>
    </w:p>
    <w:p>
      <w:pPr>
        <w:pStyle w:val="TextBody"/>
        <w:spacing w:before="60" w:after="0"/>
        <w:jc w:val="left"/>
        <w:rPr>
          <w:spacing w:val="0"/>
        </w:rPr>
      </w:pPr>
      <w:r>
        <w:rPr>
          <w:spacing w:val="0"/>
        </w:rPr>
        <w:t> </w:t>
      </w:r>
    </w:p>
    <w:p>
      <w:pPr>
        <w:pStyle w:val="TextBody"/>
        <w:spacing w:before="60" w:after="0"/>
        <w:jc w:val="left"/>
        <w:rPr>
          <w:spacing w:val="0"/>
        </w:rPr>
      </w:pPr>
      <w:r>
        <w:rPr>
          <w:spacing w:val="0"/>
        </w:rPr>
        <w:t xml:space="preserve">☐ </w:t>
      </w:r>
    </w:p>
    <w:p>
      <w:pPr>
        <w:pStyle w:val="TextBody"/>
        <w:spacing w:before="60" w:after="0"/>
        <w:ind w:left="0" w:right="0" w:hanging="0"/>
        <w:jc w:val="both"/>
        <w:rPr>
          <w:rFonts w:ascii="Times New Roman" w:hAnsi="Times New Roman"/>
          <w:b/>
          <w:spacing w:val="0"/>
          <w:sz w:val="14"/>
        </w:rPr>
      </w:pPr>
      <w:r>
        <w:rPr>
          <w:rFonts w:ascii="Times New Roman" w:hAnsi="Times New Roman"/>
          <w:b/>
          <w:spacing w:val="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60" w:after="0"/>
        <w:jc w:val="both"/>
        <w:rPr>
          <w:spacing w:val="0"/>
        </w:rPr>
      </w:pPr>
      <w:r>
        <w:rPr>
          <w:spacing w:val="0"/>
        </w:rPr>
        <w:t xml:space="preserve">☐ </w:t>
      </w:r>
    </w:p>
    <w:p>
      <w:pPr>
        <w:pStyle w:val="TextBody"/>
        <w:spacing w:before="60" w:after="0"/>
        <w:ind w:left="0" w:right="0" w:hanging="0"/>
        <w:jc w:val="both"/>
        <w:rPr>
          <w:rFonts w:ascii="Times New Roman" w:hAnsi="Times New Roman"/>
          <w:b/>
          <w:spacing w:val="0"/>
          <w:sz w:val="14"/>
        </w:rPr>
      </w:pPr>
      <w:r>
        <w:rPr>
          <w:rFonts w:ascii="Times New Roman" w:hAnsi="Times New Roman"/>
          <w:b/>
          <w:spacing w:val="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60" w:after="0"/>
        <w:jc w:val="both"/>
        <w:rPr>
          <w:spacing w:val="0"/>
        </w:rPr>
      </w:pPr>
      <w:r>
        <w:rPr>
          <w:spacing w:val="0"/>
        </w:rPr>
        <w:t>☐</w:t>
      </w:r>
    </w:p>
    <w:p>
      <w:pPr>
        <w:pStyle w:val="TextBody"/>
        <w:spacing w:before="0" w:after="0"/>
        <w:ind w:left="0" w:right="0" w:hanging="0"/>
        <w:jc w:val="both"/>
        <w:rPr>
          <w:rFonts w:ascii="Times New Roman" w:hAnsi="Times New Roman"/>
          <w:b/>
          <w:spacing w:val="0"/>
          <w:sz w:val="14"/>
        </w:rPr>
      </w:pPr>
      <w:r>
        <w:rPr>
          <w:rFonts w:ascii="Times New Roman" w:hAnsi="Times New Roman"/>
          <w:b/>
          <w:spacing w:val="0"/>
          <w:sz w:val="14"/>
        </w:rPr>
        <w:t xml:space="preserve">Indicate by check mark which basis of accounting the registrant has used to prepare the financial statements included in this filing: </w:t>
      </w:r>
    </w:p>
    <w:p>
      <w:pPr>
        <w:pStyle w:val="TextBody"/>
        <w:spacing w:before="0" w:after="0"/>
        <w:ind w:left="0" w:right="0" w:hanging="0"/>
        <w:jc w:val="left"/>
        <w:rPr>
          <w:spacing w:val="0"/>
        </w:rPr>
      </w:pPr>
      <w:r>
        <w:rPr>
          <w:spacing w:val="0"/>
        </w:rPr>
        <w:t> </w:t>
      </w:r>
    </w:p>
    <w:tbl>
      <w:tblPr>
        <w:tblW w:w="5490" w:type="dxa"/>
        <w:jc w:val="left"/>
        <w:tblInd w:w="0" w:type="dxa"/>
        <w:tblCellMar>
          <w:top w:w="0" w:type="dxa"/>
          <w:left w:w="0" w:type="dxa"/>
          <w:bottom w:w="0" w:type="dxa"/>
          <w:right w:w="0" w:type="dxa"/>
        </w:tblCellMar>
      </w:tblPr>
      <w:tblGrid>
        <w:gridCol w:w="1280"/>
        <w:gridCol w:w="120"/>
        <w:gridCol w:w="3275"/>
        <w:gridCol w:w="120"/>
        <w:gridCol w:w="695"/>
      </w:tblGrid>
      <w:tr>
        <w:trPr/>
        <w:tc>
          <w:tcPr>
            <w:tcW w:w="1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jc w:val="center"/>
              <w:rPr>
                <w:b/>
                <w:spacing w:val="0"/>
              </w:rPr>
            </w:pPr>
            <w:r>
              <w:rPr>
                <w:b/>
                <w:spacing w:val="0"/>
              </w:rPr>
              <w:t>U.S. GAAP </w:t>
            </w:r>
          </w:p>
          <w:p>
            <w:pPr>
              <w:pStyle w:val="TableContents"/>
              <w:spacing w:before="0" w:after="0"/>
              <w:jc w:val="center"/>
              <w:rPr>
                <w:spacing w:val="0"/>
              </w:rPr>
            </w:pPr>
            <w:r>
              <w:rPr>
                <w:spacing w:val="0"/>
              </w:rPr>
              <w:t>☒</w:t>
            </w:r>
          </w:p>
        </w:tc>
        <w:tc>
          <w:tcPr>
            <w:tcW w:w="120" w:type="dxa"/>
            <w:tcBorders/>
            <w:shd w:fill="auto" w:val="clear"/>
            <w:vAlign w:val="center"/>
          </w:tcPr>
          <w:p>
            <w:pPr>
              <w:pStyle w:val="TableContents"/>
              <w:spacing w:before="0" w:after="0"/>
              <w:rPr>
                <w:spacing w:val="0"/>
              </w:rPr>
            </w:pPr>
            <w:r>
              <w:rPr>
                <w:spacing w:val="0"/>
              </w:rPr>
              <w:t>  </w:t>
            </w:r>
          </w:p>
        </w:tc>
        <w:tc>
          <w:tcPr>
            <w:tcW w:w="3275" w:type="dxa"/>
            <w:tcBorders/>
            <w:shd w:fill="auto" w:val="clear"/>
            <w:vAlign w:val="center"/>
          </w:tcPr>
          <w:p>
            <w:pPr>
              <w:pStyle w:val="TableContents"/>
              <w:spacing w:before="0" w:after="0"/>
              <w:jc w:val="center"/>
              <w:rPr>
                <w:rFonts w:ascii="Times New Roman" w:hAnsi="Times New Roman"/>
                <w:b/>
                <w:spacing w:val="0"/>
                <w:sz w:val="14"/>
              </w:rPr>
            </w:pPr>
            <w:r>
              <w:rPr>
                <w:rFonts w:ascii="Times New Roman" w:hAnsi="Times New Roman"/>
                <w:b/>
                <w:spacing w:val="0"/>
                <w:sz w:val="14"/>
              </w:rPr>
              <w:t>International Financial Reporting Standards as issued</w:t>
            </w:r>
          </w:p>
          <w:p>
            <w:pPr>
              <w:pStyle w:val="TableContents"/>
              <w:spacing w:before="0" w:after="20"/>
              <w:jc w:val="center"/>
              <w:rPr>
                <w:rFonts w:ascii="Times New Roman" w:hAnsi="Times New Roman"/>
                <w:b/>
                <w:spacing w:val="0"/>
                <w:sz w:val="14"/>
              </w:rPr>
            </w:pPr>
            <w:r>
              <w:rPr>
                <w:rFonts w:ascii="Times New Roman" w:hAnsi="Times New Roman"/>
                <w:b/>
                <w:spacing w:val="0"/>
                <w:sz w:val="14"/>
              </w:rPr>
              <w:t>by the International Accounting Standards Board </w:t>
            </w:r>
          </w:p>
          <w:p>
            <w:pPr>
              <w:pStyle w:val="TableContents"/>
              <w:spacing w:before="0" w:after="20"/>
              <w:jc w:val="center"/>
              <w:rPr>
                <w:spacing w:val="0"/>
              </w:rPr>
            </w:pPr>
            <w:r>
              <w:rPr>
                <w:spacing w:val="0"/>
              </w:rPr>
              <w:t>☐</w:t>
            </w:r>
          </w:p>
        </w:tc>
        <w:tc>
          <w:tcPr>
            <w:tcW w:w="120" w:type="dxa"/>
            <w:tcBorders/>
            <w:shd w:fill="auto" w:val="clear"/>
            <w:vAlign w:val="center"/>
          </w:tcPr>
          <w:p>
            <w:pPr>
              <w:pStyle w:val="TableContents"/>
              <w:spacing w:before="0" w:after="0"/>
              <w:rPr>
                <w:spacing w:val="0"/>
              </w:rPr>
            </w:pPr>
            <w:r>
              <w:rPr>
                <w:spacing w:val="0"/>
              </w:rPr>
              <w:t>  </w:t>
            </w:r>
          </w:p>
        </w:tc>
        <w:tc>
          <w:tcPr>
            <w:tcW w:w="695" w:type="dxa"/>
            <w:tcBorders/>
            <w:shd w:fill="auto" w:val="clear"/>
            <w:vAlign w:val="center"/>
          </w:tcPr>
          <w:p>
            <w:pPr>
              <w:pStyle w:val="TableContents"/>
              <w:spacing w:before="0" w:after="0"/>
              <w:jc w:val="center"/>
              <w:rPr>
                <w:b/>
                <w:spacing w:val="0"/>
              </w:rPr>
            </w:pPr>
            <w:r>
              <w:rPr>
                <w:b/>
                <w:spacing w:val="0"/>
              </w:rPr>
              <w:t>Other </w:t>
            </w:r>
          </w:p>
          <w:p>
            <w:pPr>
              <w:pStyle w:val="TableContents"/>
              <w:spacing w:before="0" w:after="0"/>
              <w:jc w:val="center"/>
              <w:rPr>
                <w:spacing w:val="0"/>
              </w:rPr>
            </w:pPr>
            <w:r>
              <w:rPr>
                <w:spacing w:val="0"/>
              </w:rPr>
              <w:t>☐</w:t>
            </w:r>
          </w:p>
        </w:tc>
      </w:tr>
    </w:tbl>
    <w:p>
      <w:pPr>
        <w:pStyle w:val="TextBody"/>
        <w:spacing w:before="60" w:after="0"/>
        <w:ind w:left="0" w:right="0" w:hanging="0"/>
        <w:jc w:val="left"/>
        <w:rPr>
          <w:rFonts w:ascii="Times New Roman" w:hAnsi="Times New Roman"/>
          <w:b/>
          <w:spacing w:val="0"/>
          <w:sz w:val="14"/>
        </w:rPr>
      </w:pPr>
      <w:r>
        <w:rPr>
          <w:rFonts w:ascii="Times New Roman" w:hAnsi="Times New Roman"/>
          <w:b/>
          <w:spacing w:val="0"/>
          <w:sz w:val="14"/>
        </w:rPr>
        <w:t>If “Other” has been checked in response to the previous question, indicate by check mark which financial statement item the registrant has elected to follow.</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Item</w:t>
      </w:r>
    </w:p>
    <w:p>
      <w:pPr>
        <w:pStyle w:val="TextBody"/>
        <w:spacing w:before="60" w:after="0"/>
        <w:jc w:val="left"/>
        <w:rPr>
          <w:spacing w:val="0"/>
        </w:rPr>
      </w:pPr>
      <w:r>
        <w:rPr>
          <w:spacing w:val="0"/>
        </w:rPr>
        <w:t> </w:t>
      </w:r>
      <w:r>
        <w:rPr>
          <w:rFonts w:ascii="Times New Roman" w:hAnsi="Times New Roman"/>
          <w:b/>
          <w:spacing w:val="0"/>
          <w:sz w:val="14"/>
        </w:rPr>
        <w:t>17</w:t>
      </w:r>
    </w:p>
    <w:p>
      <w:pPr>
        <w:pStyle w:val="TextBody"/>
        <w:spacing w:before="60" w:after="0"/>
        <w:jc w:val="left"/>
        <w:rPr>
          <w:spacing w:val="0"/>
        </w:rPr>
      </w:pPr>
      <w:r>
        <w:rPr>
          <w:spacing w:val="0"/>
        </w:rPr>
        <w:t> </w:t>
      </w:r>
    </w:p>
    <w:p>
      <w:pPr>
        <w:pStyle w:val="TextBody"/>
        <w:spacing w:before="60" w:after="0"/>
        <w:jc w:val="left"/>
        <w:rPr>
          <w:spacing w:val="0"/>
        </w:rPr>
      </w:pPr>
      <w:r>
        <w:rPr>
          <w:spacing w:val="0"/>
        </w:rPr>
        <w:t>☐</w:t>
      </w:r>
    </w:p>
    <w:p>
      <w:pPr>
        <w:pStyle w:val="TextBody"/>
        <w:spacing w:before="60" w:after="0"/>
        <w:jc w:val="left"/>
        <w:rPr>
          <w:spacing w:val="0"/>
        </w:rPr>
      </w:pPr>
      <w:r>
        <w:rPr>
          <w:spacing w:val="0"/>
        </w:rPr>
        <w:t>    </w:t>
      </w:r>
    </w:p>
    <w:p>
      <w:pPr>
        <w:pStyle w:val="TextBody"/>
        <w:spacing w:before="60" w:after="0"/>
        <w:jc w:val="left"/>
        <w:rPr>
          <w:rFonts w:ascii="Times New Roman" w:hAnsi="Times New Roman"/>
          <w:b/>
          <w:spacing w:val="0"/>
          <w:sz w:val="14"/>
        </w:rPr>
      </w:pPr>
      <w:r>
        <w:rPr>
          <w:rFonts w:ascii="Times New Roman" w:hAnsi="Times New Roman"/>
          <w:b/>
          <w:spacing w:val="0"/>
          <w:sz w:val="14"/>
        </w:rPr>
        <w:t>Item</w:t>
      </w:r>
    </w:p>
    <w:p>
      <w:pPr>
        <w:pStyle w:val="TextBody"/>
        <w:spacing w:before="60" w:after="0"/>
        <w:jc w:val="left"/>
        <w:rPr>
          <w:spacing w:val="0"/>
        </w:rPr>
      </w:pPr>
      <w:r>
        <w:rPr>
          <w:spacing w:val="0"/>
        </w:rPr>
        <w:t> </w:t>
      </w:r>
      <w:r>
        <w:rPr>
          <w:rFonts w:ascii="Times New Roman" w:hAnsi="Times New Roman"/>
          <w:b/>
          <w:spacing w:val="0"/>
          <w:sz w:val="14"/>
        </w:rPr>
        <w:t>18</w:t>
      </w:r>
    </w:p>
    <w:p>
      <w:pPr>
        <w:pStyle w:val="TextBody"/>
        <w:spacing w:before="60" w:after="0"/>
        <w:jc w:val="left"/>
        <w:rPr>
          <w:spacing w:val="0"/>
        </w:rPr>
      </w:pPr>
      <w:r>
        <w:rPr>
          <w:spacing w:val="0"/>
        </w:rPr>
        <w:t> </w:t>
      </w:r>
    </w:p>
    <w:p>
      <w:pPr>
        <w:pStyle w:val="TextBody"/>
        <w:spacing w:before="60" w:after="0"/>
        <w:jc w:val="left"/>
        <w:rPr>
          <w:spacing w:val="0"/>
        </w:rPr>
      </w:pPr>
      <w:r>
        <w:rPr>
          <w:spacing w:val="0"/>
        </w:rPr>
        <w:t xml:space="preserve">☐ </w:t>
      </w:r>
    </w:p>
    <w:p>
      <w:pPr>
        <w:pStyle w:val="TextBody"/>
        <w:spacing w:before="60" w:after="0"/>
        <w:ind w:left="0" w:right="0" w:hanging="0"/>
        <w:jc w:val="both"/>
        <w:rPr>
          <w:rFonts w:ascii="Times New Roman" w:hAnsi="Times New Roman"/>
          <w:b/>
          <w:spacing w:val="0"/>
          <w:sz w:val="14"/>
        </w:rPr>
      </w:pPr>
      <w:r>
        <w:rPr>
          <w:rFonts w:ascii="Times New Roman" w:hAnsi="Times New Roman"/>
          <w:b/>
          <w:spacing w:val="0"/>
          <w:sz w:val="14"/>
        </w:rPr>
        <w:t>If this is an annual report, indicate by check mark whether the registrant is a shell company (as defined</w:t>
      </w:r>
    </w:p>
    <w:p>
      <w:pPr>
        <w:pStyle w:val="TextBody"/>
        <w:spacing w:before="60" w:after="0"/>
        <w:jc w:val="both"/>
        <w:rPr>
          <w:spacing w:val="0"/>
        </w:rPr>
      </w:pPr>
      <w:r>
        <w:rPr>
          <w:spacing w:val="0"/>
        </w:rPr>
        <w:t> </w:t>
      </w:r>
      <w:r>
        <w:rPr>
          <w:rFonts w:ascii="Times New Roman" w:hAnsi="Times New Roman"/>
          <w:b/>
          <w:spacing w:val="0"/>
          <w:sz w:val="14"/>
        </w:rPr>
        <w:t>in</w:t>
      </w:r>
    </w:p>
    <w:p>
      <w:pPr>
        <w:pStyle w:val="TextBody"/>
        <w:spacing w:before="60" w:after="0"/>
        <w:jc w:val="both"/>
        <w:rPr>
          <w:spacing w:val="0"/>
        </w:rPr>
      </w:pPr>
      <w:r>
        <w:rPr>
          <w:spacing w:val="0"/>
        </w:rPr>
        <w:t> </w:t>
      </w:r>
      <w:r>
        <w:rPr>
          <w:rFonts w:ascii="Times New Roman" w:hAnsi="Times New Roman"/>
          <w:b/>
          <w:spacing w:val="0"/>
          <w:sz w:val="14"/>
        </w:rPr>
        <w:t>Rule</w:t>
      </w:r>
    </w:p>
    <w:p>
      <w:pPr>
        <w:pStyle w:val="TextBody"/>
        <w:spacing w:before="60" w:after="0"/>
        <w:jc w:val="both"/>
        <w:rPr>
          <w:spacing w:val="0"/>
        </w:rPr>
      </w:pPr>
      <w:r>
        <w:rPr>
          <w:spacing w:val="0"/>
        </w:rPr>
        <w:t> </w:t>
      </w:r>
      <w:r>
        <w:rPr>
          <w:rFonts w:ascii="Times New Roman" w:hAnsi="Times New Roman"/>
          <w:b/>
          <w:spacing w:val="0"/>
          <w:sz w:val="14"/>
        </w:rPr>
        <w:t>12b-2</w:t>
      </w:r>
    </w:p>
    <w:p>
      <w:pPr>
        <w:pStyle w:val="TextBody"/>
        <w:spacing w:before="60" w:after="0"/>
        <w:jc w:val="both"/>
        <w:rPr>
          <w:spacing w:val="0"/>
        </w:rPr>
      </w:pPr>
      <w:r>
        <w:rPr>
          <w:spacing w:val="0"/>
        </w:rPr>
        <w:t> </w:t>
      </w:r>
      <w:r>
        <w:rPr>
          <w:rFonts w:ascii="Times New Roman" w:hAnsi="Times New Roman"/>
          <w:b/>
          <w:spacing w:val="0"/>
          <w:sz w:val="14"/>
        </w:rPr>
        <w:t>of</w:t>
      </w:r>
    </w:p>
    <w:p>
      <w:pPr>
        <w:pStyle w:val="TextBody"/>
        <w:spacing w:before="60" w:after="0"/>
        <w:jc w:val="both"/>
        <w:rPr>
          <w:spacing w:val="0"/>
        </w:rPr>
      </w:pPr>
      <w:r>
        <w:rPr>
          <w:spacing w:val="0"/>
        </w:rPr>
        <w:t> </w:t>
      </w:r>
      <w:r>
        <w:rPr>
          <w:rFonts w:ascii="Times New Roman" w:hAnsi="Times New Roman"/>
          <w:b/>
          <w:spacing w:val="0"/>
          <w:sz w:val="14"/>
        </w:rPr>
        <w:t>the Exchange Act).</w:t>
      </w:r>
    </w:p>
    <w:p>
      <w:pPr>
        <w:pStyle w:val="TextBody"/>
        <w:spacing w:before="60" w:after="0"/>
        <w:jc w:val="both"/>
        <w:rPr>
          <w:spacing w:val="0"/>
        </w:rPr>
      </w:pPr>
      <w:r>
        <w:rPr>
          <w:spacing w:val="0"/>
        </w:rPr>
        <w:t>    </w:t>
      </w:r>
    </w:p>
    <w:p>
      <w:pPr>
        <w:pStyle w:val="TextBody"/>
        <w:spacing w:before="60" w:after="0"/>
        <w:jc w:val="both"/>
        <w:rPr>
          <w:rFonts w:ascii="Times New Roman" w:hAnsi="Times New Roman"/>
          <w:b/>
          <w:spacing w:val="0"/>
          <w:sz w:val="14"/>
        </w:rPr>
      </w:pPr>
      <w:r>
        <w:rPr>
          <w:rFonts w:ascii="Times New Roman" w:hAnsi="Times New Roman"/>
          <w:b/>
          <w:spacing w:val="0"/>
          <w:sz w:val="14"/>
        </w:rPr>
        <w:t>Yes</w:t>
      </w:r>
    </w:p>
    <w:p>
      <w:pPr>
        <w:pStyle w:val="TextBody"/>
        <w:spacing w:before="60" w:after="0"/>
        <w:jc w:val="both"/>
        <w:rPr>
          <w:spacing w:val="0"/>
        </w:rPr>
      </w:pPr>
      <w:r>
        <w:rPr>
          <w:spacing w:val="0"/>
        </w:rPr>
        <w:t> </w:t>
      </w:r>
    </w:p>
    <w:p>
      <w:pPr>
        <w:pStyle w:val="TextBody"/>
        <w:spacing w:before="60" w:after="0"/>
        <w:jc w:val="both"/>
        <w:rPr>
          <w:spacing w:val="0"/>
        </w:rPr>
      </w:pPr>
      <w:r>
        <w:rPr>
          <w:spacing w:val="0"/>
        </w:rPr>
        <w:t>☐</w:t>
      </w:r>
    </w:p>
    <w:p>
      <w:pPr>
        <w:pStyle w:val="TextBody"/>
        <w:spacing w:before="60" w:after="0"/>
        <w:jc w:val="both"/>
        <w:rPr>
          <w:spacing w:val="0"/>
        </w:rPr>
      </w:pPr>
      <w:r>
        <w:rPr>
          <w:spacing w:val="0"/>
        </w:rPr>
        <w:t>    </w:t>
      </w:r>
    </w:p>
    <w:p>
      <w:pPr>
        <w:pStyle w:val="TextBody"/>
        <w:spacing w:before="60" w:after="0"/>
        <w:jc w:val="both"/>
        <w:rPr>
          <w:rFonts w:ascii="Times New Roman" w:hAnsi="Times New Roman"/>
          <w:b/>
          <w:spacing w:val="0"/>
          <w:sz w:val="14"/>
        </w:rPr>
      </w:pPr>
      <w:r>
        <w:rPr>
          <w:rFonts w:ascii="Times New Roman" w:hAnsi="Times New Roman"/>
          <w:b/>
          <w:spacing w:val="0"/>
          <w:sz w:val="14"/>
        </w:rPr>
        <w:t>No</w:t>
      </w:r>
    </w:p>
    <w:p>
      <w:pPr>
        <w:pStyle w:val="TextBody"/>
        <w:spacing w:before="60" w:after="0"/>
        <w:jc w:val="both"/>
        <w:rPr>
          <w:spacing w:val="0"/>
        </w:rPr>
      </w:pPr>
      <w:r>
        <w:rPr>
          <w:spacing w:val="0"/>
        </w:rPr>
        <w:t> </w:t>
      </w:r>
    </w:p>
    <w:p>
      <w:pPr>
        <w:pStyle w:val="TextBody"/>
        <w:spacing w:before="60" w:after="0"/>
        <w:jc w:val="both"/>
        <w:rPr>
          <w:spacing w:val="0"/>
        </w:rPr>
      </w:pPr>
      <w:r>
        <w:rPr>
          <w:spacing w:val="0"/>
        </w:rPr>
        <w:t xml:space="preserve">☒ </w:t>
      </w:r>
    </w:p>
    <w:p>
      <w:pPr>
        <w:pStyle w:val="TextBody"/>
        <w:spacing w:before="60" w:after="0"/>
        <w:ind w:left="0" w:right="0" w:hanging="0"/>
        <w:jc w:val="both"/>
        <w:rPr>
          <w:rFonts w:ascii="Times New Roman" w:hAnsi="Times New Roman"/>
          <w:b/>
          <w:spacing w:val="0"/>
          <w:sz w:val="14"/>
        </w:rPr>
      </w:pPr>
      <w:r>
        <w:rPr>
          <w:rFonts w:ascii="Times New Roman" w:hAnsi="Times New Roman"/>
          <w:b/>
          <w:spacing w:val="0"/>
          <w:sz w:val="14"/>
        </w:rPr>
        <w:t xml:space="preserve">(APPLICABLE ONLY TO ISSUERS INVOLVED IN BANKRUPTCY PROCEEDINGS DURING THE PAST FIVE YEARS) </w:t>
      </w:r>
    </w:p>
    <w:p>
      <w:pPr>
        <w:pStyle w:val="TextBody"/>
        <w:spacing w:before="120" w:after="0"/>
        <w:ind w:left="0" w:right="0" w:hanging="0"/>
        <w:jc w:val="left"/>
        <w:rPr>
          <w:rFonts w:ascii="Times New Roman" w:hAnsi="Times New Roman"/>
          <w:b/>
          <w:spacing w:val="0"/>
          <w:sz w:val="14"/>
        </w:rPr>
      </w:pPr>
      <w:r>
        <w:rPr>
          <w:rFonts w:ascii="Times New Roman" w:hAnsi="Times New Roman"/>
          <w:b/>
          <w:spacing w:val="0"/>
          <w:sz w:val="14"/>
        </w:rPr>
        <w:t>Indicate by check mark whether the registrant has filed all documents and reports required to be filed by Sections</w:t>
      </w:r>
    </w:p>
    <w:p>
      <w:pPr>
        <w:pStyle w:val="TextBody"/>
        <w:spacing w:before="120" w:after="0"/>
        <w:jc w:val="left"/>
        <w:rPr>
          <w:spacing w:val="0"/>
        </w:rPr>
      </w:pPr>
      <w:r>
        <w:rPr>
          <w:spacing w:val="0"/>
        </w:rPr>
        <w:t> </w:t>
      </w:r>
      <w:r>
        <w:rPr>
          <w:rFonts w:ascii="Times New Roman" w:hAnsi="Times New Roman"/>
          <w:b/>
          <w:spacing w:val="0"/>
          <w:sz w:val="14"/>
        </w:rPr>
        <w:t>12, 13 or 15(d) of the Securities Exchange Act of 1934 subsequent to the distribution of securities under a plan confirmed by a court.</w:t>
      </w:r>
    </w:p>
    <w:p>
      <w:pPr>
        <w:pStyle w:val="TextBody"/>
        <w:spacing w:before="120" w:after="0"/>
        <w:jc w:val="left"/>
        <w:rPr>
          <w:spacing w:val="0"/>
        </w:rPr>
      </w:pPr>
      <w:r>
        <w:rPr>
          <w:spacing w:val="0"/>
        </w:rPr>
        <w:t>    </w:t>
      </w:r>
    </w:p>
    <w:p>
      <w:pPr>
        <w:pStyle w:val="TextBody"/>
        <w:spacing w:before="120" w:after="0"/>
        <w:jc w:val="left"/>
        <w:rPr>
          <w:rFonts w:ascii="Times New Roman" w:hAnsi="Times New Roman"/>
          <w:b/>
          <w:spacing w:val="0"/>
          <w:sz w:val="14"/>
        </w:rPr>
      </w:pPr>
      <w:r>
        <w:rPr>
          <w:rFonts w:ascii="Times New Roman" w:hAnsi="Times New Roman"/>
          <w:b/>
          <w:spacing w:val="0"/>
          <w:sz w:val="14"/>
        </w:rPr>
        <w:t>Yes</w:t>
      </w:r>
    </w:p>
    <w:p>
      <w:pPr>
        <w:pStyle w:val="TextBody"/>
        <w:spacing w:before="120" w:after="0"/>
        <w:jc w:val="left"/>
        <w:rPr>
          <w:spacing w:val="0"/>
        </w:rPr>
      </w:pPr>
      <w:r>
        <w:rPr>
          <w:spacing w:val="0"/>
        </w:rPr>
        <w:t> </w:t>
      </w:r>
    </w:p>
    <w:p>
      <w:pPr>
        <w:pStyle w:val="TextBody"/>
        <w:spacing w:before="120" w:after="0"/>
        <w:jc w:val="left"/>
        <w:rPr>
          <w:spacing w:val="0"/>
        </w:rPr>
      </w:pPr>
      <w:r>
        <w:rPr>
          <w:spacing w:val="0"/>
        </w:rPr>
        <w:t>☐</w:t>
      </w:r>
    </w:p>
    <w:p>
      <w:pPr>
        <w:pStyle w:val="TextBody"/>
        <w:spacing w:before="120" w:after="0"/>
        <w:jc w:val="left"/>
        <w:rPr>
          <w:spacing w:val="0"/>
        </w:rPr>
      </w:pPr>
      <w:r>
        <w:rPr>
          <w:spacing w:val="0"/>
        </w:rPr>
        <w:t>    </w:t>
      </w:r>
    </w:p>
    <w:p>
      <w:pPr>
        <w:pStyle w:val="TextBody"/>
        <w:spacing w:before="120" w:after="0"/>
        <w:jc w:val="left"/>
        <w:rPr>
          <w:rFonts w:ascii="Times New Roman" w:hAnsi="Times New Roman"/>
          <w:b/>
          <w:spacing w:val="0"/>
          <w:sz w:val="14"/>
        </w:rPr>
      </w:pPr>
      <w:r>
        <w:rPr>
          <w:rFonts w:ascii="Times New Roman" w:hAnsi="Times New Roman"/>
          <w:b/>
          <w:spacing w:val="0"/>
          <w:sz w:val="14"/>
        </w:rPr>
        <w:t>No</w:t>
      </w:r>
    </w:p>
    <w:p>
      <w:pPr>
        <w:pStyle w:val="TextBody"/>
        <w:spacing w:before="120" w:after="0"/>
        <w:jc w:val="left"/>
        <w:rPr>
          <w:spacing w:val="0"/>
        </w:rPr>
      </w:pPr>
      <w:r>
        <w:rPr>
          <w:spacing w:val="0"/>
        </w:rPr>
        <w:t> </w:t>
      </w:r>
    </w:p>
    <w:p>
      <w:pPr>
        <w:pStyle w:val="TextBody"/>
        <w:spacing w:before="120" w:after="0"/>
        <w:jc w:val="left"/>
        <w:rPr>
          <w:spacing w:val="0"/>
        </w:rPr>
      </w:pPr>
      <w:r>
        <w:rPr>
          <w:spacing w:val="0"/>
        </w:rPr>
        <w:t xml:space="preserve">☐ </w:t>
      </w:r>
    </w:p>
    <w:p>
      <w:pPr>
        <w:pStyle w:val="TextBody"/>
        <w:spacing w:before="0" w:after="0"/>
        <w:ind w:left="0" w:right="0" w:hanging="0"/>
        <w:jc w:val="left"/>
        <w:rPr>
          <w:spacing w:val="0"/>
        </w:rPr>
      </w:pPr>
      <w:r>
        <w:rPr>
          <w:spacing w:val="0"/>
        </w:rPr>
        <w:t> </w:t>
      </w:r>
    </w:p>
    <w:p>
      <w:pPr>
        <w:pStyle w:val="TextBody"/>
        <w:spacing w:lineRule="atLeast" w:line="141" w:before="0" w:after="0"/>
        <w:ind w:left="0" w:right="0" w:hanging="0"/>
        <w:jc w:val="left"/>
        <w:rPr>
          <w:spacing w:val="0"/>
        </w:rPr>
      </w:pPr>
      <w:r>
        <w:rPr>
          <w:spacing w:val="0"/>
        </w:rPr>
        <w:t> </w:t>
      </w:r>
    </w:p>
    <w:p>
      <w:pPr>
        <w:pStyle w:val="TextBody"/>
        <w:spacing w:lineRule="atLeast" w:line="141" w:before="0" w:after="40"/>
        <w:ind w:left="0" w:right="0" w:hanging="0"/>
        <w:jc w:val="left"/>
        <w:rPr>
          <w:spacing w:val="0"/>
        </w:rPr>
      </w:pPr>
      <w:r>
        <w:rPr>
          <w:spacing w:val="0"/>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10045" w:type="dxa"/>
        <w:jc w:val="left"/>
        <w:tblInd w:w="0" w:type="dxa"/>
        <w:tblCellMar>
          <w:top w:w="0" w:type="dxa"/>
          <w:left w:w="0" w:type="dxa"/>
          <w:bottom w:w="0" w:type="dxa"/>
          <w:right w:w="0" w:type="dxa"/>
        </w:tblCellMar>
      </w:tblPr>
      <w:tblGrid>
        <w:gridCol w:w="9335"/>
        <w:gridCol w:w="120"/>
        <w:gridCol w:w="70"/>
        <w:gridCol w:w="445"/>
        <w:gridCol w:w="75"/>
      </w:tblGrid>
      <w:tr>
        <w:trPr/>
        <w:tc>
          <w:tcPr>
            <w:tcW w:w="9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
              <w:r>
                <w:rPr>
                  <w:rStyle w:val="InternetLink"/>
                  <w:rFonts w:ascii="Times New Roman" w:hAnsi="Times New Roman"/>
                  <w:sz w:val="20"/>
                </w:rPr>
                <w:t>INTRODUCTION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
              <w:r>
                <w:rPr>
                  <w:rStyle w:val="InternetLink"/>
                  <w:rFonts w:ascii="Times New Roman" w:hAnsi="Times New Roman"/>
                  <w:sz w:val="20"/>
                </w:rPr>
                <w:t>GLOSSARY</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
              <w:r>
                <w:rPr>
                  <w:rStyle w:val="InternetLink"/>
                  <w:rFonts w:ascii="Times New Roman" w:hAnsi="Times New Roman"/>
                  <w:sz w:val="20"/>
                </w:rPr>
                <w:t>SPECIAL NOTE REGARDING FORWARD-LOOKING STATEMENTS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a">
              <w:r>
                <w:rPr>
                  <w:rStyle w:val="InternetLink"/>
                  <w:rFonts w:ascii="Times New Roman" w:hAnsi="Times New Roman"/>
                  <w:sz w:val="20"/>
                </w:rPr>
                <w:t xml:space="preserve">EXCHANGE RATE INFORMATION </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4">
              <w:r>
                <w:rPr>
                  <w:rStyle w:val="InternetLink"/>
                  <w:rFonts w:ascii="Times New Roman" w:hAnsi="Times New Roman"/>
                  <w:sz w:val="20"/>
                </w:rPr>
                <w:t>PART I</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5">
              <w:r>
                <w:rPr>
                  <w:rStyle w:val="InternetLink"/>
                  <w:rFonts w:ascii="Times New Roman" w:hAnsi="Times New Roman"/>
                  <w:sz w:val="20"/>
                </w:rPr>
                <w:t>ITEM 1. IDENTITY OF DIRECTORS, SENIOR MANAGEMENT AND ADVISERS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6">
              <w:r>
                <w:rPr>
                  <w:rStyle w:val="InternetLink"/>
                  <w:rFonts w:ascii="Times New Roman" w:hAnsi="Times New Roman"/>
                  <w:sz w:val="20"/>
                </w:rPr>
                <w:t>ITEM 2. OFFER STATISTICS AND EXPECTED TIMETABLE</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7">
              <w:r>
                <w:rPr>
                  <w:rStyle w:val="InternetLink"/>
                  <w:rFonts w:ascii="Times New Roman" w:hAnsi="Times New Roman"/>
                  <w:sz w:val="20"/>
                </w:rPr>
                <w:t>ITEM 3. KEY INFORMATION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8">
              <w:r>
                <w:rPr>
                  <w:rStyle w:val="InternetLink"/>
                  <w:rFonts w:ascii="Times New Roman" w:hAnsi="Times New Roman"/>
                  <w:sz w:val="20"/>
                </w:rPr>
                <w:t>A. [RESERVED]</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9">
              <w:r>
                <w:rPr>
                  <w:rStyle w:val="InternetLink"/>
                  <w:rFonts w:ascii="Times New Roman" w:hAnsi="Times New Roman"/>
                  <w:sz w:val="20"/>
                </w:rPr>
                <w:t>B. CAPITALIZATION AND INDEBTEDNESS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0">
              <w:r>
                <w:rPr>
                  <w:rStyle w:val="InternetLink"/>
                  <w:rFonts w:ascii="Times New Roman" w:hAnsi="Times New Roman"/>
                  <w:sz w:val="20"/>
                </w:rPr>
                <w:t>C. REASONS FOR THE OFFER AND USE OF PROCEEDS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1">
              <w:r>
                <w:rPr>
                  <w:rStyle w:val="InternetLink"/>
                  <w:rFonts w:ascii="Times New Roman" w:hAnsi="Times New Roman"/>
                  <w:sz w:val="20"/>
                </w:rPr>
                <w:t>D. RISK FACTORS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2">
              <w:r>
                <w:rPr>
                  <w:rStyle w:val="InternetLink"/>
                  <w:rFonts w:ascii="Times New Roman" w:hAnsi="Times New Roman"/>
                  <w:sz w:val="20"/>
                </w:rPr>
                <w:t>ITEM 4. INFORMATION ON THE COMPANY</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3">
              <w:r>
                <w:rPr>
                  <w:rStyle w:val="InternetLink"/>
                  <w:rFonts w:ascii="Times New Roman" w:hAnsi="Times New Roman"/>
                  <w:sz w:val="20"/>
                </w:rPr>
                <w:t>A. HISTORY AND DEVELOPMENT OF THE COMPANY</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4">
              <w:r>
                <w:rPr>
                  <w:rStyle w:val="InternetLink"/>
                  <w:rFonts w:ascii="Times New Roman" w:hAnsi="Times New Roman"/>
                  <w:sz w:val="20"/>
                </w:rPr>
                <w:t>B. BUSINESS OVERVIEW</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79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5">
              <w:r>
                <w:rPr>
                  <w:rStyle w:val="InternetLink"/>
                  <w:rFonts w:ascii="Times New Roman" w:hAnsi="Times New Roman"/>
                  <w:sz w:val="20"/>
                </w:rPr>
                <w:t>C. ORGANIZATIONAL STRUCTURE</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118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6">
              <w:r>
                <w:rPr>
                  <w:rStyle w:val="InternetLink"/>
                  <w:rFonts w:ascii="Times New Roman" w:hAnsi="Times New Roman"/>
                  <w:sz w:val="20"/>
                </w:rPr>
                <w:t>D. PROPERTY, PLANT AND EQUIPMENT</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7">
              <w:r>
                <w:rPr>
                  <w:rStyle w:val="InternetLink"/>
                  <w:rFonts w:ascii="Times New Roman" w:hAnsi="Times New Roman"/>
                  <w:sz w:val="20"/>
                </w:rPr>
                <w:t>ITEM 4A. UNRESOLVED STAFF COMMENTS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8">
              <w:r>
                <w:rPr>
                  <w:rStyle w:val="InternetLink"/>
                  <w:rFonts w:ascii="Times New Roman" w:hAnsi="Times New Roman"/>
                  <w:sz w:val="20"/>
                </w:rPr>
                <w:t>ITEM 5. OPERATING AND FINANCIAL REVIEW AND PROSPECTS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19">
              <w:r>
                <w:rPr>
                  <w:rStyle w:val="InternetLink"/>
                  <w:rFonts w:ascii="Times New Roman" w:hAnsi="Times New Roman"/>
                  <w:sz w:val="20"/>
                </w:rPr>
                <w:t>A. OPERATING RESULTS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120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0">
              <w:r>
                <w:rPr>
                  <w:rStyle w:val="InternetLink"/>
                  <w:rFonts w:ascii="Times New Roman" w:hAnsi="Times New Roman"/>
                  <w:sz w:val="20"/>
                </w:rPr>
                <w:t>B. LIQUIDITY AND CAPITAL RESOURCES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132</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1">
              <w:r>
                <w:rPr>
                  <w:rStyle w:val="InternetLink"/>
                  <w:rFonts w:ascii="Times New Roman" w:hAnsi="Times New Roman"/>
                  <w:sz w:val="20"/>
                </w:rPr>
                <w:t>C. RESEARCH AND DEVELOPMENT, PATENTS AND LICENSES, ETC.</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139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2">
              <w:r>
                <w:rPr>
                  <w:rStyle w:val="InternetLink"/>
                  <w:rFonts w:ascii="Times New Roman" w:hAnsi="Times New Roman"/>
                  <w:sz w:val="20"/>
                </w:rPr>
                <w:t>D. TREND INFORMATION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140</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3">
              <w:r>
                <w:rPr>
                  <w:rStyle w:val="InternetLink"/>
                  <w:rFonts w:ascii="Times New Roman" w:hAnsi="Times New Roman"/>
                  <w:sz w:val="20"/>
                </w:rPr>
                <w:t>E. CRITICAL ACCOUNTING ESTIMATES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141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4">
              <w:r>
                <w:rPr>
                  <w:rStyle w:val="InternetLink"/>
                  <w:rFonts w:ascii="Times New Roman" w:hAnsi="Times New Roman"/>
                  <w:sz w:val="20"/>
                </w:rPr>
                <w:t>ITEM 6. DIRECTORS, SENIOR MANAGEMENT AND EMPLOYEES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5">
              <w:r>
                <w:rPr>
                  <w:rStyle w:val="InternetLink"/>
                  <w:rFonts w:ascii="Times New Roman" w:hAnsi="Times New Roman"/>
                  <w:sz w:val="20"/>
                </w:rPr>
                <w:t>A. DIRECTORS AND SENIOR MANAGEMENT</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146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6">
              <w:r>
                <w:rPr>
                  <w:rStyle w:val="InternetLink"/>
                  <w:rFonts w:ascii="Times New Roman" w:hAnsi="Times New Roman"/>
                  <w:sz w:val="20"/>
                </w:rPr>
                <w:t>B. COMPENSATION OF DIRECTORS AND EXECUTIVE OFFICERS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151</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7">
              <w:r>
                <w:rPr>
                  <w:rStyle w:val="InternetLink"/>
                  <w:rFonts w:ascii="Times New Roman" w:hAnsi="Times New Roman"/>
                  <w:sz w:val="20"/>
                </w:rPr>
                <w:t>C. BOARD PRACTICES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152</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8">
              <w:r>
                <w:rPr>
                  <w:rStyle w:val="InternetLink"/>
                  <w:rFonts w:ascii="Times New Roman" w:hAnsi="Times New Roman"/>
                  <w:sz w:val="20"/>
                </w:rPr>
                <w:t>D. EMPLOYEES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158</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29">
              <w:r>
                <w:rPr>
                  <w:rStyle w:val="InternetLink"/>
                  <w:rFonts w:ascii="Times New Roman" w:hAnsi="Times New Roman"/>
                  <w:sz w:val="20"/>
                </w:rPr>
                <w:t>E. SHARE OWNERSHIP</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159</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0">
              <w:r>
                <w:rPr>
                  <w:rStyle w:val="InternetLink"/>
                  <w:rFonts w:ascii="Times New Roman" w:hAnsi="Times New Roman"/>
                  <w:sz w:val="20"/>
                </w:rPr>
                <w:t>F. DISCLOSURE OF A REGISTRANT’S ACTION TO RECOVER ERRONEOUSLY AWARDED COMPENSATION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163</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1">
              <w:r>
                <w:rPr>
                  <w:rStyle w:val="InternetLink"/>
                  <w:rFonts w:ascii="Times New Roman" w:hAnsi="Times New Roman"/>
                  <w:sz w:val="20"/>
                </w:rPr>
                <w:t>ITEM 7. MAJOR SHAREHOLDERS AND RELATED PARTY TRANSACTIONS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164</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2">
              <w:r>
                <w:rPr>
                  <w:rStyle w:val="InternetLink"/>
                  <w:rFonts w:ascii="Times New Roman" w:hAnsi="Times New Roman"/>
                  <w:sz w:val="20"/>
                </w:rPr>
                <w:t>A. MAJOR SHAREHOLDERS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164</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3">
              <w:r>
                <w:rPr>
                  <w:rStyle w:val="InternetLink"/>
                  <w:rFonts w:ascii="Times New Roman" w:hAnsi="Times New Roman"/>
                  <w:sz w:val="20"/>
                </w:rPr>
                <w:t>B. RELATED PARTY TRANSACTIONS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165</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4">
              <w:r>
                <w:rPr>
                  <w:rStyle w:val="InternetLink"/>
                  <w:rFonts w:ascii="Times New Roman" w:hAnsi="Times New Roman"/>
                  <w:sz w:val="20"/>
                </w:rPr>
                <w:t>C. INTERESTS OF EXPERTS AND COUNSEL</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5">
              <w:r>
                <w:rPr>
                  <w:rStyle w:val="InternetLink"/>
                  <w:rFonts w:ascii="Times New Roman" w:hAnsi="Times New Roman"/>
                  <w:sz w:val="20"/>
                </w:rPr>
                <w:t>ITEM 8. FINANCIAL INFORMATION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6">
              <w:r>
                <w:rPr>
                  <w:rStyle w:val="InternetLink"/>
                  <w:rFonts w:ascii="Times New Roman" w:hAnsi="Times New Roman"/>
                  <w:sz w:val="20"/>
                </w:rPr>
                <w:t>A. CONSOLIDATED STATEMENTS AND OTHER FINANCIAL INFORMATION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166</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7">
              <w:r>
                <w:rPr>
                  <w:rStyle w:val="InternetLink"/>
                  <w:rFonts w:ascii="Times New Roman" w:hAnsi="Times New Roman"/>
                  <w:sz w:val="20"/>
                </w:rPr>
                <w:t>B. SIGNIFICANT CHANGES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8">
              <w:r>
                <w:rPr>
                  <w:rStyle w:val="InternetLink"/>
                  <w:rFonts w:ascii="Times New Roman" w:hAnsi="Times New Roman"/>
                  <w:sz w:val="20"/>
                </w:rPr>
                <w:t>ITEM 9. THE OFFER AND LISTING</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39">
              <w:r>
                <w:rPr>
                  <w:rStyle w:val="InternetLink"/>
                  <w:rFonts w:ascii="Times New Roman" w:hAnsi="Times New Roman"/>
                  <w:sz w:val="20"/>
                </w:rPr>
                <w:t>A. OFFERING AND LISTING DETAILS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rom396630_40">
              <w:r>
                <w:rPr>
                  <w:rStyle w:val="InternetLink"/>
                  <w:rFonts w:ascii="Times New Roman" w:hAnsi="Times New Roman"/>
                  <w:sz w:val="20"/>
                </w:rPr>
                <w:t>B. PLAN OF DISTRIBUTION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rom396630_41">
              <w:r>
                <w:rPr>
                  <w:rStyle w:val="InternetLink"/>
                  <w:rFonts w:ascii="Times New Roman" w:hAnsi="Times New Roman"/>
                  <w:sz w:val="20"/>
                </w:rPr>
                <w:t>C. MARKETS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rom396630_42">
              <w:r>
                <w:rPr>
                  <w:rStyle w:val="InternetLink"/>
                  <w:rFonts w:ascii="Times New Roman" w:hAnsi="Times New Roman"/>
                  <w:sz w:val="20"/>
                </w:rPr>
                <w:t>D. SELLING SHAREHOLDERS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rom396630_43">
              <w:r>
                <w:rPr>
                  <w:rStyle w:val="InternetLink"/>
                  <w:rFonts w:ascii="Times New Roman" w:hAnsi="Times New Roman"/>
                  <w:sz w:val="20"/>
                </w:rPr>
                <w:t>E. DILUTION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rom396630_44">
              <w:r>
                <w:rPr>
                  <w:rStyle w:val="InternetLink"/>
                  <w:rFonts w:ascii="Times New Roman" w:hAnsi="Times New Roman"/>
                  <w:sz w:val="20"/>
                </w:rPr>
                <w:t>F. EXPENSES OF THE ISSUE</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335" w:type="dxa"/>
            <w:tcBorders/>
            <w:shd w:fill="auto" w:val="clear"/>
            <w:vAlign w:val="center"/>
          </w:tcPr>
          <w:p>
            <w:pPr>
              <w:pStyle w:val="TableContents"/>
              <w:spacing w:before="0" w:after="0"/>
              <w:rPr/>
            </w:pPr>
            <w:hyperlink w:anchor="rom396630_45">
              <w:r>
                <w:rPr>
                  <w:rStyle w:val="InternetLink"/>
                  <w:rFonts w:ascii="Times New Roman" w:hAnsi="Times New Roman"/>
                  <w:sz w:val="20"/>
                </w:rPr>
                <w:t>ITEM 10. ADDITIONAL INFORMATION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46">
              <w:r>
                <w:rPr>
                  <w:rStyle w:val="InternetLink"/>
                  <w:rFonts w:ascii="Times New Roman" w:hAnsi="Times New Roman"/>
                  <w:sz w:val="20"/>
                </w:rPr>
                <w:t>A. SHARE CAPITAL</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47">
              <w:r>
                <w:rPr>
                  <w:rStyle w:val="InternetLink"/>
                  <w:rFonts w:ascii="Times New Roman" w:hAnsi="Times New Roman"/>
                  <w:sz w:val="20"/>
                </w:rPr>
                <w:t>B. MEMORANDUM AND ARTICLES OF ASSOCIATION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167</w:t>
            </w:r>
          </w:p>
        </w:tc>
        <w:tc>
          <w:tcPr>
            <w:tcW w:w="75" w:type="dxa"/>
            <w:tcBorders/>
            <w:shd w:fill="auto" w:val="clear"/>
            <w:vAlign w:val="center"/>
          </w:tcPr>
          <w:p>
            <w:pPr>
              <w:pStyle w:val="TableContents"/>
              <w:spacing w:before="0" w:after="283"/>
              <w:rPr/>
            </w:pPr>
            <w:r>
              <w:rPr/>
              <w:t> </w:t>
            </w:r>
          </w:p>
        </w:tc>
      </w:tr>
      <w:tr>
        <w:trPr/>
        <w:tc>
          <w:tcPr>
            <w:tcW w:w="9335" w:type="dxa"/>
            <w:tcBorders/>
            <w:shd w:fill="auto" w:val="clear"/>
            <w:vAlign w:val="center"/>
          </w:tcPr>
          <w:p>
            <w:pPr>
              <w:pStyle w:val="TableContents"/>
              <w:spacing w:before="0" w:after="0"/>
              <w:rPr/>
            </w:pPr>
            <w:hyperlink w:anchor="rom396630_48">
              <w:r>
                <w:rPr>
                  <w:rStyle w:val="InternetLink"/>
                  <w:rFonts w:ascii="Times New Roman" w:hAnsi="Times New Roman"/>
                  <w:sz w:val="20"/>
                </w:rPr>
                <w:t>C. MATERIAL CONTRACTS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178</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tbl>
      <w:tblPr>
        <w:tblW w:w="9955" w:type="dxa"/>
        <w:jc w:val="left"/>
        <w:tblInd w:w="0" w:type="dxa"/>
        <w:tblCellMar>
          <w:top w:w="0" w:type="dxa"/>
          <w:left w:w="0" w:type="dxa"/>
          <w:bottom w:w="0" w:type="dxa"/>
          <w:right w:w="0" w:type="dxa"/>
        </w:tblCellMar>
      </w:tblPr>
      <w:tblGrid>
        <w:gridCol w:w="9245"/>
        <w:gridCol w:w="120"/>
        <w:gridCol w:w="70"/>
        <w:gridCol w:w="445"/>
        <w:gridCol w:w="75"/>
      </w:tblGrid>
      <w:tr>
        <w:trPr/>
        <w:tc>
          <w:tcPr>
            <w:tcW w:w="92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24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49">
              <w:r>
                <w:rPr>
                  <w:rStyle w:val="InternetLink"/>
                  <w:rFonts w:ascii="Times New Roman" w:hAnsi="Times New Roman"/>
                  <w:sz w:val="20"/>
                </w:rPr>
                <w:t>D. EXCHANGE CONTROLS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178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0">
              <w:r>
                <w:rPr>
                  <w:rStyle w:val="InternetLink"/>
                  <w:rFonts w:ascii="Times New Roman" w:hAnsi="Times New Roman"/>
                  <w:sz w:val="20"/>
                </w:rPr>
                <w:t>E. TAXATION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178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1">
              <w:r>
                <w:rPr>
                  <w:rStyle w:val="InternetLink"/>
                  <w:rFonts w:ascii="Times New Roman" w:hAnsi="Times New Roman"/>
                  <w:sz w:val="20"/>
                </w:rPr>
                <w:t>F. DIVIDENDS AND PAYING AGENTS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2">
              <w:r>
                <w:rPr>
                  <w:rStyle w:val="InternetLink"/>
                  <w:rFonts w:ascii="Times New Roman" w:hAnsi="Times New Roman"/>
                  <w:sz w:val="20"/>
                </w:rPr>
                <w:t>G. STATEMENT BY EXPERTS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3">
              <w:r>
                <w:rPr>
                  <w:rStyle w:val="InternetLink"/>
                  <w:rFonts w:ascii="Times New Roman" w:hAnsi="Times New Roman"/>
                  <w:sz w:val="20"/>
                </w:rPr>
                <w:t>H. DOCUMENTS ON DISPLAY</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4">
              <w:r>
                <w:rPr>
                  <w:rStyle w:val="InternetLink"/>
                  <w:rFonts w:ascii="Times New Roman" w:hAnsi="Times New Roman"/>
                  <w:sz w:val="20"/>
                </w:rPr>
                <w:t>I. SUBSIDIARY INFORMATION</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5">
              <w:r>
                <w:rPr>
                  <w:rStyle w:val="InternetLink"/>
                  <w:rFonts w:ascii="Times New Roman" w:hAnsi="Times New Roman"/>
                  <w:sz w:val="20"/>
                </w:rPr>
                <w:t>J. ANNUAL REPORT TO SECURITY HOLDERS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6">
              <w:r>
                <w:rPr>
                  <w:rStyle w:val="InternetLink"/>
                  <w:rFonts w:ascii="Times New Roman" w:hAnsi="Times New Roman"/>
                  <w:sz w:val="20"/>
                </w:rPr>
                <w:t>ITEM 11. 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185</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7">
              <w:r>
                <w:rPr>
                  <w:rStyle w:val="InternetLink"/>
                  <w:rFonts w:ascii="Times New Roman" w:hAnsi="Times New Roman"/>
                  <w:sz w:val="20"/>
                </w:rPr>
                <w:t>ITEM 12. DESCRIPTION OF SECURITIES OTHER THAN EQUITY SECURITIES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8">
              <w:r>
                <w:rPr>
                  <w:rStyle w:val="InternetLink"/>
                  <w:rFonts w:ascii="Times New Roman" w:hAnsi="Times New Roman"/>
                  <w:sz w:val="20"/>
                </w:rPr>
                <w:t>A. DEBT SECURITIES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59">
              <w:r>
                <w:rPr>
                  <w:rStyle w:val="InternetLink"/>
                  <w:rFonts w:ascii="Times New Roman" w:hAnsi="Times New Roman"/>
                  <w:sz w:val="20"/>
                </w:rPr>
                <w:t>B. WARRANTS AND RIGHTS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0">
              <w:r>
                <w:rPr>
                  <w:rStyle w:val="InternetLink"/>
                  <w:rFonts w:ascii="Times New Roman" w:hAnsi="Times New Roman"/>
                  <w:sz w:val="20"/>
                </w:rPr>
                <w:t>C. OTHER SECURITIES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186</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1">
              <w:r>
                <w:rPr>
                  <w:rStyle w:val="InternetLink"/>
                  <w:rFonts w:ascii="Times New Roman" w:hAnsi="Times New Roman"/>
                  <w:sz w:val="20"/>
                </w:rPr>
                <w:t>D. AMERICAN DEPOSITARY SHARES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187</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2">
              <w:r>
                <w:rPr>
                  <w:rStyle w:val="InternetLink"/>
                  <w:rFonts w:ascii="Times New Roman" w:hAnsi="Times New Roman"/>
                  <w:sz w:val="20"/>
                </w:rPr>
                <w:t>PART II</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3">
              <w:r>
                <w:rPr>
                  <w:rStyle w:val="InternetLink"/>
                  <w:rFonts w:ascii="Times New Roman" w:hAnsi="Times New Roman"/>
                  <w:sz w:val="20"/>
                </w:rPr>
                <w:t>ITEM 13. DEFAULTS, DIVIDEND ARREARAGES AND DELINQUENCIES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4">
              <w:r>
                <w:rPr>
                  <w:rStyle w:val="InternetLink"/>
                  <w:rFonts w:ascii="Times New Roman" w:hAnsi="Times New Roman"/>
                  <w:sz w:val="20"/>
                </w:rPr>
                <w:t>ITEM 14. MATERIAL MODIFICATIONS TO THE RIGHTS OF SECURITY HOLDERS AND USE OF PROCEEDS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5">
              <w:r>
                <w:rPr>
                  <w:rStyle w:val="InternetLink"/>
                  <w:rFonts w:ascii="Times New Roman" w:hAnsi="Times New Roman"/>
                  <w:sz w:val="20"/>
                </w:rPr>
                <w:t>ITEM 15. CONTROLS AND PROCEDURES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188</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6">
              <w:r>
                <w:rPr>
                  <w:rStyle w:val="InternetLink"/>
                  <w:rFonts w:ascii="Times New Roman" w:hAnsi="Times New Roman"/>
                  <w:sz w:val="20"/>
                </w:rPr>
                <w:t>ITEM 16. [RESERVED]</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189</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7">
              <w:r>
                <w:rPr>
                  <w:rStyle w:val="InternetLink"/>
                  <w:rFonts w:ascii="Times New Roman" w:hAnsi="Times New Roman"/>
                  <w:sz w:val="20"/>
                </w:rPr>
                <w:t>ITEM 16A. AUDIT COMMITTEE FINANCIAL EXPERT</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189</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8">
              <w:r>
                <w:rPr>
                  <w:rStyle w:val="InternetLink"/>
                  <w:rFonts w:ascii="Times New Roman" w:hAnsi="Times New Roman"/>
                  <w:sz w:val="20"/>
                </w:rPr>
                <w:t>ITEM 16B. CODE OF ETHICS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189</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69">
              <w:r>
                <w:rPr>
                  <w:rStyle w:val="InternetLink"/>
                  <w:rFonts w:ascii="Times New Roman" w:hAnsi="Times New Roman"/>
                  <w:sz w:val="20"/>
                </w:rPr>
                <w:t>ITEM 16C. PRINCIPAL ACCOUNTANT FEES AND SERVICES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190</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0">
              <w:r>
                <w:rPr>
                  <w:rStyle w:val="InternetLink"/>
                  <w:rFonts w:ascii="Times New Roman" w:hAnsi="Times New Roman"/>
                  <w:sz w:val="20"/>
                </w:rPr>
                <w:t>ITEM 16D. EXEMPTIONS FROM THE LISTING STANDARDS FOR AUDIT COMMITTEES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190</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1">
              <w:r>
                <w:rPr>
                  <w:rStyle w:val="InternetLink"/>
                  <w:rFonts w:ascii="Times New Roman" w:hAnsi="Times New Roman"/>
                  <w:sz w:val="20"/>
                </w:rPr>
                <w:t>ITEM 16E. PURCHASES OF EQUITY SECURITIES BY THE ISSUER AND AFFILIATED PURCHASERS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191</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2">
              <w:r>
                <w:rPr>
                  <w:rStyle w:val="InternetLink"/>
                  <w:rFonts w:ascii="Times New Roman" w:hAnsi="Times New Roman"/>
                  <w:sz w:val="20"/>
                </w:rPr>
                <w:t>ITEM 16F. CHANGE IN REGISTRANT’S CERTIFYING ACCOUNTANT</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191</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3">
              <w:r>
                <w:rPr>
                  <w:rStyle w:val="InternetLink"/>
                  <w:rFonts w:ascii="Times New Roman" w:hAnsi="Times New Roman"/>
                  <w:sz w:val="20"/>
                </w:rPr>
                <w:t>ITEM 16G. CORPORATE GOVERNANCE</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191</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4">
              <w:r>
                <w:rPr>
                  <w:rStyle w:val="InternetLink"/>
                  <w:rFonts w:ascii="Times New Roman" w:hAnsi="Times New Roman"/>
                  <w:sz w:val="20"/>
                </w:rPr>
                <w:t>ITEM 16H. MINE SAFETY DISCLOSURE</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192</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5">
              <w:r>
                <w:rPr>
                  <w:rStyle w:val="InternetLink"/>
                  <w:rFonts w:ascii="Times New Roman" w:hAnsi="Times New Roman"/>
                  <w:sz w:val="20"/>
                </w:rPr>
                <w:t>ITEM 16I. DISCLOSURE REGARDING FOREIGN JURISDICTIONS THAT PREVENT INSPECTIONS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192</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6">
              <w:r>
                <w:rPr>
                  <w:rStyle w:val="InternetLink"/>
                  <w:rFonts w:ascii="Times New Roman" w:hAnsi="Times New Roman"/>
                  <w:sz w:val="20"/>
                </w:rPr>
                <w:t>PART III</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7">
              <w:r>
                <w:rPr>
                  <w:rStyle w:val="InternetLink"/>
                  <w:rFonts w:ascii="Times New Roman" w:hAnsi="Times New Roman"/>
                  <w:sz w:val="20"/>
                </w:rPr>
                <w:t>ITEM 17. FINANCIAL STATEMENTS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8">
              <w:r>
                <w:rPr>
                  <w:rStyle w:val="InternetLink"/>
                  <w:rFonts w:ascii="Times New Roman" w:hAnsi="Times New Roman"/>
                  <w:sz w:val="20"/>
                </w:rPr>
                <w:t>ITEM 18. FINANCIAL STATEMENTS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193</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79">
              <w:r>
                <w:rPr>
                  <w:rStyle w:val="InternetLink"/>
                  <w:rFonts w:ascii="Times New Roman" w:hAnsi="Times New Roman"/>
                  <w:sz w:val="20"/>
                </w:rPr>
                <w:t>ITEM 19. EXHIBITS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194</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80">
              <w:r>
                <w:rPr>
                  <w:rStyle w:val="InternetLink"/>
                  <w:rFonts w:ascii="Times New Roman" w:hAnsi="Times New Roman"/>
                  <w:sz w:val="20"/>
                </w:rPr>
                <w:t>SIGNATURES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200</w:t>
            </w:r>
          </w:p>
        </w:tc>
        <w:tc>
          <w:tcPr>
            <w:tcW w:w="75" w:type="dxa"/>
            <w:tcBorders/>
            <w:shd w:fill="auto" w:val="clear"/>
            <w:vAlign w:val="center"/>
          </w:tcPr>
          <w:p>
            <w:pPr>
              <w:pStyle w:val="TableContents"/>
              <w:spacing w:before="0" w:after="283"/>
              <w:rPr/>
            </w:pPr>
            <w:r>
              <w:rPr/>
              <w:t> </w:t>
            </w:r>
          </w:p>
        </w:tc>
      </w:tr>
      <w:tr>
        <w:trPr/>
        <w:tc>
          <w:tcPr>
            <w:tcW w:w="9245" w:type="dxa"/>
            <w:tcBorders/>
            <w:shd w:fill="auto" w:val="clear"/>
            <w:vAlign w:val="center"/>
          </w:tcPr>
          <w:p>
            <w:pPr>
              <w:pStyle w:val="TableContents"/>
              <w:spacing w:before="0" w:after="0"/>
              <w:rPr/>
            </w:pPr>
            <w:hyperlink w:anchor="rom396630_81">
              <w:r>
                <w:rPr>
                  <w:rStyle w:val="InternetLink"/>
                  <w:rFonts w:ascii="Times New Roman" w:hAnsi="Times New Roman"/>
                  <w:sz w:val="20"/>
                </w:rPr>
                <w:t>INDEX TO CONSOLIDATED FINANCIAL STATEMENTS</w:t>
              </w:r>
            </w:hyperlink>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445" w:type="dxa"/>
            <w:tcBorders/>
            <w:shd w:fill="auto" w:val="clear"/>
            <w:vAlign w:val="center"/>
          </w:tcPr>
          <w:p>
            <w:pPr>
              <w:pStyle w:val="TableContents"/>
              <w:spacing w:before="0" w:after="283"/>
              <w:jc w:val="right"/>
              <w:rPr/>
            </w:pPr>
            <w:r>
              <w:rPr/>
              <w:t>F-1</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rom396630_1"/>
      <w:bookmarkEnd w:id="3"/>
      <w:r>
        <w:rPr>
          <w:rFonts w:ascii="Times New Roman" w:hAnsi="Times New Roman"/>
          <w:b/>
          <w:sz w:val="20"/>
        </w:rPr>
        <w:t xml:space="preserve">INTRODUCTION </w:t>
      </w:r>
    </w:p>
    <w:p>
      <w:pPr>
        <w:pStyle w:val="TextBody"/>
        <w:spacing w:before="240" w:after="0"/>
        <w:jc w:val="left"/>
        <w:rPr>
          <w:rFonts w:ascii="Times New Roman" w:hAnsi="Times New Roman"/>
          <w:sz w:val="20"/>
        </w:rPr>
      </w:pPr>
      <w:r>
        <w:rPr>
          <w:rFonts w:ascii="Times New Roman" w:hAnsi="Times New Roman"/>
          <w:sz w:val="20"/>
        </w:rPr>
        <w:t xml:space="preserve">In this annual report on Form 20-F, unless otherwise indicated: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2015 Credit Facilities” refers to the HK$13.65 billion (equivalent to US$1.75 billion) senior secured credit facilities agreement dated June 19, 2015, entered into by Melco Resorts Macau, as borrower, comprising (i) a Hong Kong dollar term loan facility of HK$3.90 billion (equivalent to US$499 million) with a term of six years and (ii) a HK$9.75 billion (equivalent to approximately US$1.25 billion) revolving credit facility, and following the repayment of all outstanding loan amounts, together with accrued interest and associated costs on May 7, 2020, other than the HK$1.0 million (equivalent to approximately US$128,000) which remains outstanding under the term loan facility, with a maturity date extended to June 24, 2024, and the HK$1.0 million (equivalent to approximately US$128,000) revolving credit facility commitment which remains available under the revolving credit facility, all other commitments under the 2015 Credit Facilities were cancelled;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2020 Credit Facilities” refers to the senior facilities agreement dated April 29, 2020, entered into between, among others, MCO Nominee One, our subsidiary and as borrower, and Bank of China Limited, Macau Branch, Bank of Communications Co., Ltd. Macau Branch and Morgan Stanley Senior Funding, Inc., as joint global coordinators, under which lenders have made available HK$14.85 billion (equivalent to US$1.90 billion) in a revolving credit facility for a term of five years;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2021 Studio City Company Notes” refers to the US$850.0 million aggregate principal amount of 7.250% senior secured notes due 2021 issued by Studio City Company on November 30, 2016 and as to which no amount remains outstanding following the redemption of all remaining outstanding amounts in August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2021 Studio City Senior Secured Credit Facility” refers to the facility agreement dated November 23, 2016 with, among others, Bank of China Limited, Macau Branch, to amend, restate and extend the Studio City Project Facility to provide for senior secured credit facilities in an aggregate amount of HK$234.0 million (equivalent to approximately US$30.0 million), which consist of a HK$233.0 million (equivalent to approximately US$29.8 million) revolving credit facility and a HK$1.0 million (equivalent to approximately US$128,000) term loan facility, and which has been amended, restated and extended by the 2028 Studio City Senior Secured Credit Facility;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2024 Studio City Notes” refers to the US$600.0 million aggregate principal amount of 7.25% senior notes due 2024 issued by Studio City Finance on February 11, 2019 and as to which no amount remains outstanding following the redemption of all remaining outstanding amounts in February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2024 Studio City Notes Tender Offer” refers to the conditional tender offer by Studio City Finance to purchase for cash any and all of the outstanding 2024 Studio City Notes, which commenced and settled in January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2025 Senior Notes” refers to the US$1.0 billion aggregate principal amount of 4.875% senior notes due 2025 issued by Melco Resorts Finance, of which US$650.0 million in aggregate principal amount was issued on June 6, 2017 and US$350.0 million in aggregate principal amount was issued on July 3, 2017;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2025 Studio City Notes” refers to the US$500 million aggregate principal amount of 6.00% senior notes due 2025 issued by Studio City Finance on July 15,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2026 Senior Notes” refers to the US$500.0 million aggregate principal amount of 5.250% senior notes due 2026 issued by Melco Resorts Finance on April 26, 2019;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2027 Senior Notes” refers to the US$600.0 million aggregate principal amount of 5.625% senior notes due 2027 issued by Melco Resorts Finance on July 17, 2019;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2027 Studio City Notes” refers to the US$350.0 million aggregate principal amount of 7.00% senior notes due 2027 issued by Studio City Company on February 16,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2028 Senior Notes” refers to the US$850 million aggregate principal amount of 5.750% senior notes due 2028 issued by Melco Resorts Finance, of which US$500.0 million in aggregate principal amount was issued on July 21, 2020 (the “First 2028 Senior Notes”) and US$350.0 million in aggregate principal amount was issued on August 11, 2020 (the “Additional 2028 Senior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2028 Studio City Notes” refers to the US$500 million aggregate principal amount of 6.50% senior notes due 2028 issued by Studio City Finance on July 15,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2028 Studio City Senior Secured Credit Facility” refers to the facility agreement dated March 15, 2021 with, among others, Bank of China Limited, Macau Branch, to amend, restate and extend the 2021 Studio City Senior Secured Credit Facility to provide for senior secured credit facilities in an aggregate amount of HK$234.0 million, equivalent to approximately US$30.0 million which consist of a HK$233.0 million (approximately US$29.8 million) revolving credit facility and a HK$1.0 million (approximately US$128,000) term loan facility;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2029 Senior Notes” refers to the US$1.15 billion aggregate principal amount of 5.375% senior notes due 2029 issued by Melco Resorts Finance, of which US$900.0 million in aggregate principal amount was issued on December 4, 2019 (“First 2029 Senior Notes”) and US$250.0 million in aggregate principal amount was issued on January 21, 2021 (“Additional 2029 Senior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2029 Studio City Notes” refers to the US$1.1 billion aggregate principal amount of 5.00% senior notes due 2029 issued by Studio City Finance, of which US$750.0 million in aggregate principal amount was issued on January 14, 2021 (“First 2029 Studio City Notes”) and US$350.0 million in aggregate principal amount was issued on May 20, 2021 (“Additional 2029 Studio City Notes”); </w:t>
            </w:r>
          </w:p>
        </w:tc>
      </w:tr>
    </w:tbl>
    <w:p>
      <w:pPr>
        <w:pStyle w:val="TextBody"/>
        <w:spacing w:before="0" w:after="0"/>
        <w:jc w:val="left"/>
        <w:rPr/>
      </w:pPr>
      <w:r>
        <w:rPr/>
        <w:t> </w:t>
      </w:r>
    </w:p>
    <w:tbl>
      <w:tblPr>
        <w:tblW w:w="8095" w:type="dxa"/>
        <w:jc w:val="left"/>
        <w:tblInd w:w="0" w:type="dxa"/>
        <w:tblCellMar>
          <w:top w:w="0" w:type="dxa"/>
          <w:left w:w="0" w:type="dxa"/>
          <w:bottom w:w="0" w:type="dxa"/>
          <w:right w:w="0" w:type="dxa"/>
        </w:tblCellMar>
      </w:tblPr>
      <w:tblGrid>
        <w:gridCol w:w="75"/>
        <w:gridCol w:w="110"/>
        <w:gridCol w:w="60"/>
        <w:gridCol w:w="7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50" w:type="dxa"/>
            <w:tcBorders/>
            <w:shd w:fill="auto" w:val="clear"/>
            <w:vAlign w:val="center"/>
          </w:tcPr>
          <w:p>
            <w:pPr>
              <w:pStyle w:val="TableContents"/>
              <w:spacing w:before="0" w:after="0"/>
              <w:jc w:val="left"/>
              <w:rPr/>
            </w:pPr>
            <w:r>
              <w:rPr/>
              <w:t>“</w:t>
            </w:r>
            <w:r>
              <w:rPr>
                <w:rFonts w:ascii="Times New Roman" w:hAnsi="Times New Roman"/>
                <w:sz w:val="20"/>
              </w:rPr>
              <w:t xml:space="preserve">ADSs” refers to our American depositary shares, each of which represents three ordinary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Altira Hotel” refers to our former subsidiary, Altira Hotel Limited, a Macau company through which we operated hotel and certain other non-gaming businesses at Altira Macau and which has been merged with Altira Resorts; </w:t>
            </w:r>
          </w:p>
        </w:tc>
      </w:tr>
    </w:tbl>
    <w:p>
      <w:pPr>
        <w:pStyle w:val="TextBody"/>
        <w:spacing w:before="0" w:after="0"/>
        <w:jc w:val="left"/>
        <w:rPr/>
      </w:pPr>
      <w:r>
        <w:rPr/>
        <w:t> </w:t>
      </w:r>
    </w:p>
    <w:tbl>
      <w:tblPr>
        <w:tblW w:w="5950" w:type="dxa"/>
        <w:jc w:val="left"/>
        <w:tblInd w:w="0" w:type="dxa"/>
        <w:tblCellMar>
          <w:top w:w="0" w:type="dxa"/>
          <w:left w:w="0" w:type="dxa"/>
          <w:bottom w:w="0" w:type="dxa"/>
          <w:right w:w="0" w:type="dxa"/>
        </w:tblCellMar>
      </w:tblPr>
      <w:tblGrid>
        <w:gridCol w:w="75"/>
        <w:gridCol w:w="110"/>
        <w:gridCol w:w="60"/>
        <w:gridCol w:w="5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05" w:type="dxa"/>
            <w:tcBorders/>
            <w:shd w:fill="auto" w:val="clear"/>
            <w:vAlign w:val="center"/>
          </w:tcPr>
          <w:p>
            <w:pPr>
              <w:pStyle w:val="TableContents"/>
              <w:spacing w:before="0" w:after="0"/>
              <w:jc w:val="left"/>
              <w:rPr/>
            </w:pPr>
            <w:r>
              <w:rPr/>
              <w:t>“</w:t>
            </w:r>
            <w:r>
              <w:rPr>
                <w:rFonts w:ascii="Times New Roman" w:hAnsi="Times New Roman"/>
                <w:sz w:val="20"/>
              </w:rPr>
              <w:t xml:space="preserve">Altira Macau” refers to an integrated resort located in Taipa,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Altira Resorts” refers to our subsidiary, Altira Resorts Limited (formerly known as Altira Developments Limited), a Macau company through which we hold the land and building for Altira Macau and operate hotel and certain other non-gaming businesses at Altira Macau; </w:t>
            </w:r>
          </w:p>
        </w:tc>
      </w:tr>
    </w:tbl>
    <w:p>
      <w:pPr>
        <w:pStyle w:val="TextBody"/>
        <w:spacing w:before="0" w:after="0"/>
        <w:jc w:val="left"/>
        <w:rPr/>
      </w:pPr>
      <w:r>
        <w:rPr/>
        <w:t> </w:t>
      </w:r>
    </w:p>
    <w:tbl>
      <w:tblPr>
        <w:tblW w:w="6220" w:type="dxa"/>
        <w:jc w:val="left"/>
        <w:tblInd w:w="0" w:type="dxa"/>
        <w:tblCellMar>
          <w:top w:w="0" w:type="dxa"/>
          <w:left w:w="0" w:type="dxa"/>
          <w:bottom w:w="0" w:type="dxa"/>
          <w:right w:w="0" w:type="dxa"/>
        </w:tblCellMar>
      </w:tblPr>
      <w:tblGrid>
        <w:gridCol w:w="75"/>
        <w:gridCol w:w="110"/>
        <w:gridCol w:w="60"/>
        <w:gridCol w:w="5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75" w:type="dxa"/>
            <w:tcBorders/>
            <w:shd w:fill="auto" w:val="clear"/>
            <w:vAlign w:val="center"/>
          </w:tcPr>
          <w:p>
            <w:pPr>
              <w:pStyle w:val="TableContents"/>
              <w:spacing w:before="0" w:after="0"/>
              <w:jc w:val="left"/>
              <w:rPr/>
            </w:pPr>
            <w:r>
              <w:rPr/>
              <w:t>“</w:t>
            </w:r>
            <w:r>
              <w:rPr>
                <w:rFonts w:ascii="Times New Roman" w:hAnsi="Times New Roman"/>
                <w:sz w:val="20"/>
              </w:rPr>
              <w:t xml:space="preserve">AUD” and “Australian dollar(s)” refer to the legal currency of Australia; </w:t>
            </w:r>
          </w:p>
        </w:tc>
      </w:tr>
    </w:tbl>
    <w:p>
      <w:pPr>
        <w:pStyle w:val="TextBody"/>
        <w:spacing w:before="0" w:after="0"/>
        <w:jc w:val="left"/>
        <w:rPr/>
      </w:pPr>
      <w:r>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pPr>
            <w:r>
              <w:rPr/>
              <w:t>“</w:t>
            </w:r>
            <w:r>
              <w:rPr>
                <w:rFonts w:ascii="Times New Roman" w:hAnsi="Times New Roman"/>
                <w:sz w:val="20"/>
              </w:rPr>
              <w:t xml:space="preserve">board” and “board of directors” refer to the board of directors of our Company or a duly constituted committee thereof; </w:t>
            </w:r>
          </w:p>
        </w:tc>
      </w:tr>
    </w:tbl>
    <w:p>
      <w:pPr>
        <w:pStyle w:val="TextBody"/>
        <w:spacing w:before="0" w:after="0"/>
        <w:jc w:val="left"/>
        <w:rPr/>
      </w:pPr>
      <w:r>
        <w:rPr/>
        <w:t> </w:t>
      </w:r>
    </w:p>
    <w:tbl>
      <w:tblPr>
        <w:tblW w:w="10120" w:type="dxa"/>
        <w:jc w:val="left"/>
        <w:tblInd w:w="0" w:type="dxa"/>
        <w:tblCellMar>
          <w:top w:w="0" w:type="dxa"/>
          <w:left w:w="0" w:type="dxa"/>
          <w:bottom w:w="0" w:type="dxa"/>
          <w:right w:w="0" w:type="dxa"/>
        </w:tblCellMar>
      </w:tblPr>
      <w:tblGrid>
        <w:gridCol w:w="75"/>
        <w:gridCol w:w="110"/>
        <w:gridCol w:w="60"/>
        <w:gridCol w:w="98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75" w:type="dxa"/>
            <w:tcBorders/>
            <w:shd w:fill="auto" w:val="clear"/>
            <w:vAlign w:val="center"/>
          </w:tcPr>
          <w:p>
            <w:pPr>
              <w:pStyle w:val="TableContents"/>
              <w:spacing w:before="0" w:after="0"/>
              <w:jc w:val="left"/>
              <w:rPr/>
            </w:pPr>
            <w:r>
              <w:rPr/>
              <w:t>“</w:t>
            </w:r>
            <w:r>
              <w:rPr>
                <w:rFonts w:ascii="Times New Roman" w:hAnsi="Times New Roman"/>
                <w:sz w:val="20"/>
              </w:rPr>
              <w:t xml:space="preserve">CGC” means the Cyprus Gaming and Casino Supervision Commission, also known as the Cyprus Gaming Commission;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China” and “PRC” refer to the People’s Republic of China, excluding the Hong Kong Special Administrative Region of the PRC (Hong Kong), the Macau Special Administrative Region of the PRC (Macau) and Taiwan from a geographical point of view;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City of Dreams” refers to an integrated resort located in Cotai, Macau, which currently features casino areas and four luxury hotels, including a collection of retail brands, a wet stage performance theater (temporarily closed since June 2020) and other entertainment venues; </w:t>
            </w:r>
          </w:p>
        </w:tc>
      </w:tr>
    </w:tbl>
    <w:p>
      <w:pPr>
        <w:pStyle w:val="TextBody"/>
        <w:spacing w:before="0" w:after="0"/>
        <w:jc w:val="left"/>
        <w:rPr/>
      </w:pPr>
      <w:r>
        <w:rPr/>
        <w:t> </w:t>
      </w:r>
    </w:p>
    <w:tbl>
      <w:tblPr>
        <w:tblW w:w="8215" w:type="dxa"/>
        <w:jc w:val="left"/>
        <w:tblInd w:w="0" w:type="dxa"/>
        <w:tblCellMar>
          <w:top w:w="0" w:type="dxa"/>
          <w:left w:w="0" w:type="dxa"/>
          <w:bottom w:w="0" w:type="dxa"/>
          <w:right w:w="0" w:type="dxa"/>
        </w:tblCellMar>
      </w:tblPr>
      <w:tblGrid>
        <w:gridCol w:w="75"/>
        <w:gridCol w:w="110"/>
        <w:gridCol w:w="60"/>
        <w:gridCol w:w="79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70" w:type="dxa"/>
            <w:tcBorders/>
            <w:shd w:fill="auto" w:val="clear"/>
            <w:vAlign w:val="center"/>
          </w:tcPr>
          <w:p>
            <w:pPr>
              <w:pStyle w:val="TableContents"/>
              <w:spacing w:before="0" w:after="0"/>
              <w:jc w:val="left"/>
              <w:rPr/>
            </w:pPr>
            <w:r>
              <w:rPr/>
              <w:t>“</w:t>
            </w:r>
            <w:r>
              <w:rPr>
                <w:rFonts w:ascii="Times New Roman" w:hAnsi="Times New Roman"/>
                <w:sz w:val="20"/>
              </w:rPr>
              <w:t xml:space="preserve">City of Dreams Manila” refers to an integrated resort located within Entertainment City, Manila;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City of Dreams Mediterranean” refers to the integrated resort project in Cyprus, which is currently under development and is expected to be the largest and premier integrated resort in Europe upon its opening;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COD Resorts” refers to our subsidiary, COD Resorts Limited (formerly known as Melco Crown (COD) Developments Limited), a Macau company through which we hold the land and buildings for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City of Dreams, operate hotel and certain other non-gaming businesses at City of Dreams and provide shared services within the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Concession Contract” refers to the concession contract executed between the Macau Special Administrative Region and Melco Resorts Macau on December 16, 2022, that provides for the terms and conditions of the concession granted to Melco Resorts Macau; </w:t>
            </w:r>
          </w:p>
        </w:tc>
      </w:tr>
    </w:tbl>
    <w:p>
      <w:pPr>
        <w:pStyle w:val="TextBody"/>
        <w:spacing w:before="0" w:after="0"/>
        <w:jc w:val="left"/>
        <w:rPr/>
      </w:pPr>
      <w:r>
        <w:rPr/>
        <w:t> </w:t>
      </w:r>
    </w:p>
    <w:tbl>
      <w:tblPr>
        <w:tblW w:w="8980" w:type="dxa"/>
        <w:jc w:val="left"/>
        <w:tblInd w:w="0" w:type="dxa"/>
        <w:tblCellMar>
          <w:top w:w="0" w:type="dxa"/>
          <w:left w:w="0" w:type="dxa"/>
          <w:bottom w:w="0" w:type="dxa"/>
          <w:right w:w="0" w:type="dxa"/>
        </w:tblCellMar>
      </w:tblPr>
      <w:tblGrid>
        <w:gridCol w:w="75"/>
        <w:gridCol w:w="110"/>
        <w:gridCol w:w="60"/>
        <w:gridCol w:w="8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35" w:type="dxa"/>
            <w:tcBorders/>
            <w:shd w:fill="auto" w:val="clear"/>
            <w:vAlign w:val="center"/>
          </w:tcPr>
          <w:p>
            <w:pPr>
              <w:pStyle w:val="TableContents"/>
              <w:spacing w:before="0" w:after="0"/>
              <w:jc w:val="left"/>
              <w:rPr/>
            </w:pPr>
            <w:r>
              <w:rPr/>
              <w:t>“</w:t>
            </w:r>
            <w:r>
              <w:rPr>
                <w:rFonts w:ascii="Times New Roman" w:hAnsi="Times New Roman"/>
                <w:sz w:val="20"/>
              </w:rPr>
              <w:t xml:space="preserve">Crown Resorts” refers to Crown Resorts Limited, a company listed on the Australian Securities Exchange;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Cyprus Acquisition” refers to our acquisition of a 75% equity interest in ICR Cyprus from Melco International with the issuance of 55.5 million ordinary shares as consideration pursuant to the definitive agreement entered into between us and Melco International on June 24, 2019 and completed on July 31, 2019;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Cyprus License” refers to the gaming license granted by the government of Cyprus to Integrated Casino Resorts on June 26, 2017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DICJ” refers to the Direcção de Inspecção e Coordenação de Jogos (the Gaming Inspection and Coordination Bureau), a department of the Public Administration of Macau; </w:t>
            </w:r>
          </w:p>
        </w:tc>
      </w:tr>
    </w:tbl>
    <w:p>
      <w:pPr>
        <w:pStyle w:val="TextBody"/>
        <w:spacing w:before="0" w:after="0"/>
        <w:jc w:val="left"/>
        <w:rPr/>
      </w:pPr>
      <w:r>
        <w:rPr/>
        <w:t> </w:t>
      </w:r>
    </w:p>
    <w:tbl>
      <w:tblPr>
        <w:tblW w:w="8755" w:type="dxa"/>
        <w:jc w:val="left"/>
        <w:tblInd w:w="0" w:type="dxa"/>
        <w:tblCellMar>
          <w:top w:w="0" w:type="dxa"/>
          <w:left w:w="0" w:type="dxa"/>
          <w:bottom w:w="0" w:type="dxa"/>
          <w:right w:w="0" w:type="dxa"/>
        </w:tblCellMar>
      </w:tblPr>
      <w:tblGrid>
        <w:gridCol w:w="75"/>
        <w:gridCol w:w="110"/>
        <w:gridCol w:w="60"/>
        <w:gridCol w:w="8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10" w:type="dxa"/>
            <w:tcBorders/>
            <w:shd w:fill="auto" w:val="clear"/>
            <w:vAlign w:val="center"/>
          </w:tcPr>
          <w:p>
            <w:pPr>
              <w:pStyle w:val="TableContents"/>
              <w:spacing w:before="0" w:after="0"/>
              <w:jc w:val="left"/>
              <w:rPr/>
            </w:pPr>
            <w:r>
              <w:rPr/>
              <w:t>“</w:t>
            </w:r>
            <w:r>
              <w:rPr>
                <w:rFonts w:ascii="Times New Roman" w:hAnsi="Times New Roman"/>
                <w:sz w:val="20"/>
              </w:rPr>
              <w:t xml:space="preserve">DSEC” refers to the Statistics and Census Service of Macau, a department of the government of Macau; </w:t>
            </w:r>
          </w:p>
        </w:tc>
      </w:tr>
    </w:tbl>
    <w:p>
      <w:pPr>
        <w:pStyle w:val="TextBody"/>
        <w:spacing w:before="0" w:after="0"/>
        <w:jc w:val="left"/>
        <w:rPr/>
      </w:pPr>
      <w:r>
        <w:rPr/>
        <w:t> </w:t>
      </w:r>
    </w:p>
    <w:tbl>
      <w:tblPr>
        <w:tblW w:w="6130" w:type="dxa"/>
        <w:jc w:val="left"/>
        <w:tblInd w:w="0" w:type="dxa"/>
        <w:tblCellMar>
          <w:top w:w="0" w:type="dxa"/>
          <w:left w:w="0" w:type="dxa"/>
          <w:bottom w:w="0" w:type="dxa"/>
          <w:right w:w="0" w:type="dxa"/>
        </w:tblCellMar>
      </w:tblPr>
      <w:tblGrid>
        <w:gridCol w:w="75"/>
        <w:gridCol w:w="110"/>
        <w:gridCol w:w="60"/>
        <w:gridCol w:w="5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85" w:type="dxa"/>
            <w:tcBorders/>
            <w:shd w:fill="auto" w:val="clear"/>
            <w:vAlign w:val="center"/>
          </w:tcPr>
          <w:p>
            <w:pPr>
              <w:pStyle w:val="TableContents"/>
              <w:spacing w:before="0" w:after="0"/>
              <w:jc w:val="left"/>
              <w:rPr/>
            </w:pPr>
            <w:r>
              <w:rPr/>
              <w:t>“</w:t>
            </w:r>
            <w:r>
              <w:rPr>
                <w:rFonts w:ascii="Times New Roman" w:hAnsi="Times New Roman"/>
                <w:sz w:val="20"/>
              </w:rPr>
              <w:t xml:space="preserve">EUR” and “Euro(s)” refer to the legal currency of the European Union; </w:t>
            </w:r>
          </w:p>
        </w:tc>
      </w:tr>
    </w:tbl>
    <w:p>
      <w:pPr>
        <w:pStyle w:val="TextBody"/>
        <w:spacing w:before="0" w:after="0"/>
        <w:jc w:val="left"/>
        <w:rPr/>
      </w:pPr>
      <w:r>
        <w:rPr/>
        <w:t> </w:t>
      </w:r>
    </w:p>
    <w:tbl>
      <w:tblPr>
        <w:tblW w:w="6790" w:type="dxa"/>
        <w:jc w:val="left"/>
        <w:tblInd w:w="0" w:type="dxa"/>
        <w:tblCellMar>
          <w:top w:w="0" w:type="dxa"/>
          <w:left w:w="0" w:type="dxa"/>
          <w:bottom w:w="0" w:type="dxa"/>
          <w:right w:w="0" w:type="dxa"/>
        </w:tblCellMar>
      </w:tblPr>
      <w:tblGrid>
        <w:gridCol w:w="75"/>
        <w:gridCol w:w="110"/>
        <w:gridCol w:w="60"/>
        <w:gridCol w:w="6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45" w:type="dxa"/>
            <w:tcBorders/>
            <w:shd w:fill="auto" w:val="clear"/>
            <w:vAlign w:val="center"/>
          </w:tcPr>
          <w:p>
            <w:pPr>
              <w:pStyle w:val="TableContents"/>
              <w:spacing w:before="0" w:after="0"/>
              <w:jc w:val="left"/>
              <w:rPr/>
            </w:pPr>
            <w:r>
              <w:rPr/>
              <w:t>“</w:t>
            </w:r>
            <w:r>
              <w:rPr>
                <w:rFonts w:ascii="Times New Roman" w:hAnsi="Times New Roman"/>
                <w:sz w:val="20"/>
              </w:rPr>
              <w:t xml:space="preserve">Greater China” refers to mainland China, Hong Kong and Macau, collectively; </w:t>
            </w:r>
          </w:p>
        </w:tc>
      </w:tr>
    </w:tbl>
    <w:p>
      <w:pPr>
        <w:pStyle w:val="TextBody"/>
        <w:spacing w:before="0" w:after="0"/>
        <w:jc w:val="left"/>
        <w:rPr/>
      </w:pPr>
      <w:r>
        <w:rPr/>
        <w:t> </w:t>
      </w:r>
    </w:p>
    <w:tbl>
      <w:tblPr>
        <w:tblW w:w="5050" w:type="dxa"/>
        <w:jc w:val="left"/>
        <w:tblInd w:w="0" w:type="dxa"/>
        <w:tblCellMar>
          <w:top w:w="0" w:type="dxa"/>
          <w:left w:w="0" w:type="dxa"/>
          <w:bottom w:w="0" w:type="dxa"/>
          <w:right w:w="0" w:type="dxa"/>
        </w:tblCellMar>
      </w:tblPr>
      <w:tblGrid>
        <w:gridCol w:w="75"/>
        <w:gridCol w:w="110"/>
        <w:gridCol w:w="60"/>
        <w:gridCol w:w="4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05" w:type="dxa"/>
            <w:tcBorders/>
            <w:shd w:fill="auto" w:val="clear"/>
            <w:vAlign w:val="center"/>
          </w:tcPr>
          <w:p>
            <w:pPr>
              <w:pStyle w:val="TableContents"/>
              <w:spacing w:before="0" w:after="0"/>
              <w:jc w:val="left"/>
              <w:rPr/>
            </w:pPr>
            <w:r>
              <w:rPr/>
              <w:t>“</w:t>
            </w:r>
            <w:r>
              <w:rPr>
                <w:rFonts w:ascii="Times New Roman" w:hAnsi="Times New Roman"/>
                <w:sz w:val="20"/>
              </w:rPr>
              <w:t xml:space="preserve">HIBOR” refers to the Hong Kong Interbank Offered Rate; </w:t>
            </w:r>
          </w:p>
        </w:tc>
      </w:tr>
    </w:tbl>
    <w:p>
      <w:pPr>
        <w:pStyle w:val="TextBody"/>
        <w:spacing w:before="0" w:after="0"/>
        <w:jc w:val="left"/>
        <w:rPr/>
      </w:pPr>
      <w:r>
        <w:rPr/>
        <w:t> </w:t>
      </w:r>
    </w:p>
    <w:tbl>
      <w:tblPr>
        <w:tblW w:w="5920" w:type="dxa"/>
        <w:jc w:val="left"/>
        <w:tblInd w:w="0" w:type="dxa"/>
        <w:tblCellMar>
          <w:top w:w="0" w:type="dxa"/>
          <w:left w:w="0" w:type="dxa"/>
          <w:bottom w:w="0" w:type="dxa"/>
          <w:right w:w="0" w:type="dxa"/>
        </w:tblCellMar>
      </w:tblPr>
      <w:tblGrid>
        <w:gridCol w:w="75"/>
        <w:gridCol w:w="110"/>
        <w:gridCol w:w="60"/>
        <w:gridCol w:w="5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jc w:val="left"/>
              <w:rPr/>
            </w:pPr>
            <w:r>
              <w:rPr/>
              <w:t>“</w:t>
            </w:r>
            <w:r>
              <w:rPr>
                <w:rFonts w:ascii="Times New Roman" w:hAnsi="Times New Roman"/>
                <w:sz w:val="20"/>
              </w:rPr>
              <w:t xml:space="preserve">HK$” and “H.K. dollar(s)” refer to the legal currency of Hong Kong; </w:t>
            </w:r>
          </w:p>
        </w:tc>
      </w:tr>
    </w:tbl>
    <w:p>
      <w:pPr>
        <w:pStyle w:val="TextBody"/>
        <w:spacing w:before="0" w:after="0"/>
        <w:jc w:val="left"/>
        <w:rPr/>
      </w:pPr>
      <w:r>
        <w:rPr/>
        <w:t> </w:t>
      </w:r>
    </w:p>
    <w:tbl>
      <w:tblPr>
        <w:tblW w:w="5380" w:type="dxa"/>
        <w:jc w:val="left"/>
        <w:tblInd w:w="0" w:type="dxa"/>
        <w:tblCellMar>
          <w:top w:w="0" w:type="dxa"/>
          <w:left w:w="0" w:type="dxa"/>
          <w:bottom w:w="0" w:type="dxa"/>
          <w:right w:w="0" w:type="dxa"/>
        </w:tblCellMar>
      </w:tblPr>
      <w:tblGrid>
        <w:gridCol w:w="75"/>
        <w:gridCol w:w="110"/>
        <w:gridCol w:w="60"/>
        <w:gridCol w:w="51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35" w:type="dxa"/>
            <w:tcBorders/>
            <w:shd w:fill="auto" w:val="clear"/>
            <w:vAlign w:val="center"/>
          </w:tcPr>
          <w:p>
            <w:pPr>
              <w:pStyle w:val="TableContents"/>
              <w:spacing w:before="0" w:after="0"/>
              <w:jc w:val="left"/>
              <w:rPr/>
            </w:pPr>
            <w:r>
              <w:rPr/>
              <w:t>“</w:t>
            </w:r>
            <w:r>
              <w:rPr>
                <w:rFonts w:ascii="Times New Roman" w:hAnsi="Times New Roman"/>
                <w:sz w:val="20"/>
              </w:rPr>
              <w:t xml:space="preserve">HKSE” refers to The Stock Exchange of Hong Kong Limited;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ICR Cyprus” refers to ICR Cyprus Holdings Limited, a company incorporated under the laws of Cyprus, in which we acquired a 75% equity interest upon the completion of the Cyprus Acquisition;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Integrated Casino Resorts” refers to Integrated Casino Resorts Cyprus Limited, a company incorporated under the laws of Cyprus and which became our subsidiary upon the completion of the Cyprus Acquisition; </w:t>
            </w:r>
          </w:p>
        </w:tc>
      </w:tr>
    </w:tbl>
    <w:p>
      <w:pPr>
        <w:pStyle w:val="TextBody"/>
        <w:spacing w:before="0" w:after="0"/>
        <w:jc w:val="left"/>
        <w:rPr/>
      </w:pPr>
      <w:r>
        <w:rPr/>
        <w:t> </w:t>
      </w:r>
    </w:p>
    <w:tbl>
      <w:tblPr>
        <w:tblW w:w="6460" w:type="dxa"/>
        <w:jc w:val="left"/>
        <w:tblInd w:w="0" w:type="dxa"/>
        <w:tblCellMar>
          <w:top w:w="0" w:type="dxa"/>
          <w:left w:w="0" w:type="dxa"/>
          <w:bottom w:w="0" w:type="dxa"/>
          <w:right w:w="0" w:type="dxa"/>
        </w:tblCellMar>
      </w:tblPr>
      <w:tblGrid>
        <w:gridCol w:w="75"/>
        <w:gridCol w:w="110"/>
        <w:gridCol w:w="60"/>
        <w:gridCol w:w="62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15" w:type="dxa"/>
            <w:tcBorders/>
            <w:shd w:fill="auto" w:val="clear"/>
            <w:vAlign w:val="center"/>
          </w:tcPr>
          <w:p>
            <w:pPr>
              <w:pStyle w:val="TableContents"/>
              <w:spacing w:before="0" w:after="0"/>
              <w:jc w:val="left"/>
              <w:rPr/>
            </w:pPr>
            <w:r>
              <w:rPr/>
              <w:t>“</w:t>
            </w:r>
            <w:r>
              <w:rPr>
                <w:rFonts w:ascii="Times New Roman" w:hAnsi="Times New Roman"/>
                <w:sz w:val="20"/>
              </w:rPr>
              <w:t xml:space="preserve">MCO Nominee One” refers to our subsidiary, MCO Nominee One Limited; </w:t>
            </w:r>
          </w:p>
        </w:tc>
      </w:tr>
    </w:tbl>
    <w:p>
      <w:pPr>
        <w:pStyle w:val="TextBody"/>
        <w:spacing w:before="0" w:after="0"/>
        <w:jc w:val="left"/>
        <w:rPr/>
      </w:pPr>
      <w:r>
        <w:rPr/>
        <w:t> </w:t>
      </w:r>
    </w:p>
    <w:tbl>
      <w:tblPr>
        <w:tblW w:w="8860" w:type="dxa"/>
        <w:jc w:val="left"/>
        <w:tblInd w:w="0" w:type="dxa"/>
        <w:tblCellMar>
          <w:top w:w="0" w:type="dxa"/>
          <w:left w:w="0" w:type="dxa"/>
          <w:bottom w:w="0" w:type="dxa"/>
          <w:right w:w="0" w:type="dxa"/>
        </w:tblCellMar>
      </w:tblPr>
      <w:tblGrid>
        <w:gridCol w:w="75"/>
        <w:gridCol w:w="110"/>
        <w:gridCol w:w="60"/>
        <w:gridCol w:w="86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15" w:type="dxa"/>
            <w:tcBorders/>
            <w:shd w:fill="auto" w:val="clear"/>
            <w:vAlign w:val="center"/>
          </w:tcPr>
          <w:p>
            <w:pPr>
              <w:pStyle w:val="TableContents"/>
              <w:spacing w:before="0" w:after="0"/>
              <w:jc w:val="left"/>
              <w:rPr/>
            </w:pPr>
            <w:r>
              <w:rPr/>
              <w:t>“</w:t>
            </w:r>
            <w:r>
              <w:rPr>
                <w:rFonts w:ascii="Times New Roman" w:hAnsi="Times New Roman"/>
                <w:sz w:val="20"/>
              </w:rPr>
              <w:t xml:space="preserve">Melco International” refers to Melco International Development Limited, a Hong Kong-listed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Melco Leisure” refers to Melco Leisure and Entertainment Group Limited, a company incorporated under the laws of the British Virgin Islands and a wholly-owned subsidiary of Melco International; </w:t>
            </w:r>
          </w:p>
        </w:tc>
      </w:tr>
    </w:tbl>
    <w:p>
      <w:pPr>
        <w:pStyle w:val="TextBody"/>
        <w:spacing w:before="0" w:after="0"/>
        <w:jc w:val="left"/>
        <w:rPr/>
      </w:pPr>
      <w:r>
        <w:rPr/>
        <w:t> </w:t>
      </w:r>
    </w:p>
    <w:tbl>
      <w:tblPr>
        <w:tblW w:w="9370" w:type="dxa"/>
        <w:jc w:val="left"/>
        <w:tblInd w:w="0" w:type="dxa"/>
        <w:tblCellMar>
          <w:top w:w="0" w:type="dxa"/>
          <w:left w:w="0" w:type="dxa"/>
          <w:bottom w:w="0" w:type="dxa"/>
          <w:right w:w="0" w:type="dxa"/>
        </w:tblCellMar>
      </w:tblPr>
      <w:tblGrid>
        <w:gridCol w:w="75"/>
        <w:gridCol w:w="110"/>
        <w:gridCol w:w="60"/>
        <w:gridCol w:w="91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25" w:type="dxa"/>
            <w:tcBorders/>
            <w:shd w:fill="auto" w:val="clear"/>
            <w:vAlign w:val="center"/>
          </w:tcPr>
          <w:p>
            <w:pPr>
              <w:pStyle w:val="TableContents"/>
              <w:spacing w:before="0" w:after="0"/>
              <w:jc w:val="left"/>
              <w:rPr/>
            </w:pPr>
            <w:r>
              <w:rPr/>
              <w:t>“</w:t>
            </w:r>
            <w:r>
              <w:rPr>
                <w:rFonts w:ascii="Times New Roman" w:hAnsi="Times New Roman"/>
                <w:sz w:val="20"/>
              </w:rPr>
              <w:t xml:space="preserve">Melco Philippine Parties” refers to Melco Resorts Leisure, MPHIL Holdings No. 1 and MPHIL Holdings No. 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Melco Resorts Finance Notes” refers to, collectively, the 2025 Senior Notes, the 2026 Senior Notes, the 2027 Senior Notes, the 2028 Senior Notes and the 2029 Senior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Melco Resorts Finance” refers to our subsidiary, Melco Resorts Finance Limited (formerly known as MCE Finance Limited), a Cayman Islands exempted company with limited liability;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Melco Resorts Leisure” refers to our subsidiary, Melco Resorts Leisure (PHP) Corporation (formerly known as MCE Leisure (Philippines) Corporation), a corporation incorporated in the Philippines and one of the Philippine Licensees holding the Philippine License;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Melco Resorts Macau” refers to our subsidiary, Melco Resorts (Macau) Limited (formerly known as Melco Crown (Macau) Limited), a Macau company and the holder of our gaming concession;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Mocha Clubs” refer to, collectively, our clubs with gaming machines, which are now the largest non-casino based operations of electronic gaming machines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MPHIL Holdings No. 1” refers to our subsidiary, MPHIL Holdings No. 1 Corporation (formerly known as MCE Holdings (Philippines) Corporation), a corporation incorporated in the Philippines and one of the Philippine Licensees holding the Philippine License;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MPHIL Holdings No. 2” refers to our subsidiary, MPHIL Holdings No. 2 Corporation (formerly known as MCE Holdings No. 2 (Philippines) Corporation), a corporation incorporated in the Philippines and one of the Philippine Licensees holding the Philippine License;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MRP” refers to our subsidiary, Melco Resorts and Entertainment (Philippines) Corporation (formerly known as Melco Crown (Philippines) Resorts Corporation), the shares of which have been delisted from the Philippine Stock Exchange since June 11, 2019 due to MRP’s public ownership having fallen below the minimum requirement of the Philippine Stock Exchange for more than six months; </w:t>
            </w:r>
          </w:p>
        </w:tc>
      </w:tr>
    </w:tbl>
    <w:p>
      <w:pPr>
        <w:pStyle w:val="TextBody"/>
        <w:spacing w:before="0" w:after="0"/>
        <w:jc w:val="left"/>
        <w:rPr/>
      </w:pPr>
      <w:r>
        <w:rPr/>
        <w:t> </w:t>
      </w:r>
    </w:p>
    <w:tbl>
      <w:tblPr>
        <w:tblW w:w="9505" w:type="dxa"/>
        <w:jc w:val="left"/>
        <w:tblInd w:w="0" w:type="dxa"/>
        <w:tblCellMar>
          <w:top w:w="0" w:type="dxa"/>
          <w:left w:w="0" w:type="dxa"/>
          <w:bottom w:w="0" w:type="dxa"/>
          <w:right w:w="0" w:type="dxa"/>
        </w:tblCellMar>
      </w:tblPr>
      <w:tblGrid>
        <w:gridCol w:w="75"/>
        <w:gridCol w:w="110"/>
        <w:gridCol w:w="60"/>
        <w:gridCol w:w="9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60" w:type="dxa"/>
            <w:tcBorders/>
            <w:shd w:fill="auto" w:val="clear"/>
            <w:vAlign w:val="center"/>
          </w:tcPr>
          <w:p>
            <w:pPr>
              <w:pStyle w:val="TableContents"/>
              <w:spacing w:before="0" w:after="0"/>
              <w:jc w:val="left"/>
              <w:rPr/>
            </w:pPr>
            <w:r>
              <w:rPr/>
              <w:t>“</w:t>
            </w:r>
            <w:r>
              <w:rPr>
                <w:rFonts w:ascii="Times New Roman" w:hAnsi="Times New Roman"/>
                <w:sz w:val="20"/>
              </w:rPr>
              <w:t xml:space="preserve">Nobu Manila” refers to the hotel development located in City of Dreams Manila branded as Nobu Hotel Manila;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Nüwa Manila” refers to the hotel development located in City of Dreams Manila branded as Nüwa Hotel Manila, formerly branded as the Crown Towers hotel; </w:t>
            </w:r>
          </w:p>
        </w:tc>
      </w:tr>
    </w:tbl>
    <w:p>
      <w:pPr>
        <w:pStyle w:val="TextBody"/>
        <w:spacing w:before="0" w:after="0"/>
        <w:jc w:val="left"/>
        <w:rPr/>
      </w:pPr>
      <w:r>
        <w:rPr/>
        <w:t> </w:t>
      </w:r>
    </w:p>
    <w:tbl>
      <w:tblPr>
        <w:tblW w:w="9910" w:type="dxa"/>
        <w:jc w:val="left"/>
        <w:tblInd w:w="0" w:type="dxa"/>
        <w:tblCellMar>
          <w:top w:w="0" w:type="dxa"/>
          <w:left w:w="0" w:type="dxa"/>
          <w:bottom w:w="0" w:type="dxa"/>
          <w:right w:w="0" w:type="dxa"/>
        </w:tblCellMar>
      </w:tblPr>
      <w:tblGrid>
        <w:gridCol w:w="75"/>
        <w:gridCol w:w="110"/>
        <w:gridCol w:w="60"/>
        <w:gridCol w:w="9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65" w:type="dxa"/>
            <w:tcBorders/>
            <w:shd w:fill="auto" w:val="clear"/>
            <w:vAlign w:val="center"/>
          </w:tcPr>
          <w:p>
            <w:pPr>
              <w:pStyle w:val="TableContents"/>
              <w:spacing w:before="0" w:after="0"/>
              <w:jc w:val="left"/>
              <w:rPr/>
            </w:pPr>
            <w:r>
              <w:rPr/>
              <w:t>“</w:t>
            </w:r>
            <w:r>
              <w:rPr>
                <w:rFonts w:ascii="Times New Roman" w:hAnsi="Times New Roman"/>
                <w:sz w:val="20"/>
              </w:rPr>
              <w:t xml:space="preserve">our concession” and “our gaming concession” refers to the Macau gaming concession held by Melco Resorts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PAGCOR” refers to the Philippines Amusement and Gaming Corporation, the Philippines regulatory body with jurisdiction over all gaming activities in the Philippines except for lottery, sweepstakes, cockfighting, horse racing and gaming inside the Cagayan Export Zone; </w:t>
            </w:r>
          </w:p>
        </w:tc>
      </w:tr>
    </w:tbl>
    <w:p>
      <w:pPr>
        <w:pStyle w:val="TextBody"/>
        <w:spacing w:before="0" w:after="0"/>
        <w:jc w:val="left"/>
        <w:rPr/>
      </w:pPr>
      <w:r>
        <w:rPr/>
        <w:t> </w:t>
      </w:r>
    </w:p>
    <w:tbl>
      <w:tblPr>
        <w:tblW w:w="6925" w:type="dxa"/>
        <w:jc w:val="left"/>
        <w:tblInd w:w="0" w:type="dxa"/>
        <w:tblCellMar>
          <w:top w:w="0" w:type="dxa"/>
          <w:left w:w="0" w:type="dxa"/>
          <w:bottom w:w="0" w:type="dxa"/>
          <w:right w:w="0" w:type="dxa"/>
        </w:tblCellMar>
      </w:tblPr>
      <w:tblGrid>
        <w:gridCol w:w="75"/>
        <w:gridCol w:w="110"/>
        <w:gridCol w:w="60"/>
        <w:gridCol w:w="6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80" w:type="dxa"/>
            <w:tcBorders/>
            <w:shd w:fill="auto" w:val="clear"/>
            <w:vAlign w:val="center"/>
          </w:tcPr>
          <w:p>
            <w:pPr>
              <w:pStyle w:val="TableContents"/>
              <w:spacing w:before="0" w:after="0"/>
              <w:jc w:val="left"/>
              <w:rPr/>
            </w:pPr>
            <w:r>
              <w:rPr/>
              <w:t>“</w:t>
            </w:r>
            <w:r>
              <w:rPr>
                <w:rFonts w:ascii="Times New Roman" w:hAnsi="Times New Roman"/>
                <w:sz w:val="20"/>
              </w:rPr>
              <w:t xml:space="preserve">PAGCOR Charter” refers to the Presidential Decree No. 1869, of the Philippines; </w:t>
            </w:r>
          </w:p>
        </w:tc>
      </w:tr>
    </w:tbl>
    <w:p>
      <w:pPr>
        <w:pStyle w:val="TextBody"/>
        <w:spacing w:before="0" w:after="0"/>
        <w:jc w:val="left"/>
        <w:rPr/>
      </w:pPr>
      <w:r>
        <w:rPr/>
        <w:t> </w:t>
      </w:r>
    </w:p>
    <w:tbl>
      <w:tblPr>
        <w:tblW w:w="5080" w:type="dxa"/>
        <w:jc w:val="left"/>
        <w:tblInd w:w="0" w:type="dxa"/>
        <w:tblCellMar>
          <w:top w:w="0" w:type="dxa"/>
          <w:left w:w="0" w:type="dxa"/>
          <w:bottom w:w="0" w:type="dxa"/>
          <w:right w:w="0" w:type="dxa"/>
        </w:tblCellMar>
      </w:tblPr>
      <w:tblGrid>
        <w:gridCol w:w="75"/>
        <w:gridCol w:w="110"/>
        <w:gridCol w:w="60"/>
        <w:gridCol w:w="4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35" w:type="dxa"/>
            <w:tcBorders/>
            <w:shd w:fill="auto" w:val="clear"/>
            <w:vAlign w:val="center"/>
          </w:tcPr>
          <w:p>
            <w:pPr>
              <w:pStyle w:val="TableContents"/>
              <w:spacing w:before="0" w:after="0"/>
              <w:jc w:val="left"/>
              <w:rPr/>
            </w:pPr>
            <w:r>
              <w:rPr/>
              <w:t>“</w:t>
            </w:r>
            <w:r>
              <w:rPr>
                <w:rFonts w:ascii="Times New Roman" w:hAnsi="Times New Roman"/>
                <w:sz w:val="20"/>
              </w:rPr>
              <w:t xml:space="preserve">Pataca(s)” or “MOP” refer to the legal currency of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Philippine License” refers to the regular gaming license dated April 29, 2015 issued by PAGCOR to the Philippine Licensees in replacement of the Provisional License for the operation of City of Dreams Manila;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Philippine Licensees” refers to holders of the Philippine License, which include the Melco Philippine Parties and the Philippine Parties; </w:t>
            </w:r>
          </w:p>
        </w:tc>
      </w:tr>
    </w:tbl>
    <w:p>
      <w:pPr>
        <w:pStyle w:val="TextBody"/>
        <w:spacing w:before="0" w:after="0"/>
        <w:jc w:val="left"/>
        <w:rPr/>
      </w:pPr>
      <w:r>
        <w:rPr/>
        <w:t> </w:t>
      </w:r>
    </w:p>
    <w:tbl>
      <w:tblPr>
        <w:tblW w:w="10105" w:type="dxa"/>
        <w:jc w:val="left"/>
        <w:tblInd w:w="0" w:type="dxa"/>
        <w:tblCellMar>
          <w:top w:w="0" w:type="dxa"/>
          <w:left w:w="0" w:type="dxa"/>
          <w:bottom w:w="0" w:type="dxa"/>
          <w:right w:w="0" w:type="dxa"/>
        </w:tblCellMar>
      </w:tblPr>
      <w:tblGrid>
        <w:gridCol w:w="75"/>
        <w:gridCol w:w="110"/>
        <w:gridCol w:w="60"/>
        <w:gridCol w:w="98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60" w:type="dxa"/>
            <w:tcBorders/>
            <w:shd w:fill="auto" w:val="clear"/>
            <w:vAlign w:val="center"/>
          </w:tcPr>
          <w:p>
            <w:pPr>
              <w:pStyle w:val="TableContents"/>
              <w:spacing w:before="0" w:after="0"/>
              <w:jc w:val="left"/>
              <w:rPr/>
            </w:pPr>
            <w:r>
              <w:rPr/>
              <w:t>“</w:t>
            </w:r>
            <w:r>
              <w:rPr>
                <w:rFonts w:ascii="Times New Roman" w:hAnsi="Times New Roman"/>
                <w:sz w:val="20"/>
              </w:rPr>
              <w:t xml:space="preserve">Philippine Parties” refers to SM Investments Corporation, Belle Corporation and PremiumLeisure and Amusement, Inc.;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110"/>
        <w:gridCol w:w="6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left"/>
              <w:rPr/>
            </w:pPr>
            <w:r>
              <w:rPr/>
              <w:t>“</w:t>
            </w:r>
            <w:r>
              <w:rPr>
                <w:rFonts w:ascii="Times New Roman" w:hAnsi="Times New Roman"/>
                <w:sz w:val="20"/>
              </w:rPr>
              <w:t xml:space="preserve">Philippine peso(s)” and “PHP” refer to the legal currency of the Philippines; </w:t>
            </w:r>
          </w:p>
        </w:tc>
      </w:tr>
    </w:tbl>
    <w:p>
      <w:pPr>
        <w:pStyle w:val="TextBody"/>
        <w:spacing w:before="0" w:after="0"/>
        <w:jc w:val="left"/>
        <w:rPr/>
      </w:pPr>
      <w:r>
        <w:rPr/>
        <w:t> </w:t>
      </w:r>
    </w:p>
    <w:tbl>
      <w:tblPr>
        <w:tblW w:w="5455" w:type="dxa"/>
        <w:jc w:val="left"/>
        <w:tblInd w:w="0" w:type="dxa"/>
        <w:tblCellMar>
          <w:top w:w="0" w:type="dxa"/>
          <w:left w:w="0" w:type="dxa"/>
          <w:bottom w:w="0" w:type="dxa"/>
          <w:right w:w="0" w:type="dxa"/>
        </w:tblCellMar>
      </w:tblPr>
      <w:tblGrid>
        <w:gridCol w:w="75"/>
        <w:gridCol w:w="110"/>
        <w:gridCol w:w="60"/>
        <w:gridCol w:w="52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10" w:type="dxa"/>
            <w:tcBorders/>
            <w:shd w:fill="auto" w:val="clear"/>
            <w:vAlign w:val="center"/>
          </w:tcPr>
          <w:p>
            <w:pPr>
              <w:pStyle w:val="TableContents"/>
              <w:spacing w:before="0" w:after="0"/>
              <w:jc w:val="left"/>
              <w:rPr/>
            </w:pPr>
            <w:r>
              <w:rPr/>
              <w:t>“</w:t>
            </w:r>
            <w:r>
              <w:rPr>
                <w:rFonts w:ascii="Times New Roman" w:hAnsi="Times New Roman"/>
                <w:sz w:val="20"/>
              </w:rPr>
              <w:t xml:space="preserve">Renminbi” and “RMB” refer to the legal currency of the PRC; </w:t>
            </w:r>
          </w:p>
        </w:tc>
      </w:tr>
    </w:tbl>
    <w:p>
      <w:pPr>
        <w:pStyle w:val="TextBody"/>
        <w:spacing w:before="0" w:after="0"/>
        <w:jc w:val="left"/>
        <w:rPr/>
      </w:pPr>
      <w:r>
        <w:rPr/>
        <w:t> </w:t>
      </w:r>
    </w:p>
    <w:tbl>
      <w:tblPr>
        <w:tblW w:w="10060" w:type="dxa"/>
        <w:jc w:val="left"/>
        <w:tblInd w:w="0" w:type="dxa"/>
        <w:tblCellMar>
          <w:top w:w="0" w:type="dxa"/>
          <w:left w:w="0" w:type="dxa"/>
          <w:bottom w:w="0" w:type="dxa"/>
          <w:right w:w="0" w:type="dxa"/>
        </w:tblCellMar>
      </w:tblPr>
      <w:tblGrid>
        <w:gridCol w:w="75"/>
        <w:gridCol w:w="110"/>
        <w:gridCol w:w="60"/>
        <w:gridCol w:w="9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15" w:type="dxa"/>
            <w:tcBorders/>
            <w:shd w:fill="auto" w:val="clear"/>
            <w:vAlign w:val="center"/>
          </w:tcPr>
          <w:p>
            <w:pPr>
              <w:pStyle w:val="TableContents"/>
              <w:spacing w:before="0" w:after="0"/>
              <w:jc w:val="left"/>
              <w:rPr/>
            </w:pPr>
            <w:r>
              <w:rPr/>
              <w:t>“</w:t>
            </w:r>
            <w:r>
              <w:rPr>
                <w:rFonts w:ascii="Times New Roman" w:hAnsi="Times New Roman"/>
                <w:sz w:val="20"/>
              </w:rPr>
              <w:t xml:space="preserve">SC ADSs” refers to the American depositary shares of SCI, each of which represents four Class A ordinary shares of SCI;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SCI” and “Studio City International” refer to our subsidiary, Studio City International Holdings Limited, an exempted company registered by way of continuation in the Cayman Islands, the American depositary receipts of which are listed on the New York Stock Exchange; </w:t>
            </w:r>
          </w:p>
        </w:tc>
      </w:tr>
    </w:tbl>
    <w:p>
      <w:pPr>
        <w:pStyle w:val="TextBody"/>
        <w:spacing w:before="0" w:after="0"/>
        <w:jc w:val="left"/>
        <w:rPr/>
      </w:pPr>
      <w:r>
        <w:rPr/>
        <w:t> </w:t>
      </w:r>
    </w:p>
    <w:tbl>
      <w:tblPr>
        <w:tblW w:w="7660" w:type="dxa"/>
        <w:jc w:val="left"/>
        <w:tblInd w:w="0" w:type="dxa"/>
        <w:tblCellMar>
          <w:top w:w="0" w:type="dxa"/>
          <w:left w:w="0" w:type="dxa"/>
          <w:bottom w:w="0" w:type="dxa"/>
          <w:right w:w="0" w:type="dxa"/>
        </w:tblCellMar>
      </w:tblPr>
      <w:tblGrid>
        <w:gridCol w:w="75"/>
        <w:gridCol w:w="110"/>
        <w:gridCol w:w="60"/>
        <w:gridCol w:w="74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0"/>
              <w:jc w:val="left"/>
              <w:rPr/>
            </w:pPr>
            <w:r>
              <w:rPr/>
              <w:t>“</w:t>
            </w:r>
            <w:r>
              <w:rPr>
                <w:rFonts w:ascii="Times New Roman" w:hAnsi="Times New Roman"/>
                <w:sz w:val="20"/>
              </w:rPr>
              <w:t xml:space="preserve">share(s)” and “ordinary share(s)” refer to our ordinary share(s), par value of US$0.01 each;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refers to a cinematically-themed integrated resort in Cotai, an area of reclaimed land located between the islands of Taipa and Coloane in Macau; </w:t>
            </w:r>
          </w:p>
        </w:tc>
      </w:tr>
    </w:tbl>
    <w:p>
      <w:pPr>
        <w:pStyle w:val="TextBody"/>
        <w:spacing w:before="0" w:after="0"/>
        <w:jc w:val="left"/>
        <w:rPr/>
      </w:pPr>
      <w:r>
        <w:rPr/>
        <w:t> </w:t>
      </w:r>
    </w:p>
    <w:tbl>
      <w:tblPr>
        <w:tblW w:w="7060" w:type="dxa"/>
        <w:jc w:val="left"/>
        <w:tblInd w:w="0" w:type="dxa"/>
        <w:tblCellMar>
          <w:top w:w="0" w:type="dxa"/>
          <w:left w:w="0" w:type="dxa"/>
          <w:bottom w:w="0" w:type="dxa"/>
          <w:right w:w="0" w:type="dxa"/>
        </w:tblCellMar>
      </w:tblPr>
      <w:tblGrid>
        <w:gridCol w:w="75"/>
        <w:gridCol w:w="110"/>
        <w:gridCol w:w="60"/>
        <w:gridCol w:w="6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15" w:type="dxa"/>
            <w:tcBorders/>
            <w:shd w:fill="auto" w:val="clear"/>
            <w:vAlign w:val="center"/>
          </w:tcPr>
          <w:p>
            <w:pPr>
              <w:pStyle w:val="TableContents"/>
              <w:spacing w:before="0" w:after="0"/>
              <w:jc w:val="left"/>
              <w:rPr/>
            </w:pPr>
            <w:r>
              <w:rPr/>
              <w:t>“</w:t>
            </w:r>
            <w:r>
              <w:rPr>
                <w:rFonts w:ascii="Times New Roman" w:hAnsi="Times New Roman"/>
                <w:sz w:val="20"/>
              </w:rPr>
              <w:t xml:space="preserve">Studio City Casino” refers to the gaming areas being operated within Studio City;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Casino Agreement” (previously referred to as the Services and Right to Use Arrangements) refers to the agreement entered into among Melco Resorts Macau and Studio City Entertainment, dated May 11, 2007 and amended on June 15, 2012 and June 23, 2022, and any other agreements or arrangements entered into from time to time, which may amend, supplement or relate to the aforementioned agreements or arrangements;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Company” refers to our subsidiary, Studio City Company Limited, which is a company incorporated in the British Virgin Islands with limited liability and which is also an indirect subsidiary of SCI;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Company Notes” refers to, collectively, (i) the US$850.0 million aggregate principal amount of 7.250% senior secured notes due 2021 (the “2021 Studio City Company Notes”), each issued by Studio City Company on November 30, 2016 and as to which no amount remains outstanding following the repayment in full upon maturity in November 2019 (in the case of the 2019 Studio City Company Notes) and the redemption of all remaining outstanding amounts in August 2020 (in the case of the 2021 Studio City Company Notes), and (ii) the 2027 Studio City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Finance” refers to our subsidiary, Studio City Finance Limited, which is a company incorporated in the British Virgin Islands with limited liability and which is also an indirect subsidiary of SCI;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Hotels” refers to our subsidiary, Studio City Hotels Limited, which is a company incorporated in Macau with limited liability and which is also an indirect subsidiary of SCI;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Investments” refers to our subsidiary, Studio City Investments Limited, which is a company incorporated in the British Virgin Islands with limited liability and which is also an indirect subsidiary of SCI;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IPO” refers to the initial public offering of a total of 33,062,500 SC ADSs, comprising the 28,750,000 SC ADSs sold initially and the 4,312,500 SC ADSs sold pursuant to the over-allotment option, at the price of US$12.50 per SC ADS;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Notes” refer to, collectively, the 2025 Studio City Notes, the 2027 Studio City Notes, the 2028 Studio City Notes and the 2029 Studio City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Studio City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approximately US$1.3 billion) and revolving credit facility of HK$775,420,000 (equivalent to approximately US$99 million), and which was amended, restated and extended by the 2021 Studio City Senior Secured Credit Facility; </w:t>
            </w:r>
          </w:p>
        </w:tc>
      </w:tr>
    </w:tbl>
    <w:p>
      <w:pPr>
        <w:pStyle w:val="TextBody"/>
        <w:spacing w:before="0" w:after="0"/>
        <w:jc w:val="left"/>
        <w:rPr/>
      </w:pPr>
      <w:r>
        <w:rPr/>
        <w:t> </w:t>
      </w:r>
    </w:p>
    <w:tbl>
      <w:tblPr>
        <w:tblW w:w="5080" w:type="dxa"/>
        <w:jc w:val="left"/>
        <w:tblInd w:w="0" w:type="dxa"/>
        <w:tblCellMar>
          <w:top w:w="0" w:type="dxa"/>
          <w:left w:w="0" w:type="dxa"/>
          <w:bottom w:w="0" w:type="dxa"/>
          <w:right w:w="0" w:type="dxa"/>
        </w:tblCellMar>
      </w:tblPr>
      <w:tblGrid>
        <w:gridCol w:w="75"/>
        <w:gridCol w:w="110"/>
        <w:gridCol w:w="60"/>
        <w:gridCol w:w="4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35" w:type="dxa"/>
            <w:tcBorders/>
            <w:shd w:fill="auto" w:val="clear"/>
            <w:vAlign w:val="center"/>
          </w:tcPr>
          <w:p>
            <w:pPr>
              <w:pStyle w:val="TableContents"/>
              <w:spacing w:before="0" w:after="0"/>
              <w:jc w:val="left"/>
              <w:rPr/>
            </w:pPr>
            <w:r>
              <w:rPr/>
              <w:t>“</w:t>
            </w:r>
            <w:r>
              <w:rPr>
                <w:rFonts w:ascii="Times New Roman" w:hAnsi="Times New Roman"/>
                <w:sz w:val="20"/>
              </w:rPr>
              <w:t xml:space="preserve">the Philippines” refers to the Republic of the Philippines; </w:t>
            </w:r>
          </w:p>
        </w:tc>
      </w:tr>
    </w:tbl>
    <w:p>
      <w:pPr>
        <w:pStyle w:val="TextBody"/>
        <w:spacing w:before="0" w:after="0"/>
        <w:jc w:val="left"/>
        <w:rPr/>
      </w:pPr>
      <w:r>
        <w:rPr/>
        <w:t> </w:t>
      </w:r>
    </w:p>
    <w:tbl>
      <w:tblPr>
        <w:tblW w:w="6280" w:type="dxa"/>
        <w:jc w:val="left"/>
        <w:tblInd w:w="0" w:type="dxa"/>
        <w:tblCellMar>
          <w:top w:w="0" w:type="dxa"/>
          <w:left w:w="0" w:type="dxa"/>
          <w:bottom w:w="0" w:type="dxa"/>
          <w:right w:w="0" w:type="dxa"/>
        </w:tblCellMar>
      </w:tblPr>
      <w:tblGrid>
        <w:gridCol w:w="75"/>
        <w:gridCol w:w="110"/>
        <w:gridCol w:w="60"/>
        <w:gridCol w:w="60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35" w:type="dxa"/>
            <w:tcBorders/>
            <w:shd w:fill="auto" w:val="clear"/>
            <w:vAlign w:val="center"/>
          </w:tcPr>
          <w:p>
            <w:pPr>
              <w:pStyle w:val="TableContents"/>
              <w:spacing w:before="0" w:after="0"/>
              <w:jc w:val="left"/>
              <w:rPr/>
            </w:pPr>
            <w:r>
              <w:rPr/>
              <w:t>“</w:t>
            </w:r>
            <w:r>
              <w:rPr>
                <w:rFonts w:ascii="Times New Roman" w:hAnsi="Times New Roman"/>
                <w:sz w:val="20"/>
              </w:rPr>
              <w:t xml:space="preserve">TWD” and “New Taiwan dollar(s)” refer to the legal currency of Taiwan; </w:t>
            </w:r>
          </w:p>
        </w:tc>
      </w:tr>
    </w:tbl>
    <w:p>
      <w:pPr>
        <w:pStyle w:val="TextBody"/>
        <w:spacing w:before="0" w:after="0"/>
        <w:jc w:val="left"/>
        <w:rPr/>
      </w:pPr>
      <w:r>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pPr>
            <w:r>
              <w:rPr/>
              <w:t>“</w:t>
            </w:r>
            <w:r>
              <w:rPr>
                <w:rFonts w:ascii="Times New Roman" w:hAnsi="Times New Roman"/>
                <w:sz w:val="20"/>
              </w:rPr>
              <w:t xml:space="preserve">US$” and “U.S. dollar(s)” refer to the legal currency of the United States; </w:t>
            </w:r>
          </w:p>
        </w:tc>
      </w:tr>
    </w:tbl>
    <w:p>
      <w:pPr>
        <w:pStyle w:val="TextBody"/>
        <w:spacing w:before="0" w:after="0"/>
        <w:jc w:val="left"/>
        <w:rPr/>
      </w:pPr>
      <w:r>
        <w:rPr/>
        <w:t> </w:t>
      </w:r>
    </w:p>
    <w:tbl>
      <w:tblPr>
        <w:tblW w:w="6565" w:type="dxa"/>
        <w:jc w:val="left"/>
        <w:tblInd w:w="0" w:type="dxa"/>
        <w:tblCellMar>
          <w:top w:w="0" w:type="dxa"/>
          <w:left w:w="0" w:type="dxa"/>
          <w:bottom w:w="0" w:type="dxa"/>
          <w:right w:w="0" w:type="dxa"/>
        </w:tblCellMar>
      </w:tblPr>
      <w:tblGrid>
        <w:gridCol w:w="75"/>
        <w:gridCol w:w="110"/>
        <w:gridCol w:w="6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20" w:type="dxa"/>
            <w:tcBorders/>
            <w:shd w:fill="auto" w:val="clear"/>
            <w:vAlign w:val="center"/>
          </w:tcPr>
          <w:p>
            <w:pPr>
              <w:pStyle w:val="TableContents"/>
              <w:spacing w:before="0" w:after="0"/>
              <w:jc w:val="left"/>
              <w:rPr/>
            </w:pPr>
            <w:r>
              <w:rPr/>
              <w:t>“</w:t>
            </w:r>
            <w:r>
              <w:rPr>
                <w:rFonts w:ascii="Times New Roman" w:hAnsi="Times New Roman"/>
                <w:sz w:val="20"/>
              </w:rPr>
              <w:t xml:space="preserve">U.S. GAAP” refers to the U.S. generally accepted accounting principles;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we”, “us”, “our”, “our Company”, “the Company” and “Melco” refer to Melco Resorts &amp; Entertainment Limited and, as the context requires, its predecessor entities and its consolidated subsidiaries. </w:t>
            </w:r>
          </w:p>
        </w:tc>
      </w:tr>
    </w:tbl>
    <w:p>
      <w:pPr>
        <w:pStyle w:val="TextBody"/>
        <w:spacing w:before="240" w:after="0"/>
        <w:jc w:val="left"/>
        <w:rPr>
          <w:rFonts w:ascii="Times New Roman" w:hAnsi="Times New Roman"/>
          <w:sz w:val="20"/>
        </w:rPr>
      </w:pPr>
      <w:r>
        <w:rPr>
          <w:rFonts w:ascii="Times New Roman" w:hAnsi="Times New Roman"/>
          <w:sz w:val="20"/>
        </w:rPr>
        <w:t xml:space="preserve">This annual report on Form 20-F includes our audited consolidated financial statements for the years ended December 31, 2022, 2021 and 2020 and as of December 31, 2022 and 2021. </w:t>
      </w:r>
    </w:p>
    <w:p>
      <w:pPr>
        <w:pStyle w:val="TextBody"/>
        <w:spacing w:before="240" w:after="0"/>
        <w:jc w:val="left"/>
        <w:rPr>
          <w:rFonts w:ascii="Times New Roman" w:hAnsi="Times New Roman"/>
          <w:sz w:val="20"/>
        </w:rPr>
      </w:pPr>
      <w:r>
        <w:rPr>
          <w:rFonts w:ascii="Times New Roman" w:hAnsi="Times New Roman"/>
          <w:sz w:val="20"/>
        </w:rPr>
        <w:t xml:space="preserve">Any discrepancies in any table between totals and sums of amounts listed therein are due to rounding. Accordingly, figures shown as totals in certain tables may not be an arithmetic aggregation of the figures preceding them.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rom396630_2"/>
      <w:bookmarkEnd w:id="4"/>
      <w:r>
        <w:rPr>
          <w:rFonts w:ascii="Times New Roman" w:hAnsi="Times New Roman"/>
          <w:b/>
          <w:sz w:val="20"/>
        </w:rPr>
        <w:t xml:space="preserve">GLOSSARY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486"/>
        <w:gridCol w:w="120"/>
        <w:gridCol w:w="8599"/>
      </w:tblGrid>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9"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average daily rate”</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calculated by dividing total room revenues including complimentary rooms (less service charges, if any) by total rooms occupied, including complimentary rooms, i.e., average price of occupied rooms per day</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cage”</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 secure room within a casino with a facility that allows patrons to carry out transactions required to participate in gaming activities, such as exchange of cash for chips and exchange of chips for cash or other chips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chip”</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round token that is used on casino gaming tables in lieu of cash</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concession”</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dealer”</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 casino employee who takes and pays out wagers or otherwise oversees a gaming table</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drop”</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the amount of cash to purchase gaming chips and promotional vouchers that is deposited in a gaming table’s drop box, plus gaming chips purchased at the casino cage</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drop box”</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 box or container that serves as a repository for cash, chip purchase vouchers, credit markers and forms used to record movements in the chip inventory on each table game</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electronic gaming table”</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table with an electronic or computerized wagering and payment system that allow players to place bets from multiple-player gaming seats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gaming machine”</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slot machine and/or electronic gaming table</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gaming machine handle”</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the total amount wagered in gaming machines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gaming machine win rate”</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gaming machine win (calculated before non-discretionary incentives (including our point-loyalty programs) and allocating casino revenues related to goods and services provided to gaming patrons on a complimentary basis) expressed as a percentage of gaming machine handle</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gaming promoter”</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concessionaire</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integrated resort”</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 resort which provides customers with a combination of hotel accommodations, casinos or gaming areas, retail and dining facilities, MICE space, entertainment venues and spas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junket player”</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 player sourced by gaming promoters to play in the VIP gaming rooms or areas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marker”</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evidence of indebtedness by a player to the casino or gaming operator</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mass market patron”</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a customer who plays in the mass market segment</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mass market segment”</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consists of both table games and gaming machines played by mass market players primarily for cash stakes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8719" w:type="dxa"/>
            <w:gridSpan w:val="2"/>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pPr>
            <w:r>
              <w:rPr/>
              <w:t>“</w:t>
            </w:r>
            <w:r>
              <w:rPr/>
              <w:t>mass market table games drop”</w:t>
            </w:r>
          </w:p>
        </w:tc>
        <w:tc>
          <w:tcPr>
            <w:tcW w:w="120" w:type="dxa"/>
            <w:tcBorders/>
            <w:shd w:fill="auto" w:val="clear"/>
            <w:vAlign w:val="center"/>
          </w:tcPr>
          <w:p>
            <w:pPr>
              <w:pStyle w:val="TableContents"/>
              <w:spacing w:before="0" w:after="283"/>
              <w:rPr/>
            </w:pPr>
            <w:r>
              <w:rPr/>
              <w:t>  </w:t>
            </w:r>
          </w:p>
        </w:tc>
        <w:tc>
          <w:tcPr>
            <w:tcW w:w="8599" w:type="dxa"/>
            <w:tcBorders/>
            <w:shd w:fill="auto" w:val="clear"/>
            <w:vAlign w:val="center"/>
          </w:tcPr>
          <w:p>
            <w:pPr>
              <w:pStyle w:val="TableContents"/>
              <w:spacing w:before="0" w:after="283"/>
              <w:rPr/>
            </w:pPr>
            <w:r>
              <w:rPr/>
              <w:t>the amount of table games drop in the mass market table games segment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367"/>
        <w:gridCol w:w="120"/>
        <w:gridCol w:w="7718"/>
      </w:tblGrid>
      <w:tr>
        <w:trPr/>
        <w:tc>
          <w:tcPr>
            <w:tcW w:w="23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718" w:type="dxa"/>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mass market table games hold percentage”</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mass market table games win (calculated before discounts, commissions, non-discretionary incentives (including our point-loyalty programs) and allocating casino revenues related to goods and services provided to gaming patrons on a complimentary basis) as a percentage of mass market table games drop</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mass market table games segment”</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the mass market segment consisting of mass market patrons who play table games</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MICE”</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Meetings, Incentives, Conventions and Exhibitions, an acronym commonly used to refer to tourism involving large groups brought together for an event or specific purpose</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net rolling”</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net turnover in a non-negotiable chip game</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non-negotiable chip”</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promotional casino chip that is not to be exchanged for cash</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non-rolling chip”</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chip that can be exchanged for cash, used by mass market patrons to make wagers</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occupancy rate”</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the average percentage of available hotel rooms occupied, including complimentary rooms, during a period</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premium direct player”</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a rolling chip player who is a direct customer of the concessionaire and is attracted to the casino through marketing efforts of the gaming operator</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progressive jackpot”</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a jackpot for a gaming machine or table game where the value of the jackpot increases as wagers are made; multiple gaming machines or table games may be linked together to establish one progressive jackpot</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revenue per available room” or “REVPAR”</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calculated by dividing total room revenues including complimentary rooms (less service charges, if any) by total rooms available, thereby representing a combination of hotel average daily room rates and occupancy</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rolling chip” or “VIP rolling chip”</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non-negotiable chip primarily used by rolling chip patrons to make wagers</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rolling chip patron”</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a player who primarily plays on a rolling chip or VIP rolling chip tables and typically plays for higher stakes than mass market gaming patrons</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rolling chip segment”</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consists of table games played in private VIP gaming rooms or areas by rolling chip patrons who are either premium direct players or junket players</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rolling chip volume”</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the amount of non-negotiable chips wagered and lost by the rolling chip market segment</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rolling chip win rate”</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rolling chip table games win (calculated before discounts, commissions, non-discretionary incentives (including our point-loyalty programs) and allocating casino revenues related to goods and services provided to gaming patrons on a complimentary basis) as a percentage of rolling chip volume</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slot machine”</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traditional slot or electronic gaming machine operated by a single player</w:t>
            </w:r>
          </w:p>
        </w:tc>
      </w:tr>
      <w:tr>
        <w:trPr/>
        <w:tc>
          <w:tcPr>
            <w:tcW w:w="2367" w:type="dxa"/>
            <w:tcBorders/>
            <w:shd w:fill="auto" w:val="clear"/>
            <w:vAlign w:val="center"/>
          </w:tcPr>
          <w:p>
            <w:pPr>
              <w:pStyle w:val="TableContents"/>
              <w:spacing w:before="0" w:after="283"/>
              <w:rPr>
                <w:sz w:val="4"/>
                <w:szCs w:val="4"/>
              </w:rPr>
            </w:pPr>
            <w:r>
              <w:rPr>
                <w:sz w:val="4"/>
                <w:szCs w:val="4"/>
              </w:rPr>
            </w:r>
          </w:p>
        </w:tc>
        <w:tc>
          <w:tcPr>
            <w:tcW w:w="7838" w:type="dxa"/>
            <w:gridSpan w:val="2"/>
            <w:tcBorders/>
            <w:shd w:fill="auto" w:val="clear"/>
            <w:vAlign w:val="center"/>
          </w:tcPr>
          <w:p>
            <w:pPr>
              <w:pStyle w:val="TableContents"/>
              <w:spacing w:before="0" w:after="283"/>
              <w:rPr>
                <w:sz w:val="4"/>
                <w:szCs w:val="4"/>
              </w:rPr>
            </w:pPr>
            <w:r>
              <w:rPr>
                <w:sz w:val="4"/>
                <w:szCs w:val="4"/>
              </w:rPr>
            </w:r>
          </w:p>
        </w:tc>
      </w:tr>
      <w:tr>
        <w:trPr/>
        <w:tc>
          <w:tcPr>
            <w:tcW w:w="2367" w:type="dxa"/>
            <w:tcBorders/>
            <w:shd w:fill="auto" w:val="clear"/>
            <w:vAlign w:val="center"/>
          </w:tcPr>
          <w:p>
            <w:pPr>
              <w:pStyle w:val="TableContents"/>
              <w:spacing w:before="0" w:after="283"/>
              <w:rPr/>
            </w:pPr>
            <w:r>
              <w:rPr/>
              <w:t>“</w:t>
            </w:r>
            <w:r>
              <w:rPr/>
              <w:t>subconcession”</w:t>
            </w:r>
          </w:p>
        </w:tc>
        <w:tc>
          <w:tcPr>
            <w:tcW w:w="120" w:type="dxa"/>
            <w:tcBorders/>
            <w:shd w:fill="auto" w:val="clear"/>
            <w:vAlign w:val="center"/>
          </w:tcPr>
          <w:p>
            <w:pPr>
              <w:pStyle w:val="TableContents"/>
              <w:spacing w:before="0" w:after="283"/>
              <w:rPr/>
            </w:pPr>
            <w:r>
              <w:rPr/>
              <w:t>  </w:t>
            </w:r>
          </w:p>
        </w:tc>
        <w:tc>
          <w:tcPr>
            <w:tcW w:w="7718" w:type="dxa"/>
            <w:tcBorders/>
            <w:shd w:fill="auto" w:val="clear"/>
            <w:vAlign w:val="center"/>
          </w:tcPr>
          <w:p>
            <w:pPr>
              <w:pStyle w:val="TableContents"/>
              <w:spacing w:before="0" w:after="283"/>
              <w:rPr/>
            </w:pPr>
            <w:r>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027"/>
        <w:gridCol w:w="120"/>
        <w:gridCol w:w="9058"/>
      </w:tblGrid>
      <w:tr>
        <w:trPr/>
        <w:tc>
          <w:tcPr>
            <w:tcW w:w="10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58" w:type="dxa"/>
            <w:tcBorders/>
            <w:shd w:fill="auto" w:val="clear"/>
            <w:vAlign w:val="center"/>
          </w:tcPr>
          <w:p>
            <w:pPr>
              <w:pStyle w:val="TableContents"/>
              <w:spacing w:before="0" w:after="283"/>
              <w:rPr>
                <w:sz w:val="4"/>
                <w:szCs w:val="4"/>
              </w:rPr>
            </w:pPr>
            <w:r>
              <w:rPr>
                <w:sz w:val="4"/>
                <w:szCs w:val="4"/>
              </w:rPr>
            </w:r>
          </w:p>
        </w:tc>
      </w:tr>
      <w:tr>
        <w:trPr/>
        <w:tc>
          <w:tcPr>
            <w:tcW w:w="1027" w:type="dxa"/>
            <w:tcBorders/>
            <w:shd w:fill="auto" w:val="clear"/>
            <w:vAlign w:val="center"/>
          </w:tcPr>
          <w:p>
            <w:pPr>
              <w:pStyle w:val="TableContents"/>
              <w:spacing w:before="0" w:after="283"/>
              <w:rPr/>
            </w:pPr>
            <w:r>
              <w:rPr/>
              <w:t>“</w:t>
            </w:r>
            <w:r>
              <w:rPr/>
              <w:t>table games win”</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the amount of wagers won net of wagers lost on gaming tables that is retained and recorded as casino revenues. Table games win is calculated before discounts, commissions, non-discretionary incentives (including our point-loyalty programs) and allocating casino revenues related to goods and services provided to gaming patrons on a complimentary basis</w:t>
            </w:r>
          </w:p>
        </w:tc>
      </w:tr>
      <w:tr>
        <w:trPr/>
        <w:tc>
          <w:tcPr>
            <w:tcW w:w="1027" w:type="dxa"/>
            <w:tcBorders/>
            <w:shd w:fill="auto" w:val="clear"/>
            <w:vAlign w:val="center"/>
          </w:tcPr>
          <w:p>
            <w:pPr>
              <w:pStyle w:val="TableContents"/>
              <w:spacing w:before="0" w:after="283"/>
              <w:rPr>
                <w:sz w:val="4"/>
                <w:szCs w:val="4"/>
              </w:rPr>
            </w:pPr>
            <w:r>
              <w:rPr>
                <w:sz w:val="4"/>
                <w:szCs w:val="4"/>
              </w:rPr>
            </w:r>
          </w:p>
        </w:tc>
        <w:tc>
          <w:tcPr>
            <w:tcW w:w="9178" w:type="dxa"/>
            <w:gridSpan w:val="2"/>
            <w:tcBorders/>
            <w:shd w:fill="auto" w:val="clear"/>
            <w:vAlign w:val="center"/>
          </w:tcPr>
          <w:p>
            <w:pPr>
              <w:pStyle w:val="TableContents"/>
              <w:spacing w:before="0" w:after="283"/>
              <w:rPr>
                <w:sz w:val="4"/>
                <w:szCs w:val="4"/>
              </w:rPr>
            </w:pPr>
            <w:r>
              <w:rPr>
                <w:sz w:val="4"/>
                <w:szCs w:val="4"/>
              </w:rPr>
            </w:r>
          </w:p>
        </w:tc>
      </w:tr>
      <w:tr>
        <w:trPr/>
        <w:tc>
          <w:tcPr>
            <w:tcW w:w="1027" w:type="dxa"/>
            <w:tcBorders/>
            <w:shd w:fill="auto" w:val="clear"/>
            <w:vAlign w:val="center"/>
          </w:tcPr>
          <w:p>
            <w:pPr>
              <w:pStyle w:val="TableContents"/>
              <w:spacing w:before="0" w:after="283"/>
              <w:rPr/>
            </w:pPr>
            <w:r>
              <w:rPr/>
              <w:t>“</w:t>
            </w:r>
            <w:r>
              <w:rPr/>
              <w:t>VIP gaming room”</w:t>
            </w:r>
          </w:p>
        </w:tc>
        <w:tc>
          <w:tcPr>
            <w:tcW w:w="120" w:type="dxa"/>
            <w:tcBorders/>
            <w:shd w:fill="auto" w:val="clear"/>
            <w:vAlign w:val="center"/>
          </w:tcPr>
          <w:p>
            <w:pPr>
              <w:pStyle w:val="TableContents"/>
              <w:spacing w:before="0" w:after="283"/>
              <w:rPr/>
            </w:pPr>
            <w:r>
              <w:rPr/>
              <w:t>  </w:t>
            </w:r>
          </w:p>
        </w:tc>
        <w:tc>
          <w:tcPr>
            <w:tcW w:w="9058" w:type="dxa"/>
            <w:tcBorders/>
            <w:shd w:fill="auto" w:val="clear"/>
            <w:vAlign w:val="center"/>
          </w:tcPr>
          <w:p>
            <w:pPr>
              <w:pStyle w:val="TableContents"/>
              <w:spacing w:before="0" w:after="283"/>
              <w:rPr/>
            </w:pPr>
            <w:r>
              <w:rPr/>
              <w:t>gaming rooms or areas that have restricted access to rolling chip patrons and typically offer more personalized service than the general mass market gaming areas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rom396630_3"/>
      <w:bookmarkEnd w:id="5"/>
      <w:r>
        <w:rPr>
          <w:rFonts w:ascii="Times New Roman" w:hAnsi="Times New Roman"/>
          <w:b/>
          <w:sz w:val="20"/>
        </w:rPr>
        <w:t xml:space="preserve">SPECIAL NOTE REGARDING FORWARD-LOOKING STATEMENTS </w:t>
      </w:r>
    </w:p>
    <w:p>
      <w:pPr>
        <w:pStyle w:val="TextBody"/>
        <w:spacing w:before="120" w:after="0"/>
        <w:jc w:val="left"/>
        <w:rPr>
          <w:rFonts w:ascii="Times New Roman" w:hAnsi="Times New Roman"/>
          <w:sz w:val="20"/>
        </w:rPr>
      </w:pPr>
      <w:r>
        <w:rPr>
          <w:rFonts w:ascii="Times New Roman" w:hAnsi="Times New Roman"/>
          <w:sz w:val="20"/>
        </w:rPr>
        <w:t xml:space="preserve">This annual report on Form 20-F contains forward-looking statements within the meaning of Section 27A of the Securities Act of 1933, as amended, and Section 21E of the Securities Exchange Act of 1934, as amended. These forward-looking statements relate to future events, including our future operating results and conditions, our prospects and our future financial performance and condition, all of which are largely based on our current expectations and projections.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across various geographies including Macau, the Philippines and Cyprus, new risk factors may emerge from time to time and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 </w:t>
      </w:r>
    </w:p>
    <w:p>
      <w:pPr>
        <w:pStyle w:val="TextBody"/>
        <w:spacing w:before="240" w:after="0"/>
        <w:jc w:val="left"/>
        <w:rPr>
          <w:rFonts w:ascii="Times New Roman" w:hAnsi="Times New Roman"/>
          <w:sz w:val="20"/>
        </w:rPr>
      </w:pPr>
      <w:r>
        <w:rPr>
          <w:rFonts w:ascii="Times New Roman" w:hAnsi="Times New Roman"/>
          <w:sz w:val="20"/>
        </w:rPr>
        <w:t xml:space="preserve">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 </w:t>
      </w:r>
    </w:p>
    <w:p>
      <w:pPr>
        <w:pStyle w:val="TextBody"/>
        <w:spacing w:before="0" w:after="0"/>
        <w:jc w:val="left"/>
        <w:rPr/>
      </w:pPr>
      <w:r>
        <w:rPr/>
        <w:t> </w:t>
      </w:r>
    </w:p>
    <w:tbl>
      <w:tblPr>
        <w:tblW w:w="2290" w:type="dxa"/>
        <w:jc w:val="left"/>
        <w:tblInd w:w="0" w:type="dxa"/>
        <w:tblCellMar>
          <w:top w:w="0" w:type="dxa"/>
          <w:left w:w="0" w:type="dxa"/>
          <w:bottom w:w="0" w:type="dxa"/>
          <w:right w:w="0" w:type="dxa"/>
        </w:tblCellMar>
      </w:tblPr>
      <w:tblGrid>
        <w:gridCol w:w="75"/>
        <w:gridCol w:w="110"/>
        <w:gridCol w:w="60"/>
        <w:gridCol w:w="2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goals and strategies;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the global COVID-19 outbreak on our business, financial results and liquidity, which could worsen and persist for an unknown duration;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reduced access to our target markets due to travel restrictions, and the potential long-term impact on customer retention;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restrictions or conditions on visitation by citizens of the PRC to Macau, the Philippines and Cyprus, including in connection with COVID-19, or the period of time required for tourism to return to pre-pandemic levels (if at all);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on the travel and leisure industry from factors such as an outbreak of an infectious disease, such as COVID-19, extreme weather patterns or natural disasters, military conflicts and any future security alerts and/or terrorist attacks or other acts of violence;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domestic or global political and economic conditions, including in the PRC and Hong Kong, which may impact levels of travel, leisure and consumer spending; </w:t>
            </w:r>
          </w:p>
        </w:tc>
      </w:tr>
    </w:tbl>
    <w:p>
      <w:pPr>
        <w:pStyle w:val="TextBody"/>
        <w:spacing w:before="0" w:after="0"/>
        <w:jc w:val="left"/>
        <w:rPr/>
      </w:pPr>
      <w:r>
        <w:rPr/>
        <w:t> </w:t>
      </w:r>
    </w:p>
    <w:tbl>
      <w:tblPr>
        <w:tblW w:w="4090" w:type="dxa"/>
        <w:jc w:val="left"/>
        <w:tblInd w:w="0" w:type="dxa"/>
        <w:tblCellMar>
          <w:top w:w="0" w:type="dxa"/>
          <w:left w:w="0" w:type="dxa"/>
          <w:bottom w:w="0" w:type="dxa"/>
          <w:right w:w="0" w:type="dxa"/>
        </w:tblCellMar>
      </w:tblPr>
      <w:tblGrid>
        <w:gridCol w:w="75"/>
        <w:gridCol w:w="110"/>
        <w:gridCol w:w="60"/>
        <w:gridCol w:w="3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operate our casinos; </w:t>
            </w:r>
          </w:p>
        </w:tc>
      </w:tr>
    </w:tbl>
    <w:p>
      <w:pPr>
        <w:pStyle w:val="TextBody"/>
        <w:spacing w:before="0" w:after="0"/>
        <w:jc w:val="left"/>
        <w:rPr/>
      </w:pPr>
      <w:r>
        <w:rPr/>
        <w:t> </w:t>
      </w:r>
    </w:p>
    <w:tbl>
      <w:tblPr>
        <w:tblW w:w="9760" w:type="dxa"/>
        <w:jc w:val="left"/>
        <w:tblInd w:w="0" w:type="dxa"/>
        <w:tblCellMar>
          <w:top w:w="0" w:type="dxa"/>
          <w:left w:w="0" w:type="dxa"/>
          <w:bottom w:w="0" w:type="dxa"/>
          <w:right w:w="0" w:type="dxa"/>
        </w:tblCellMar>
      </w:tblPr>
      <w:tblGrid>
        <w:gridCol w:w="75"/>
        <w:gridCol w:w="110"/>
        <w:gridCol w:w="60"/>
        <w:gridCol w:w="95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obtain or maintain all required governmental approvals, authorizations and licenses for our operations; </w:t>
            </w:r>
          </w:p>
        </w:tc>
      </w:tr>
    </w:tbl>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75"/>
        <w:gridCol w:w="110"/>
        <w:gridCol w:w="60"/>
        <w:gridCol w:w="7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compliance with conditions and covenants under the existing and future indebtedness;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laws, rules and regulations which could bar the trading of the American depositary shares of our Company and of SCI in the United States such as the Holding Foreign Companies Accountable Act and the rules promulgated thereunder; </w:t>
            </w:r>
          </w:p>
        </w:tc>
      </w:tr>
    </w:tbl>
    <w:p>
      <w:pPr>
        <w:pStyle w:val="TextBody"/>
        <w:spacing w:before="0" w:after="0"/>
        <w:jc w:val="left"/>
        <w:rPr/>
      </w:pPr>
      <w:r>
        <w:rPr/>
        <w:t> </w:t>
      </w:r>
    </w:p>
    <w:tbl>
      <w:tblPr>
        <w:tblW w:w="3205" w:type="dxa"/>
        <w:jc w:val="left"/>
        <w:tblInd w:w="0" w:type="dxa"/>
        <w:tblCellMar>
          <w:top w:w="0" w:type="dxa"/>
          <w:left w:w="0" w:type="dxa"/>
          <w:bottom w:w="0" w:type="dxa"/>
          <w:right w:w="0" w:type="dxa"/>
        </w:tblCellMar>
      </w:tblPr>
      <w:tblGrid>
        <w:gridCol w:w="75"/>
        <w:gridCol w:w="110"/>
        <w:gridCol w:w="60"/>
        <w:gridCol w:w="2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capital and credit market volatility; </w:t>
            </w:r>
          </w:p>
        </w:tc>
      </w:tr>
    </w:tbl>
    <w:p>
      <w:pPr>
        <w:pStyle w:val="TextBody"/>
        <w:spacing w:before="0" w:after="0"/>
        <w:jc w:val="left"/>
        <w:rPr/>
      </w:pPr>
      <w:r>
        <w:rPr/>
        <w:t> </w:t>
      </w:r>
    </w:p>
    <w:tbl>
      <w:tblPr>
        <w:tblW w:w="5110" w:type="dxa"/>
        <w:jc w:val="left"/>
        <w:tblInd w:w="0" w:type="dxa"/>
        <w:tblCellMar>
          <w:top w:w="0" w:type="dxa"/>
          <w:left w:w="0" w:type="dxa"/>
          <w:bottom w:w="0" w:type="dxa"/>
          <w:right w:w="0" w:type="dxa"/>
        </w:tblCellMar>
      </w:tblPr>
      <w:tblGrid>
        <w:gridCol w:w="75"/>
        <w:gridCol w:w="110"/>
        <w:gridCol w:w="60"/>
        <w:gridCol w:w="48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raise additional capital, if and when required; </w:t>
            </w:r>
          </w:p>
        </w:tc>
      </w:tr>
    </w:tbl>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75"/>
        <w:gridCol w:w="110"/>
        <w:gridCol w:w="60"/>
        <w:gridCol w:w="6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future business development, results of operations and financial condition;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tbl>
      <w:tblPr>
        <w:tblW w:w="7165" w:type="dxa"/>
        <w:jc w:val="left"/>
        <w:tblInd w:w="0" w:type="dxa"/>
        <w:tblCellMar>
          <w:top w:w="0" w:type="dxa"/>
          <w:left w:w="0" w:type="dxa"/>
          <w:bottom w:w="0" w:type="dxa"/>
          <w:right w:w="0" w:type="dxa"/>
        </w:tblCellMar>
      </w:tblPr>
      <w:tblGrid>
        <w:gridCol w:w="75"/>
        <w:gridCol w:w="110"/>
        <w:gridCol w:w="60"/>
        <w:gridCol w:w="6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fluctuations in the gaming and leisure market in Macau, the Philippines and Cyprus; </w:t>
            </w:r>
          </w:p>
        </w:tc>
      </w:tr>
    </w:tbl>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75"/>
        <w:gridCol w:w="110"/>
        <w:gridCol w:w="60"/>
        <w:gridCol w:w="74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liberalization of travel restrictions on PRC citizens and convertibility of the Renminbi; </w:t>
            </w:r>
          </w:p>
        </w:tc>
      </w:tr>
    </w:tbl>
    <w:p>
      <w:pPr>
        <w:pStyle w:val="TextBody"/>
        <w:spacing w:before="0" w:after="0"/>
        <w:jc w:val="left"/>
        <w:rPr/>
      </w:pPr>
      <w:r>
        <w:rPr/>
        <w:t> </w:t>
      </w:r>
    </w:p>
    <w:tbl>
      <w:tblPr>
        <w:tblW w:w="6220" w:type="dxa"/>
        <w:jc w:val="left"/>
        <w:tblInd w:w="0" w:type="dxa"/>
        <w:tblCellMar>
          <w:top w:w="0" w:type="dxa"/>
          <w:left w:w="0" w:type="dxa"/>
          <w:bottom w:w="0" w:type="dxa"/>
          <w:right w:w="0" w:type="dxa"/>
        </w:tblCellMar>
      </w:tblPr>
      <w:tblGrid>
        <w:gridCol w:w="75"/>
        <w:gridCol w:w="110"/>
        <w:gridCol w:w="60"/>
        <w:gridCol w:w="5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tightened control of certain cross-border fund transfers from the PRC; </w:t>
            </w:r>
          </w:p>
        </w:tc>
      </w:tr>
    </w:tbl>
    <w:p>
      <w:pPr>
        <w:pStyle w:val="TextBody"/>
        <w:spacing w:before="0" w:after="0"/>
        <w:jc w:val="left"/>
        <w:rPr/>
      </w:pPr>
      <w:r>
        <w:rPr/>
        <w:t> </w:t>
      </w:r>
    </w:p>
    <w:tbl>
      <w:tblPr>
        <w:tblW w:w="3925" w:type="dxa"/>
        <w:jc w:val="left"/>
        <w:tblInd w:w="0" w:type="dxa"/>
        <w:tblCellMar>
          <w:top w:w="0" w:type="dxa"/>
          <w:left w:w="0" w:type="dxa"/>
          <w:bottom w:w="0" w:type="dxa"/>
          <w:right w:w="0" w:type="dxa"/>
        </w:tblCellMar>
      </w:tblPr>
      <w:tblGrid>
        <w:gridCol w:w="75"/>
        <w:gridCol w:w="110"/>
        <w:gridCol w:w="60"/>
        <w:gridCol w:w="3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availability of credit for gaming patrons;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uncertainty of tourist behavior related to spending and vacationing at casino resorts in Macau, the Philippines and Cyprus; </w:t>
            </w:r>
          </w:p>
        </w:tc>
      </w:tr>
    </w:tbl>
    <w:p>
      <w:pPr>
        <w:pStyle w:val="TextBody"/>
        <w:spacing w:before="0" w:after="0"/>
        <w:jc w:val="left"/>
        <w:rPr/>
      </w:pPr>
      <w:r>
        <w:rPr/>
        <w:t> </w:t>
      </w:r>
    </w:p>
    <w:tbl>
      <w:tblPr>
        <w:tblW w:w="7720" w:type="dxa"/>
        <w:jc w:val="left"/>
        <w:tblInd w:w="0" w:type="dxa"/>
        <w:tblCellMar>
          <w:top w:w="0" w:type="dxa"/>
          <w:left w:w="0" w:type="dxa"/>
          <w:bottom w:w="0" w:type="dxa"/>
          <w:right w:w="0" w:type="dxa"/>
        </w:tblCellMar>
      </w:tblPr>
      <w:tblGrid>
        <w:gridCol w:w="75"/>
        <w:gridCol w:w="110"/>
        <w:gridCol w:w="60"/>
        <w:gridCol w:w="7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fluctuations in occupancy rates and average daily room rates in Macau and the Philippines; </w:t>
            </w:r>
          </w:p>
        </w:tc>
      </w:tr>
    </w:tbl>
    <w:p>
      <w:pPr>
        <w:pStyle w:val="TextBody"/>
        <w:spacing w:before="0" w:after="0"/>
        <w:jc w:val="left"/>
        <w:rPr/>
      </w:pPr>
      <w:r>
        <w:rPr/>
        <w:t> </w:t>
      </w:r>
    </w:p>
    <w:tbl>
      <w:tblPr>
        <w:tblW w:w="7990" w:type="dxa"/>
        <w:jc w:val="left"/>
        <w:tblInd w:w="0" w:type="dxa"/>
        <w:tblCellMar>
          <w:top w:w="0" w:type="dxa"/>
          <w:left w:w="0" w:type="dxa"/>
          <w:bottom w:w="0" w:type="dxa"/>
          <w:right w:w="0" w:type="dxa"/>
        </w:tblCellMar>
      </w:tblPr>
      <w:tblGrid>
        <w:gridCol w:w="75"/>
        <w:gridCol w:w="110"/>
        <w:gridCol w:w="60"/>
        <w:gridCol w:w="77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continue to develop new technologies and/or upgrade our existing technologies; </w:t>
            </w:r>
          </w:p>
        </w:tc>
      </w:tr>
    </w:tbl>
    <w:p>
      <w:pPr>
        <w:pStyle w:val="TextBody"/>
        <w:spacing w:before="0" w:after="0"/>
        <w:jc w:val="left"/>
        <w:rPr/>
      </w:pPr>
      <w:r>
        <w:rPr/>
        <w:t> </w:t>
      </w:r>
    </w:p>
    <w:tbl>
      <w:tblPr>
        <w:tblW w:w="9505" w:type="dxa"/>
        <w:jc w:val="left"/>
        <w:tblInd w:w="0" w:type="dxa"/>
        <w:tblCellMar>
          <w:top w:w="0" w:type="dxa"/>
          <w:left w:w="0" w:type="dxa"/>
          <w:bottom w:w="0" w:type="dxa"/>
          <w:right w:w="0" w:type="dxa"/>
        </w:tblCellMar>
      </w:tblPr>
      <w:tblGrid>
        <w:gridCol w:w="75"/>
        <w:gridCol w:w="110"/>
        <w:gridCol w:w="60"/>
        <w:gridCol w:w="92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cybersecurity risks including misappropriation of customer information or other breaches of information security; </w:t>
            </w:r>
          </w:p>
        </w:tc>
      </w:tr>
    </w:tbl>
    <w:p>
      <w:pPr>
        <w:pStyle w:val="TextBody"/>
        <w:spacing w:before="0" w:after="0"/>
        <w:jc w:val="left"/>
        <w:rPr/>
      </w:pPr>
      <w:r>
        <w:rPr/>
        <w:t> </w:t>
      </w:r>
    </w:p>
    <w:tbl>
      <w:tblPr>
        <w:tblW w:w="4600" w:type="dxa"/>
        <w:jc w:val="left"/>
        <w:tblInd w:w="0" w:type="dxa"/>
        <w:tblCellMar>
          <w:top w:w="0" w:type="dxa"/>
          <w:left w:w="0" w:type="dxa"/>
          <w:bottom w:w="0" w:type="dxa"/>
          <w:right w:w="0" w:type="dxa"/>
        </w:tblCellMar>
      </w:tblPr>
      <w:tblGrid>
        <w:gridCol w:w="75"/>
        <w:gridCol w:w="110"/>
        <w:gridCol w:w="60"/>
        <w:gridCol w:w="4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increased competition from other casino hotel and resort projects in Macau and elsewhere in Asia, including the other concessionaires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10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finalize the licensing procedures in relation to the Studio City Phase 2 project in accordance with Studio City land concession requirements;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complete the City of Dreams Mediterranean project in accordance with the Cyprus License requirements, our business plan, completion time and within budget;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entering into new development and construction projects and new ventures in or outside of Macau, the Philippines or Cyprus;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construction cost estimates and completion time estimates for our development projects, including projected variances from budgeted costs and timing;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government policies, laws and regulations relating to the leisure and gaming industry, including the implementation of the new gaming law in Macau, and the legalization of gaming in other jurisdictions;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significantly increased regulatory scrutiny on Macau gaming promoters’ operations that has resulted in the cessation of business by many gaming promoters in Macau; </w:t>
            </w:r>
          </w:p>
        </w:tc>
      </w:tr>
    </w:tbl>
    <w:p>
      <w:pPr>
        <w:pStyle w:val="TextBody"/>
        <w:spacing w:before="0" w:after="0"/>
        <w:jc w:val="left"/>
        <w:rPr/>
      </w:pPr>
      <w:r>
        <w:rPr/>
        <w:t> </w:t>
      </w:r>
    </w:p>
    <w:tbl>
      <w:tblPr>
        <w:tblW w:w="6745" w:type="dxa"/>
        <w:jc w:val="left"/>
        <w:tblInd w:w="0" w:type="dxa"/>
        <w:tblCellMar>
          <w:top w:w="0" w:type="dxa"/>
          <w:left w:w="0" w:type="dxa"/>
          <w:bottom w:w="0" w:type="dxa"/>
          <w:right w:w="0" w:type="dxa"/>
        </w:tblCellMar>
      </w:tblPr>
      <w:tblGrid>
        <w:gridCol w:w="75"/>
        <w:gridCol w:w="110"/>
        <w:gridCol w:w="60"/>
        <w:gridCol w:w="6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completion of infrastructure projects in Macau, the Philippines and Cyprus; </w:t>
            </w:r>
          </w:p>
        </w:tc>
      </w:tr>
    </w:tbl>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75"/>
        <w:gridCol w:w="110"/>
        <w:gridCol w:w="60"/>
        <w:gridCol w:w="3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retain and gain new customers; </w:t>
            </w:r>
          </w:p>
        </w:tc>
      </w:tr>
    </w:tbl>
    <w:p>
      <w:pPr>
        <w:pStyle w:val="TextBody"/>
        <w:spacing w:before="0" w:after="0"/>
        <w:jc w:val="left"/>
        <w:rPr/>
      </w:pPr>
      <w:r>
        <w:rPr/>
        <w:t> </w:t>
      </w:r>
    </w:p>
    <w:tbl>
      <w:tblPr>
        <w:tblW w:w="4180" w:type="dxa"/>
        <w:jc w:val="left"/>
        <w:tblInd w:w="0" w:type="dxa"/>
        <w:tblCellMar>
          <w:top w:w="0" w:type="dxa"/>
          <w:left w:w="0" w:type="dxa"/>
          <w:bottom w:w="0" w:type="dxa"/>
          <w:right w:w="0" w:type="dxa"/>
        </w:tblCellMar>
      </w:tblPr>
      <w:tblGrid>
        <w:gridCol w:w="75"/>
        <w:gridCol w:w="110"/>
        <w:gridCol w:w="60"/>
        <w:gridCol w:w="3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offer new services and attractions; </w:t>
            </w:r>
          </w:p>
        </w:tc>
      </w:tr>
    </w:tbl>
    <w:p>
      <w:pPr>
        <w:pStyle w:val="TextBody"/>
        <w:spacing w:before="0" w:after="0"/>
        <w:jc w:val="left"/>
        <w:rPr/>
      </w:pPr>
      <w:r>
        <w:rPr/>
        <w:t> </w:t>
      </w:r>
    </w:p>
    <w:tbl>
      <w:tblPr>
        <w:tblW w:w="4585" w:type="dxa"/>
        <w:jc w:val="left"/>
        <w:tblInd w:w="0" w:type="dxa"/>
        <w:tblCellMar>
          <w:top w:w="0" w:type="dxa"/>
          <w:left w:w="0" w:type="dxa"/>
          <w:bottom w:w="0" w:type="dxa"/>
          <w:right w:w="0" w:type="dxa"/>
        </w:tblCellMar>
      </w:tblPr>
      <w:tblGrid>
        <w:gridCol w:w="75"/>
        <w:gridCol w:w="110"/>
        <w:gridCol w:w="60"/>
        <w:gridCol w:w="4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outcome of any current and future litigation; and </w:t>
            </w:r>
          </w:p>
        </w:tc>
      </w:tr>
    </w:tbl>
    <w:p>
      <w:pPr>
        <w:pStyle w:val="TextBody"/>
        <w:spacing w:before="0" w:after="0"/>
        <w:jc w:val="left"/>
        <w:rPr/>
      </w:pPr>
      <w:r>
        <w:rPr/>
        <w:t> </w:t>
      </w:r>
    </w:p>
    <w:tbl>
      <w:tblPr>
        <w:tblW w:w="6385" w:type="dxa"/>
        <w:jc w:val="left"/>
        <w:tblInd w:w="0" w:type="dxa"/>
        <w:tblCellMar>
          <w:top w:w="0" w:type="dxa"/>
          <w:left w:w="0" w:type="dxa"/>
          <w:bottom w:w="0" w:type="dxa"/>
          <w:right w:w="0" w:type="dxa"/>
        </w:tblCellMar>
      </w:tblPr>
      <w:tblGrid>
        <w:gridCol w:w="75"/>
        <w:gridCol w:w="110"/>
        <w:gridCol w:w="60"/>
        <w:gridCol w:w="6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factors described under “Item 3. Key Information — D. Risk Factors.” </w:t>
            </w:r>
          </w:p>
        </w:tc>
      </w:tr>
    </w:tbl>
    <w:p>
      <w:pPr>
        <w:pStyle w:val="TextBody"/>
        <w:spacing w:before="240" w:after="0"/>
        <w:jc w:val="left"/>
        <w:rPr>
          <w:rFonts w:ascii="Times New Roman" w:hAnsi="Times New Roman"/>
          <w:sz w:val="20"/>
        </w:rPr>
      </w:pPr>
      <w:r>
        <w:rPr>
          <w:rFonts w:ascii="Times New Roman" w:hAnsi="Times New Roman"/>
          <w:sz w:val="20"/>
        </w:rPr>
        <w:t xml:space="preserve">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rom396630_3a"/>
      <w:bookmarkEnd w:id="6"/>
      <w:r>
        <w:rPr>
          <w:rFonts w:ascii="Times New Roman" w:hAnsi="Times New Roman"/>
          <w:b/>
          <w:sz w:val="20"/>
        </w:rPr>
        <w:t xml:space="preserve">EXCHANGE RATE INFORMATION </w:t>
      </w:r>
    </w:p>
    <w:p>
      <w:pPr>
        <w:pStyle w:val="TextBody"/>
        <w:spacing w:before="240" w:after="0"/>
        <w:jc w:val="left"/>
        <w:rPr>
          <w:rFonts w:ascii="Times New Roman" w:hAnsi="Times New Roman"/>
          <w:sz w:val="20"/>
        </w:rPr>
      </w:pPr>
      <w:r>
        <w:rPr>
          <w:rFonts w:ascii="Times New Roman" w:hAnsi="Times New Roman"/>
          <w:sz w:val="20"/>
        </w:rPr>
        <w:t xml:space="preserve">The majority of our current revenues are denominated in H.K. dollars, whereas our current expenses are denominated predominantly in Patacas, H.K. dollars, the Philippine peso and Euros. Unless otherwise noted, all translations from H.K. dollars to U.S. dollars and from U.S. dollars to H.K. dollars in this annual report on Form 20-F were made at a rate of HK$7.809510 to US$1.00. </w:t>
      </w:r>
    </w:p>
    <w:p>
      <w:pPr>
        <w:pStyle w:val="TextBody"/>
        <w:spacing w:before="240" w:after="0"/>
        <w:jc w:val="left"/>
        <w:rPr>
          <w:rFonts w:ascii="Times New Roman" w:hAnsi="Times New Roman"/>
          <w:sz w:val="20"/>
        </w:rPr>
      </w:pPr>
      <w:r>
        <w:rPr>
          <w:rFonts w:ascii="Times New Roman" w:hAnsi="Times New Roman"/>
          <w:sz w:val="20"/>
        </w:rPr>
        <w:t xml:space="preserve">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range and, acting through the Hong Kong Monetary Authority, has a number of means by which it may act to maintain exchange rate stability. However, no assurance can be given that the Hong Kong government will maintain the link at HK$7.75 to HK$7.85 per U.S. dollar or at all. </w:t>
      </w:r>
    </w:p>
    <w:p>
      <w:pPr>
        <w:pStyle w:val="TextBody"/>
        <w:spacing w:before="240" w:after="0"/>
        <w:jc w:val="left"/>
        <w:rPr>
          <w:rFonts w:ascii="Times New Roman" w:hAnsi="Times New Roman"/>
          <w:sz w:val="20"/>
        </w:rPr>
      </w:pPr>
      <w:r>
        <w:rPr>
          <w:rFonts w:ascii="Times New Roman" w:hAnsi="Times New Roman"/>
          <w:sz w:val="20"/>
        </w:rPr>
        <w:t xml:space="preserve">The Pataca is pegged to the H.K. dollar at a rate of HK$1.00 = MOP1.03. All translations from Patacas to U.S. dollars in this annual report on Form 20-F were made at the exchange rate of MOP8.043823 = US$1.00. This annual report on Form 20-F also contains translations of certain Renminbi, Euro, Philippine peso, Australian dollar and Singapore dollar amounts into U.S. dollars. Unless otherwise stated, all translations from Renminbi, Euros, Philippine pesos, Australian dollars and Singapore dollars to U.S. dollars in this annual report on Form 20-F were made at RMB6.923625 to US$1.00, EUR0.934290 to US$1.00, PHP56.119872 to US$1.00, AUD1.468024 to US$1.00 and SGD 1.339479 to US$1.00, respectively. </w:t>
      </w:r>
    </w:p>
    <w:p>
      <w:pPr>
        <w:pStyle w:val="TextBody"/>
        <w:spacing w:before="240" w:after="0"/>
        <w:jc w:val="left"/>
        <w:rPr>
          <w:rFonts w:ascii="Times New Roman" w:hAnsi="Times New Roman"/>
          <w:sz w:val="20"/>
        </w:rPr>
      </w:pPr>
      <w:r>
        <w:rPr>
          <w:rFonts w:ascii="Times New Roman" w:hAnsi="Times New Roman"/>
          <w:sz w:val="20"/>
        </w:rPr>
        <w:t xml:space="preserve">We make no representation that any RMB, EUR, PHP, AUD, SGC or U.S. dollar amounts could have been, or could be, converted into U.S. dollars or RMB or EUR or PHP or AUD or SGD, as the case may be, at any particular rate or at all. </w:t>
      </w:r>
    </w:p>
    <w:p>
      <w:pPr>
        <w:pStyle w:val="TextBody"/>
        <w:spacing w:before="480" w:after="0"/>
        <w:jc w:val="center"/>
        <w:rPr>
          <w:rFonts w:ascii="Times New Roman" w:hAnsi="Times New Roman"/>
          <w:b/>
          <w:sz w:val="20"/>
        </w:rPr>
      </w:pPr>
      <w:bookmarkStart w:id="7" w:name="rom396630_4"/>
      <w:bookmarkEnd w:id="7"/>
      <w:r>
        <w:rPr>
          <w:rFonts w:ascii="Times New Roman" w:hAnsi="Times New Roman"/>
          <w:b/>
          <w:sz w:val="20"/>
        </w:rPr>
        <w:t xml:space="preserve">PART I </w:t>
      </w:r>
    </w:p>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920"/>
        <w:gridCol w:w="6320"/>
      </w:tblGrid>
      <w:tr>
        <w:trPr/>
        <w:tc>
          <w:tcPr>
            <w:tcW w:w="920" w:type="dxa"/>
            <w:tcBorders/>
            <w:shd w:fill="auto" w:val="clear"/>
            <w:vAlign w:val="center"/>
          </w:tcPr>
          <w:p>
            <w:pPr>
              <w:pStyle w:val="TableContents"/>
              <w:spacing w:before="0" w:after="283"/>
              <w:jc w:val="left"/>
              <w:rPr>
                <w:b/>
              </w:rPr>
            </w:pPr>
            <w:bookmarkStart w:id="8" w:name="rom396630_5"/>
            <w:bookmarkEnd w:id="8"/>
            <w:r>
              <w:rPr>
                <w:b/>
              </w:rPr>
              <w:t>ITEM 1.</w:t>
            </w:r>
          </w:p>
        </w:tc>
        <w:tc>
          <w:tcPr>
            <w:tcW w:w="63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IDENTITY OF DIRECTORS, SENIOR MANAGEMENT AND ADVISERS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650" w:type="dxa"/>
        <w:jc w:val="left"/>
        <w:tblInd w:w="0" w:type="dxa"/>
        <w:tblCellMar>
          <w:top w:w="0" w:type="dxa"/>
          <w:left w:w="0" w:type="dxa"/>
          <w:bottom w:w="0" w:type="dxa"/>
          <w:right w:w="0" w:type="dxa"/>
        </w:tblCellMar>
      </w:tblPr>
      <w:tblGrid>
        <w:gridCol w:w="920"/>
        <w:gridCol w:w="4730"/>
      </w:tblGrid>
      <w:tr>
        <w:trPr/>
        <w:tc>
          <w:tcPr>
            <w:tcW w:w="920" w:type="dxa"/>
            <w:tcBorders/>
            <w:shd w:fill="auto" w:val="clear"/>
            <w:vAlign w:val="center"/>
          </w:tcPr>
          <w:p>
            <w:pPr>
              <w:pStyle w:val="TableContents"/>
              <w:spacing w:before="0" w:after="283"/>
              <w:jc w:val="left"/>
              <w:rPr>
                <w:b/>
              </w:rPr>
            </w:pPr>
            <w:bookmarkStart w:id="9" w:name="rom396630_6"/>
            <w:bookmarkEnd w:id="9"/>
            <w:r>
              <w:rPr>
                <w:b/>
              </w:rPr>
              <w:t>ITEM 2.</w:t>
            </w:r>
          </w:p>
        </w:tc>
        <w:tc>
          <w:tcPr>
            <w:tcW w:w="47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OFFER STATISTICS AND EXPECTED TIMETABLE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tbl>
      <w:tblPr>
        <w:tblW w:w="2890" w:type="dxa"/>
        <w:jc w:val="left"/>
        <w:tblInd w:w="0" w:type="dxa"/>
        <w:tblCellMar>
          <w:top w:w="0" w:type="dxa"/>
          <w:left w:w="0" w:type="dxa"/>
          <w:bottom w:w="0" w:type="dxa"/>
          <w:right w:w="0" w:type="dxa"/>
        </w:tblCellMar>
      </w:tblPr>
      <w:tblGrid>
        <w:gridCol w:w="920"/>
        <w:gridCol w:w="1970"/>
      </w:tblGrid>
      <w:tr>
        <w:trPr/>
        <w:tc>
          <w:tcPr>
            <w:tcW w:w="920" w:type="dxa"/>
            <w:tcBorders/>
            <w:shd w:fill="auto" w:val="clear"/>
            <w:vAlign w:val="center"/>
          </w:tcPr>
          <w:p>
            <w:pPr>
              <w:pStyle w:val="TableContents"/>
              <w:spacing w:before="0" w:after="283"/>
              <w:jc w:val="left"/>
              <w:rPr>
                <w:b/>
              </w:rPr>
            </w:pPr>
            <w:bookmarkStart w:id="10" w:name="rom396630_7"/>
            <w:bookmarkEnd w:id="10"/>
            <w:r>
              <w:rPr>
                <w:b/>
              </w:rPr>
              <w:t>ITEM 3.</w:t>
            </w:r>
          </w:p>
        </w:tc>
        <w:tc>
          <w:tcPr>
            <w:tcW w:w="19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KEY INFORMATION </w:t>
            </w:r>
          </w:p>
        </w:tc>
      </w:tr>
    </w:tbl>
    <w:p>
      <w:pPr>
        <w:pStyle w:val="TextBody"/>
        <w:spacing w:before="360" w:after="0"/>
        <w:jc w:val="center"/>
        <w:rPr>
          <w:rFonts w:ascii="Times New Roman" w:hAnsi="Times New Roman"/>
          <w:b/>
          <w:sz w:val="20"/>
        </w:rPr>
      </w:pPr>
      <w:bookmarkStart w:id="11" w:name="rom396630_8"/>
      <w:bookmarkEnd w:id="11"/>
      <w:r>
        <w:rPr>
          <w:rFonts w:ascii="Times New Roman" w:hAnsi="Times New Roman"/>
          <w:b/>
          <w:sz w:val="20"/>
        </w:rPr>
        <w:t xml:space="preserve">A. [RESERVED] </w:t>
      </w:r>
    </w:p>
    <w:p>
      <w:pPr>
        <w:pStyle w:val="TextBody"/>
        <w:spacing w:before="480" w:after="0"/>
        <w:jc w:val="center"/>
        <w:rPr>
          <w:rFonts w:ascii="Times New Roman" w:hAnsi="Times New Roman"/>
          <w:b/>
          <w:sz w:val="20"/>
        </w:rPr>
      </w:pPr>
      <w:bookmarkStart w:id="12" w:name="rom396630_9"/>
      <w:bookmarkEnd w:id="12"/>
      <w:r>
        <w:rPr>
          <w:rFonts w:ascii="Times New Roman" w:hAnsi="Times New Roman"/>
          <w:b/>
          <w:sz w:val="20"/>
        </w:rPr>
        <w:t xml:space="preserve">B. CAPITALIZATION AND INDEBTEDNESS </w:t>
      </w:r>
    </w:p>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13" w:name="rom396630_10"/>
      <w:bookmarkEnd w:id="13"/>
      <w:r>
        <w:rPr>
          <w:rFonts w:ascii="Times New Roman" w:hAnsi="Times New Roman"/>
          <w:b/>
          <w:sz w:val="20"/>
        </w:rPr>
        <w:t xml:space="preserve">C. REASONS FOR THE OFFER AND USE OF PROCEEDS </w:t>
      </w:r>
    </w:p>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rom396630_11"/>
      <w:bookmarkEnd w:id="14"/>
      <w:r>
        <w:rPr>
          <w:rFonts w:ascii="Times New Roman" w:hAnsi="Times New Roman"/>
          <w:b/>
          <w:sz w:val="20"/>
        </w:rPr>
        <w:t xml:space="preserve">D. RISK FACTORS </w:t>
      </w:r>
    </w:p>
    <w:p>
      <w:pPr>
        <w:pStyle w:val="TextBody"/>
        <w:spacing w:before="120" w:after="0"/>
        <w:jc w:val="left"/>
        <w:rPr>
          <w:rFonts w:ascii="Times New Roman" w:hAnsi="Times New Roman"/>
          <w:sz w:val="20"/>
        </w:rPr>
      </w:pPr>
      <w:r>
        <w:rPr>
          <w:rFonts w:ascii="Times New Roman" w:hAnsi="Times New Roman"/>
          <w:sz w:val="20"/>
        </w:rPr>
        <w:t xml:space="preserve">Melco Resorts &amp; Entertainment Limited is a Cayman Islands holding company. All of our current operations, and administrative and corporate functions are conducted in Macau, Hong Kong, Singapore, the Philippines, Cyprus and Japan. </w:t>
      </w:r>
    </w:p>
    <w:p>
      <w:pPr>
        <w:pStyle w:val="TextBody"/>
        <w:spacing w:before="240" w:after="0"/>
        <w:jc w:val="left"/>
        <w:rPr>
          <w:rFonts w:ascii="Times New Roman" w:hAnsi="Times New Roman"/>
          <w:sz w:val="20"/>
        </w:rPr>
      </w:pPr>
      <w:r>
        <w:rPr>
          <w:rFonts w:ascii="Times New Roman" w:hAnsi="Times New Roman"/>
          <w:sz w:val="20"/>
        </w:rPr>
        <w:t xml:space="preserve">We conduct our operations primarily in Macau, as well as in Cyprus and the Philippines. Our principal executive offices are located in Singapore and Hong Kong. Our operations in the PRC are currently limited to a wholly-owned subsidiary that hosts the domain names of our PRC websites and other online platforms which promote our non-gaming amenities in the PRC, and we do not have any material assets or operations in the PRC. We have no variable interest entities in our corporate structure. </w:t>
      </w:r>
    </w:p>
    <w:p>
      <w:pPr>
        <w:pStyle w:val="TextBody"/>
        <w:spacing w:before="240" w:after="0"/>
        <w:jc w:val="left"/>
        <w:rPr>
          <w:rFonts w:ascii="Times New Roman" w:hAnsi="Times New Roman"/>
          <w:sz w:val="20"/>
        </w:rPr>
      </w:pPr>
      <w:r>
        <w:rPr>
          <w:rFonts w:ascii="Times New Roman" w:hAnsi="Times New Roman"/>
          <w:sz w:val="20"/>
        </w:rPr>
        <w:t xml:space="preserve">We face various legal and operational risks and uncertainties as a company primarily operating in Macau, Cyprus and the Philippines. Since we derive a significant majority of our revenues from our Macau business and a significant number of our customers come from, and are expected to continue to come from, the PRC, our results of operations and financial condition may be materially and adversely affected by significant regulatory developments in the PRC. Actions by the PRC government can also significantly affect our business by, for example, placing limits on the ability of PRC residents to travel or remit currency outside of the PRC or by restricting gaming-related marketing activities in China. See “Item 3. Key Information — D. Risk Factors — Risks Relating to Our Business and Operations — Policies, campaigns and measures adopted by the PRC and/or Macau governments from time to time could materially and adversely affect our operations.” </w:t>
      </w:r>
    </w:p>
    <w:p>
      <w:pPr>
        <w:pStyle w:val="TextBody"/>
        <w:spacing w:before="240" w:after="0"/>
        <w:jc w:val="left"/>
        <w:rPr>
          <w:rFonts w:ascii="Times New Roman" w:hAnsi="Times New Roman"/>
          <w:sz w:val="20"/>
        </w:rPr>
      </w:pPr>
      <w:r>
        <w:rPr>
          <w:rFonts w:ascii="Times New Roman" w:hAnsi="Times New Roman"/>
          <w:sz w:val="20"/>
        </w:rPr>
        <w:t xml:space="preserve">The PRC may also intervene or influence our operations in Macau, Hong Kong or elsewhere at any time, or may exert more control over offerings conducted overseas and/or foreign investment in issuers in China, which could result in a material change in our operations and/or the value of our ordinary shares. Additionally, 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our securities to significantly decline or be worthless. There are risks and uncertainties which we cannot foresee for the time being, and rules and regulations in China can change quickly with little or no advance notice. See “Item 3. Key Information — D. Risk Factors — Risks Relating to Our Business and Operations — Changes in laws, regulations and policies in the PRC and uncertainties in the legal systems in the PRC may expose us to risks. In addition, rules and regulations in the PRC can change quickly with little advance notice.” and “— 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 </w:t>
      </w:r>
    </w:p>
    <w:p>
      <w:pPr>
        <w:pStyle w:val="TextBody"/>
        <w:spacing w:before="240" w:after="0"/>
        <w:jc w:val="left"/>
        <w:rPr>
          <w:rFonts w:ascii="Times New Roman" w:hAnsi="Times New Roman"/>
          <w:sz w:val="20"/>
        </w:rPr>
      </w:pPr>
      <w:r>
        <w:rPr>
          <w:rFonts w:ascii="Times New Roman" w:hAnsi="Times New Roman"/>
          <w:sz w:val="20"/>
        </w:rPr>
        <w:t xml:space="preserve">We also face risks associated with interpretations of or changes to gaming laws in the markets in which we operate, including the interpretation of the recently amended gaming law in Macau, as well as the continued ability by the U.S. Public Company Accounting Oversight Board, or PCAOB, to inspect our auditors. </w:t>
      </w:r>
    </w:p>
    <w:p>
      <w:pPr>
        <w:pStyle w:val="TextBody"/>
        <w:spacing w:before="360" w:after="0"/>
        <w:jc w:val="left"/>
        <w:rPr>
          <w:rFonts w:ascii="Times New Roman" w:hAnsi="Times New Roman"/>
          <w:b/>
          <w:sz w:val="20"/>
        </w:rPr>
      </w:pPr>
      <w:r>
        <w:rPr>
          <w:rFonts w:ascii="Times New Roman" w:hAnsi="Times New Roman"/>
          <w:b/>
          <w:sz w:val="20"/>
        </w:rPr>
        <w:t xml:space="preserve">Permissions, Approvals, Licenses, Certificates and Permits Required from the PRC, Hong Kong and Macau Authorities for Our Operations and for the Offering of Our Securities to Foreign Investors </w:t>
      </w:r>
    </w:p>
    <w:p>
      <w:pPr>
        <w:pStyle w:val="TextBody"/>
        <w:spacing w:before="120" w:after="0"/>
        <w:jc w:val="left"/>
        <w:rPr>
          <w:rFonts w:ascii="Times New Roman" w:hAnsi="Times New Roman"/>
          <w:sz w:val="20"/>
        </w:rPr>
      </w:pPr>
      <w:r>
        <w:rPr>
          <w:rFonts w:ascii="Times New Roman" w:hAnsi="Times New Roman"/>
          <w:sz w:val="20"/>
        </w:rPr>
        <w:t xml:space="preserve">As of the date of this annual report, we have obtained the requisite permissions, approvals, licenses, certificates and permits from the PRC, Hong Kong and Macau government authorities that are material for our business operations in those jurisdictions, including in particular our gaming concession in Macau which is required to operate gaming operations in that jurisdiction, and none have been denied. See “Item 4. Information on the Company — B. Business Overview — Regulations” for a detailed discussion on the concession in Macau. </w:t>
      </w:r>
    </w:p>
    <w:p>
      <w:pPr>
        <w:pStyle w:val="TextBody"/>
        <w:spacing w:before="240" w:after="0"/>
        <w:jc w:val="left"/>
        <w:rPr>
          <w:rFonts w:ascii="Times New Roman" w:hAnsi="Times New Roman"/>
          <w:sz w:val="20"/>
        </w:rPr>
      </w:pPr>
      <w:r>
        <w:rPr>
          <w:rFonts w:ascii="Times New Roman" w:hAnsi="Times New Roman"/>
          <w:sz w:val="20"/>
        </w:rPr>
        <w:t xml:space="preserve">Given the uncertainties of interpretation and implementation of relevant laws and regulations and enforcement practice by PRC government authorities, we may be required to obtain additional licenses, permits,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filings or approvals for our business operations in the future, and may not be able to maintain or renew our current licenses, permits, filings or approvals. In addition, rules and regulations in China can change quickly with little advance notice. Uncertainties due to evolving laws and regulations could impede our ability to obtain or maintain certificates, permits or licenses required to conduct business in China. In the absence of required certificates, permits or licenses, governmental authorities could impose material sanctions or penalties on us. </w:t>
      </w:r>
    </w:p>
    <w:p>
      <w:pPr>
        <w:pStyle w:val="TextBody"/>
        <w:spacing w:before="240" w:after="0"/>
        <w:jc w:val="left"/>
        <w:rPr>
          <w:rFonts w:ascii="Times New Roman" w:hAnsi="Times New Roman"/>
          <w:sz w:val="20"/>
        </w:rPr>
      </w:pPr>
      <w:r>
        <w:rPr>
          <w:rFonts w:ascii="Times New Roman" w:hAnsi="Times New Roman"/>
          <w:sz w:val="20"/>
        </w:rPr>
        <w:t xml:space="preserve">Furthermore, in connection with our issuance of securities to foreign investors, under current PRC laws, regulations and regulatory rules, as of the date of this annual report, we do not believe we are currently required to obtain permissions from or complete any filing with the China Securities Regulatory Commission, or the CSRC, or required to go through cybersecurity review by the Cyberspace Administration of China, or the CAC. In addition, we have not been asked to obtain such permissions by any PRC authority or received any denial to do so. However, the PRC government has recently indicated an intent to exert more oversight and control over offerings that are conducted overseas and/or foreign investment by issuers like us. There remains significant uncertainty as to the enactment, interpretation and implementation of regulatory requirements related to overseas securities offerings and other capital markets activities. </w:t>
      </w:r>
    </w:p>
    <w:p>
      <w:pPr>
        <w:pStyle w:val="TextBody"/>
        <w:spacing w:before="240" w:after="0"/>
        <w:jc w:val="left"/>
        <w:rPr>
          <w:rFonts w:ascii="Times New Roman" w:hAnsi="Times New Roman"/>
          <w:sz w:val="20"/>
        </w:rPr>
      </w:pPr>
      <w:r>
        <w:rPr>
          <w:rFonts w:ascii="Times New Roman" w:hAnsi="Times New Roman"/>
          <w:sz w:val="20"/>
        </w:rPr>
        <w:t xml:space="preserve">If (i) we inadvertently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 </w:t>
      </w:r>
    </w:p>
    <w:p>
      <w:pPr>
        <w:pStyle w:val="TextBody"/>
        <w:spacing w:before="360" w:after="0"/>
        <w:jc w:val="left"/>
        <w:rPr>
          <w:rFonts w:ascii="Times New Roman" w:hAnsi="Times New Roman"/>
          <w:b/>
          <w:sz w:val="20"/>
        </w:rPr>
      </w:pPr>
      <w:r>
        <w:rPr>
          <w:rFonts w:ascii="Times New Roman" w:hAnsi="Times New Roman"/>
          <w:b/>
          <w:sz w:val="20"/>
        </w:rPr>
        <w:t xml:space="preserve">Cash Flows Through Our Organization </w:t>
      </w:r>
    </w:p>
    <w:p>
      <w:pPr>
        <w:pStyle w:val="TextBody"/>
        <w:spacing w:before="120" w:after="0"/>
        <w:jc w:val="left"/>
        <w:rPr>
          <w:rFonts w:ascii="Times New Roman" w:hAnsi="Times New Roman"/>
          <w:sz w:val="20"/>
        </w:rPr>
      </w:pPr>
      <w:r>
        <w:rPr>
          <w:rFonts w:ascii="Times New Roman" w:hAnsi="Times New Roman"/>
          <w:sz w:val="20"/>
        </w:rPr>
        <w:t xml:space="preserve">Cash from financing and operations is primarily retained by our operating subsidiaries for the purposes of funding our operating activities, capital expenditures and investing activities. Cash from financing and operations within our group is primarily transferred between our subsidiaries through intercompany loan arrangements or equity capital contributions. The dividend payments made in 2020 were funded primarily through dividends declared by our Macau operating subsidiary. In 2022, excluding cash transferred for the purpose of the settlement of intragroup charges, cash transferred to our holding company, Melco Resorts &amp; Entertainment Limited, from its subsidiaries amounted to US$521.9 million. See also “Item 4. Information on the Company — B. Business Overview — Tax”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Melco Resorts Macau must notify the Macau Chief Executive five business days in advance of any decision related to internal funds transfer in an amount greater than MOP2.5 billion (equivalent to approximately US$310.8 million), seek Macau government consent to grant or receive any loan in the amount of MOP100 million (equivalent to approximately US$12.4 million) and our subsidiaries incorporated in Macau are required to set aside a specified amount of the entity’s profit after tax as a legal reserve which is not distributable to the shareholders of such subsidiaries and authorization is required in the Philippines for inward and outward transfers of Philippine pesos above a certain amount. See “Item 4. Information on the Company — B. Business Overview — Regulations — Macau Regulations — Restrictions on Distribution of Profits Regulations” and “Item 10. Additional Information — D. Exchange Controls.” </w:t>
      </w:r>
    </w:p>
    <w:p>
      <w:pPr>
        <w:pStyle w:val="TextBody"/>
        <w:spacing w:before="240" w:after="0"/>
        <w:jc w:val="left"/>
        <w:rPr>
          <w:rFonts w:ascii="Times New Roman" w:hAnsi="Times New Roman"/>
          <w:sz w:val="20"/>
        </w:rPr>
      </w:pPr>
      <w:r>
        <w:rPr>
          <w:rFonts w:ascii="Times New Roman" w:hAnsi="Times New Roman"/>
          <w:sz w:val="20"/>
        </w:rPr>
        <w:t xml:space="preserve">On May 14, 2020, we announced the suspension of the Company’s quarterly dividend program to preserve liquidity in light of the COVID-19 outbreak and to continue investing in our business. Our board will continue to review from time to time our dividend policy as part of our commitment to maximizing shareholder value, taking into consideration our financial performance and market conditions. Prior to such date, we had declared various quarterly dividends in 2018, 2019 and 2020, as well as a special dividend in 2017. For each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years ended December 31, 2020, 2021 and 2022, we paid dividends in the amount of US$35.4 million, US$0, and US$0, respectively, to holders of our ordinary shares with an address of record known to us to be in the United States (which includes all holders of our ADRs, which are traded on Nasdaq in the United States). These dividends were paid out of cash on hand. We cannot assure you that we will make any dividend payments on our shares in the future. Except as permitted under the Companies Act, as amended, of the Cayman Islands, or the Companies Act,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2015 Credit Facilities, Studio City Notes, 2028 Studio City Senior Secured Credit Facility and other agreements governing indebtedness we and our subsidiaries may incur. For more details, see “Item 3. Key Information — D. Risk Factors — Risks Relating to Our Shares and ADSs — We cannot assure you that we will make dividend payments in the future.” and “— Item 5. Operating and Financial Review and Prospects — B. Liquidity and Capital Resources — Indebtedness.” </w:t>
      </w:r>
    </w:p>
    <w:p>
      <w:pPr>
        <w:pStyle w:val="TextBody"/>
        <w:spacing w:before="240" w:after="0"/>
        <w:jc w:val="left"/>
        <w:rPr>
          <w:rFonts w:ascii="Times New Roman" w:hAnsi="Times New Roman"/>
          <w:sz w:val="20"/>
        </w:rPr>
      </w:pPr>
      <w:r>
        <w:rPr>
          <w:rFonts w:ascii="Times New Roman" w:hAnsi="Times New Roman"/>
          <w:sz w:val="20"/>
        </w:rPr>
        <w:t xml:space="preserve">You should carefully consider all of the information in this annual report before making an investment in the ADSs. The following summarizes some, but not all, of the risks provided below. Please carefully consider all of the information discussed in this Item 3.D. “Risk Factors” in this annual report for a more thorough description of these and other risks. </w:t>
      </w:r>
    </w:p>
    <w:p>
      <w:pPr>
        <w:pStyle w:val="TextBody"/>
        <w:spacing w:before="240" w:after="0"/>
        <w:jc w:val="left"/>
        <w:rPr>
          <w:rFonts w:ascii="Times New Roman" w:hAnsi="Times New Roman"/>
          <w:sz w:val="20"/>
        </w:rPr>
      </w:pPr>
      <w:r>
        <w:rPr>
          <w:rFonts w:ascii="Times New Roman" w:hAnsi="Times New Roman"/>
          <w:sz w:val="20"/>
        </w:rPr>
        <w:t xml:space="preserve">You should carefully consider the following risk factors in addition to the other information set forth in this annual report. Our business, financial condition and results of operations can be affected materially and adversely by any of the following risk factors. </w:t>
      </w:r>
    </w:p>
    <w:p>
      <w:pPr>
        <w:pStyle w:val="TextBody"/>
        <w:spacing w:before="360" w:after="0"/>
        <w:jc w:val="left"/>
        <w:rPr>
          <w:rFonts w:ascii="Times New Roman" w:hAnsi="Times New Roman"/>
          <w:b/>
          <w:sz w:val="20"/>
        </w:rPr>
      </w:pPr>
      <w:r>
        <w:rPr>
          <w:rFonts w:ascii="Times New Roman" w:hAnsi="Times New Roman"/>
          <w:b/>
          <w:sz w:val="20"/>
        </w:rPr>
        <w:t xml:space="preserve">Risks Relating to Our Business and Operations </w:t>
      </w:r>
    </w:p>
    <w:p>
      <w:pPr>
        <w:pStyle w:val="TextBody"/>
        <w:spacing w:before="0" w:after="0"/>
        <w:jc w:val="left"/>
        <w:rPr/>
      </w:pPr>
      <w:r>
        <w:rPr/>
        <w:t> </w:t>
      </w:r>
    </w:p>
    <w:tbl>
      <w:tblPr>
        <w:tblW w:w="6400" w:type="dxa"/>
        <w:jc w:val="left"/>
        <w:tblInd w:w="0" w:type="dxa"/>
        <w:tblCellMar>
          <w:top w:w="0" w:type="dxa"/>
          <w:left w:w="0" w:type="dxa"/>
          <w:bottom w:w="0" w:type="dxa"/>
          <w:right w:w="0" w:type="dxa"/>
        </w:tblCellMar>
      </w:tblPr>
      <w:tblGrid>
        <w:gridCol w:w="75"/>
        <w:gridCol w:w="110"/>
        <w:gridCol w:w="60"/>
        <w:gridCol w:w="6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COVID-19 outbreaks and other epidemics and pandemics. </w:t>
            </w:r>
          </w:p>
        </w:tc>
      </w:tr>
    </w:tbl>
    <w:p>
      <w:pPr>
        <w:pStyle w:val="TextBody"/>
        <w:spacing w:before="0" w:after="0"/>
        <w:jc w:val="left"/>
        <w:rPr/>
      </w:pPr>
      <w:r>
        <w:rPr/>
        <w:t> </w:t>
      </w:r>
    </w:p>
    <w:tbl>
      <w:tblPr>
        <w:tblW w:w="8695" w:type="dxa"/>
        <w:jc w:val="left"/>
        <w:tblInd w:w="0" w:type="dxa"/>
        <w:tblCellMar>
          <w:top w:w="0" w:type="dxa"/>
          <w:left w:w="0" w:type="dxa"/>
          <w:bottom w:w="0" w:type="dxa"/>
          <w:right w:w="0" w:type="dxa"/>
        </w:tblCellMar>
      </w:tblPr>
      <w:tblGrid>
        <w:gridCol w:w="75"/>
        <w:gridCol w:w="110"/>
        <w:gridCol w:w="60"/>
        <w:gridCol w:w="8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generating a substantial portion of revenues and cash from Macau and the Philippines. </w:t>
            </w:r>
          </w:p>
        </w:tc>
      </w:tr>
    </w:tbl>
    <w:p>
      <w:pPr>
        <w:pStyle w:val="TextBody"/>
        <w:spacing w:before="0" w:after="0"/>
        <w:jc w:val="left"/>
        <w:rPr/>
      </w:pPr>
      <w:r>
        <w:rPr/>
        <w:t> </w:t>
      </w:r>
    </w:p>
    <w:tbl>
      <w:tblPr>
        <w:tblW w:w="8755" w:type="dxa"/>
        <w:jc w:val="left"/>
        <w:tblInd w:w="0" w:type="dxa"/>
        <w:tblCellMar>
          <w:top w:w="0" w:type="dxa"/>
          <w:left w:w="0" w:type="dxa"/>
          <w:bottom w:w="0" w:type="dxa"/>
          <w:right w:w="0" w:type="dxa"/>
        </w:tblCellMar>
      </w:tblPr>
      <w:tblGrid>
        <w:gridCol w:w="75"/>
        <w:gridCol w:w="110"/>
        <w:gridCol w:w="60"/>
        <w:gridCol w:w="8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significant projects in various phases of development, including construction risks.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operating in a highly regulated industry, including complying with regulatory requirements for and restrictions on the development of City of Dreams Mediterranean.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regional political, social, economic and legal and regulatory risks in Macau, the Philippines and Cyprus, and uncertainties in the legal systems in the PRC. </w:t>
            </w:r>
          </w:p>
        </w:tc>
      </w:tr>
    </w:tbl>
    <w:p>
      <w:pPr>
        <w:pStyle w:val="TextBody"/>
        <w:spacing w:before="0" w:after="0"/>
        <w:jc w:val="left"/>
        <w:rPr/>
      </w:pPr>
      <w:r>
        <w:rPr/>
        <w:t> </w:t>
      </w:r>
    </w:p>
    <w:tbl>
      <w:tblPr>
        <w:tblW w:w="9400" w:type="dxa"/>
        <w:jc w:val="left"/>
        <w:tblInd w:w="0" w:type="dxa"/>
        <w:tblCellMar>
          <w:top w:w="0" w:type="dxa"/>
          <w:left w:w="0" w:type="dxa"/>
          <w:bottom w:w="0" w:type="dxa"/>
          <w:right w:w="0" w:type="dxa"/>
        </w:tblCellMar>
      </w:tblPr>
      <w:tblGrid>
        <w:gridCol w:w="75"/>
        <w:gridCol w:w="110"/>
        <w:gridCol w:w="60"/>
        <w:gridCol w:w="9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inadequate transportation infrastructure that may hinder increase in visitation to our properties. </w:t>
            </w:r>
          </w:p>
        </w:tc>
      </w:tr>
    </w:tbl>
    <w:p>
      <w:pPr>
        <w:pStyle w:val="TextBody"/>
        <w:spacing w:before="0" w:after="0"/>
        <w:jc w:val="left"/>
        <w:rPr/>
      </w:pPr>
      <w:r>
        <w:rPr/>
        <w:t> </w:t>
      </w:r>
    </w:p>
    <w:tbl>
      <w:tblPr>
        <w:tblW w:w="5755" w:type="dxa"/>
        <w:jc w:val="left"/>
        <w:tblInd w:w="0" w:type="dxa"/>
        <w:tblCellMar>
          <w:top w:w="0" w:type="dxa"/>
          <w:left w:w="0" w:type="dxa"/>
          <w:bottom w:w="0" w:type="dxa"/>
          <w:right w:w="0" w:type="dxa"/>
        </w:tblCellMar>
      </w:tblPr>
      <w:tblGrid>
        <w:gridCol w:w="75"/>
        <w:gridCol w:w="110"/>
        <w:gridCol w:w="60"/>
        <w:gridCol w:w="5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natural disasters and extreme weather phenomena. </w:t>
            </w:r>
          </w:p>
        </w:tc>
      </w:tr>
    </w:tbl>
    <w:p>
      <w:pPr>
        <w:pStyle w:val="TextBody"/>
        <w:spacing w:before="0" w:after="0"/>
        <w:jc w:val="left"/>
        <w:rPr/>
      </w:pPr>
      <w:r>
        <w:rPr/>
        <w:t> </w:t>
      </w:r>
    </w:p>
    <w:tbl>
      <w:tblPr>
        <w:tblW w:w="3925" w:type="dxa"/>
        <w:jc w:val="left"/>
        <w:tblInd w:w="0" w:type="dxa"/>
        <w:tblCellMar>
          <w:top w:w="0" w:type="dxa"/>
          <w:left w:w="0" w:type="dxa"/>
          <w:bottom w:w="0" w:type="dxa"/>
          <w:right w:w="0" w:type="dxa"/>
        </w:tblCellMar>
      </w:tblPr>
      <w:tblGrid>
        <w:gridCol w:w="75"/>
        <w:gridCol w:w="110"/>
        <w:gridCol w:w="60"/>
        <w:gridCol w:w="3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facing intense competition. </w:t>
            </w:r>
          </w:p>
        </w:tc>
      </w:tr>
    </w:tbl>
    <w:p>
      <w:pPr>
        <w:pStyle w:val="TextBody"/>
        <w:spacing w:before="0" w:after="0"/>
        <w:jc w:val="left"/>
        <w:rPr/>
      </w:pPr>
      <w:r>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dependence on the continued efforts of our senior management and retaining qualified personnel. </w:t>
            </w:r>
          </w:p>
        </w:tc>
      </w:tr>
    </w:tbl>
    <w:p>
      <w:pPr>
        <w:pStyle w:val="TextBody"/>
        <w:spacing w:before="0" w:after="0"/>
        <w:jc w:val="left"/>
        <w:rPr/>
      </w:pPr>
      <w:r>
        <w:rPr/>
        <w:t> </w:t>
      </w:r>
    </w:p>
    <w:tbl>
      <w:tblPr>
        <w:tblW w:w="4255" w:type="dxa"/>
        <w:jc w:val="left"/>
        <w:tblInd w:w="0" w:type="dxa"/>
        <w:tblCellMar>
          <w:top w:w="0" w:type="dxa"/>
          <w:left w:w="0" w:type="dxa"/>
          <w:bottom w:w="0" w:type="dxa"/>
          <w:right w:w="0" w:type="dxa"/>
        </w:tblCellMar>
      </w:tblPr>
      <w:tblGrid>
        <w:gridCol w:w="75"/>
        <w:gridCol w:w="110"/>
        <w:gridCol w:w="60"/>
        <w:gridCol w:w="40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inadequate insurance coverage.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operating in the gaming industry, including risk of cheating and counterfeiting, inability to collect receivables from credit customers.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mergers, acquisitions, strategic transactions, investments, divestments and developing new branded products or entering into new business lines. </w:t>
            </w:r>
          </w:p>
        </w:tc>
      </w:tr>
    </w:tbl>
    <w:p>
      <w:pPr>
        <w:pStyle w:val="TextBody"/>
        <w:spacing w:before="0" w:after="0"/>
        <w:jc w:val="left"/>
        <w:rPr/>
      </w:pPr>
      <w:r>
        <w:rPr/>
        <w:t> </w:t>
      </w:r>
    </w:p>
    <w:tbl>
      <w:tblPr>
        <w:tblW w:w="9745" w:type="dxa"/>
        <w:jc w:val="left"/>
        <w:tblInd w:w="0" w:type="dxa"/>
        <w:tblCellMar>
          <w:top w:w="0" w:type="dxa"/>
          <w:left w:w="0" w:type="dxa"/>
          <w:bottom w:w="0" w:type="dxa"/>
          <w:right w:w="0" w:type="dxa"/>
        </w:tblCellMar>
      </w:tblPr>
      <w:tblGrid>
        <w:gridCol w:w="75"/>
        <w:gridCol w:w="110"/>
        <w:gridCol w:w="60"/>
        <w:gridCol w:w="9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fluctuations in currency exchange rates of currencies used in our business and availability of credit.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tbl>
      <w:tblPr>
        <w:tblW w:w="8170" w:type="dxa"/>
        <w:jc w:val="left"/>
        <w:tblInd w:w="0" w:type="dxa"/>
        <w:tblCellMar>
          <w:top w:w="0" w:type="dxa"/>
          <w:left w:w="0" w:type="dxa"/>
          <w:bottom w:w="0" w:type="dxa"/>
          <w:right w:w="0" w:type="dxa"/>
        </w:tblCellMar>
      </w:tblPr>
      <w:tblGrid>
        <w:gridCol w:w="75"/>
        <w:gridCol w:w="110"/>
        <w:gridCol w:w="60"/>
        <w:gridCol w:w="79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failure to comply with anti-corruption laws and anti-money laundering policies.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cybersecurity risks and failure to protect the integrity and security of data, including customer information.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having a significant majority of operations in Macau, uncertainties in the legal systems in the PRC, and policies, campaigns and measures adopted by the PRC and/or Macau governments from time to time. </w:t>
            </w:r>
          </w:p>
        </w:tc>
      </w:tr>
    </w:tbl>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75"/>
        <w:gridCol w:w="110"/>
        <w:gridCol w:w="60"/>
        <w:gridCol w:w="6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protection or alleged infringement of intellectual property rights. </w:t>
            </w:r>
          </w:p>
        </w:tc>
      </w:tr>
    </w:tbl>
    <w:p>
      <w:pPr>
        <w:pStyle w:val="TextBody"/>
        <w:spacing w:before="0" w:after="0"/>
        <w:jc w:val="left"/>
        <w:rPr/>
      </w:pPr>
      <w:r>
        <w:rPr/>
        <w:t> </w:t>
      </w:r>
    </w:p>
    <w:tbl>
      <w:tblPr>
        <w:tblW w:w="7705" w:type="dxa"/>
        <w:jc w:val="left"/>
        <w:tblInd w:w="0" w:type="dxa"/>
        <w:tblCellMar>
          <w:top w:w="0" w:type="dxa"/>
          <w:left w:w="0" w:type="dxa"/>
          <w:bottom w:w="0" w:type="dxa"/>
          <w:right w:w="0" w:type="dxa"/>
        </w:tblCellMar>
      </w:tblPr>
      <w:tblGrid>
        <w:gridCol w:w="75"/>
        <w:gridCol w:w="110"/>
        <w:gridCol w:w="60"/>
        <w:gridCol w:w="74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environmental, social and governance and sustainability related concerns.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Operating in the Gaming Industry in Macau </w:t>
      </w:r>
    </w:p>
    <w:p>
      <w:pPr>
        <w:pStyle w:val="TextBody"/>
        <w:spacing w:before="0" w:after="0"/>
        <w:jc w:val="left"/>
        <w:rPr/>
      </w:pPr>
      <w:r>
        <w:rPr/>
        <w:t> </w:t>
      </w:r>
    </w:p>
    <w:tbl>
      <w:tblPr>
        <w:tblW w:w="5695" w:type="dxa"/>
        <w:jc w:val="left"/>
        <w:tblInd w:w="0" w:type="dxa"/>
        <w:tblCellMar>
          <w:top w:w="0" w:type="dxa"/>
          <w:left w:w="0" w:type="dxa"/>
          <w:bottom w:w="0" w:type="dxa"/>
          <w:right w:w="0" w:type="dxa"/>
        </w:tblCellMar>
      </w:tblPr>
      <w:tblGrid>
        <w:gridCol w:w="75"/>
        <w:gridCol w:w="110"/>
        <w:gridCol w:w="60"/>
        <w:gridCol w:w="5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Melco Resorts Macau’s Concession Contract. </w:t>
            </w:r>
          </w:p>
        </w:tc>
      </w:tr>
    </w:tbl>
    <w:p>
      <w:pPr>
        <w:pStyle w:val="TextBody"/>
        <w:spacing w:before="0" w:after="0"/>
        <w:jc w:val="left"/>
        <w:rPr/>
      </w:pPr>
      <w:r>
        <w:rPr/>
        <w:t> </w:t>
      </w:r>
    </w:p>
    <w:tbl>
      <w:tblPr>
        <w:tblW w:w="4540" w:type="dxa"/>
        <w:jc w:val="left"/>
        <w:tblInd w:w="0" w:type="dxa"/>
        <w:tblCellMar>
          <w:top w:w="0" w:type="dxa"/>
          <w:left w:w="0" w:type="dxa"/>
          <w:bottom w:w="0" w:type="dxa"/>
          <w:right w:w="0" w:type="dxa"/>
        </w:tblCellMar>
      </w:tblPr>
      <w:tblGrid>
        <w:gridCol w:w="75"/>
        <w:gridCol w:w="110"/>
        <w:gridCol w:w="60"/>
        <w:gridCol w:w="4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restrictions on export of Renminbi. </w:t>
            </w:r>
          </w:p>
        </w:tc>
      </w:tr>
    </w:tbl>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adverse changes or developments in gaming laws or other regulations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interpretation of the newly adopted gaming law in Macau and its implementation by the Macau government.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Related to Operating in the Gaming Industry in the Philippines </w:t>
      </w:r>
    </w:p>
    <w:p>
      <w:pPr>
        <w:pStyle w:val="TextBody"/>
        <w:spacing w:before="0" w:after="0"/>
        <w:jc w:val="left"/>
        <w:rPr/>
      </w:pPr>
      <w:r>
        <w:rPr/>
        <w:t> </w:t>
      </w:r>
    </w:p>
    <w:tbl>
      <w:tblPr>
        <w:tblW w:w="10030" w:type="dxa"/>
        <w:jc w:val="left"/>
        <w:tblInd w:w="0" w:type="dxa"/>
        <w:tblCellMar>
          <w:top w:w="0" w:type="dxa"/>
          <w:left w:w="0" w:type="dxa"/>
          <w:bottom w:w="0" w:type="dxa"/>
          <w:right w:w="0" w:type="dxa"/>
        </w:tblCellMar>
      </w:tblPr>
      <w:tblGrid>
        <w:gridCol w:w="75"/>
        <w:gridCol w:w="110"/>
        <w:gridCol w:w="60"/>
        <w:gridCol w:w="97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related to tenancy relationships as the land and buildings comprising the site of City of Dreams Manila are leased. </w:t>
            </w:r>
          </w:p>
        </w:tc>
      </w:tr>
    </w:tbl>
    <w:p>
      <w:pPr>
        <w:pStyle w:val="TextBody"/>
        <w:spacing w:before="0" w:after="0"/>
        <w:jc w:val="left"/>
        <w:rPr/>
      </w:pPr>
      <w:r>
        <w:rPr/>
        <w:t> </w:t>
      </w:r>
    </w:p>
    <w:tbl>
      <w:tblPr>
        <w:tblW w:w="9025" w:type="dxa"/>
        <w:jc w:val="left"/>
        <w:tblInd w:w="0" w:type="dxa"/>
        <w:tblCellMar>
          <w:top w:w="0" w:type="dxa"/>
          <w:left w:w="0" w:type="dxa"/>
          <w:bottom w:w="0" w:type="dxa"/>
          <w:right w:w="0" w:type="dxa"/>
        </w:tblCellMar>
      </w:tblPr>
      <w:tblGrid>
        <w:gridCol w:w="75"/>
        <w:gridCol w:w="110"/>
        <w:gridCol w:w="60"/>
        <w:gridCol w:w="8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regulatory requirements for and restrictions on the operation of City of Dreams Manila. </w:t>
            </w:r>
          </w:p>
        </w:tc>
      </w:tr>
    </w:tbl>
    <w:p>
      <w:pPr>
        <w:pStyle w:val="TextBody"/>
        <w:spacing w:before="0" w:after="0"/>
        <w:jc w:val="left"/>
        <w:rPr/>
      </w:pPr>
      <w:r>
        <w:rPr/>
        <w:t> </w:t>
      </w:r>
    </w:p>
    <w:tbl>
      <w:tblPr>
        <w:tblW w:w="9280" w:type="dxa"/>
        <w:jc w:val="left"/>
        <w:tblInd w:w="0" w:type="dxa"/>
        <w:tblCellMar>
          <w:top w:w="0" w:type="dxa"/>
          <w:left w:w="0" w:type="dxa"/>
          <w:bottom w:w="0" w:type="dxa"/>
          <w:right w:w="0" w:type="dxa"/>
        </w:tblCellMar>
      </w:tblPr>
      <w:tblGrid>
        <w:gridCol w:w="75"/>
        <w:gridCol w:w="110"/>
        <w:gridCol w:w="60"/>
        <w:gridCol w:w="90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a suspension of VIP gaming operations at City of Dreams Manila under certain circumstances.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Operating in the Gaming Industry in Cyprus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continued partnership and cooperation of The Cyprus Phassouri (Zakaki) Limited for the operation of our Cyprus casinos.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regulatory requirements for and restrictions on our operations in Cyprus and the development of City of Dreams Mediterranean.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Our Corporate Structure and Ownership </w:t>
      </w:r>
    </w:p>
    <w:p>
      <w:pPr>
        <w:pStyle w:val="TextBody"/>
        <w:spacing w:before="0" w:after="0"/>
        <w:jc w:val="left"/>
        <w:rPr/>
      </w:pPr>
      <w:r>
        <w:rPr/>
        <w:t> </w:t>
      </w:r>
    </w:p>
    <w:tbl>
      <w:tblPr>
        <w:tblW w:w="6955" w:type="dxa"/>
        <w:jc w:val="left"/>
        <w:tblInd w:w="0" w:type="dxa"/>
        <w:tblCellMar>
          <w:top w:w="0" w:type="dxa"/>
          <w:left w:w="0" w:type="dxa"/>
          <w:bottom w:w="0" w:type="dxa"/>
          <w:right w:w="0" w:type="dxa"/>
        </w:tblCellMar>
      </w:tblPr>
      <w:tblGrid>
        <w:gridCol w:w="75"/>
        <w:gridCol w:w="110"/>
        <w:gridCol w:w="60"/>
        <w:gridCol w:w="6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substantial influence our controlling shareholder has over us.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competing with Melco International on casino projects.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SCI’s ability to remain in compliance with the New York Stock Exchange requirements for its continued listing. </w:t>
            </w:r>
          </w:p>
        </w:tc>
      </w:tr>
    </w:tbl>
    <w:p>
      <w:pPr>
        <w:pStyle w:val="TextBody"/>
        <w:spacing w:before="360" w:after="0"/>
        <w:jc w:val="left"/>
        <w:rPr>
          <w:rFonts w:ascii="Times New Roman" w:hAnsi="Times New Roman"/>
          <w:b/>
          <w:sz w:val="20"/>
        </w:rPr>
      </w:pPr>
      <w:r>
        <w:rPr>
          <w:rFonts w:ascii="Times New Roman" w:hAnsi="Times New Roman"/>
          <w:b/>
          <w:sz w:val="20"/>
        </w:rPr>
        <w:t xml:space="preserve">Risks Relating to Our Financing and Indebtedness </w:t>
      </w:r>
    </w:p>
    <w:p>
      <w:pPr>
        <w:pStyle w:val="TextBody"/>
        <w:spacing w:before="0" w:after="0"/>
        <w:jc w:val="left"/>
        <w:rPr/>
      </w:pPr>
      <w:r>
        <w:rPr/>
        <w:t> </w:t>
      </w:r>
    </w:p>
    <w:tbl>
      <w:tblPr>
        <w:tblW w:w="9325" w:type="dxa"/>
        <w:jc w:val="left"/>
        <w:tblInd w:w="0" w:type="dxa"/>
        <w:tblCellMar>
          <w:top w:w="0" w:type="dxa"/>
          <w:left w:w="0" w:type="dxa"/>
          <w:bottom w:w="0" w:type="dxa"/>
          <w:right w:w="0" w:type="dxa"/>
        </w:tblCellMar>
      </w:tblPr>
      <w:tblGrid>
        <w:gridCol w:w="75"/>
        <w:gridCol w:w="110"/>
        <w:gridCol w:w="60"/>
        <w:gridCol w:w="9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our current, projected and potential future indebtedness and our need for additional financing. </w:t>
            </w:r>
          </w:p>
        </w:tc>
      </w:tr>
    </w:tbl>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75"/>
        <w:gridCol w:w="110"/>
        <w:gridCol w:w="60"/>
        <w:gridCol w:w="8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the inability to generate sufficient cash flow to meet our debt service obligations.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Risks relating to compliance with credit facilities and debt instruments.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Relating to Our Business and Operations </w:t>
      </w:r>
    </w:p>
    <w:p>
      <w:pPr>
        <w:pStyle w:val="TextBody"/>
        <w:spacing w:before="120" w:after="0"/>
        <w:jc w:val="left"/>
        <w:rPr>
          <w:rFonts w:ascii="Times New Roman" w:hAnsi="Times New Roman"/>
          <w:b/>
          <w:i/>
          <w:sz w:val="20"/>
        </w:rPr>
      </w:pPr>
      <w:r>
        <w:rPr>
          <w:rFonts w:ascii="Times New Roman" w:hAnsi="Times New Roman"/>
          <w:b/>
          <w:i/>
          <w:sz w:val="20"/>
        </w:rPr>
        <w:t xml:space="preserve">COVID-19 outbreaks have had an adverse effect on our operations, which has had a significant negative effect over the past three years and may continue to materially impact our business, prospects,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Uncertainty around COVID-19 outbreaks and related restrictions continue to have a material effect on our operations, financial position, and future prospects. In addition, the COVID-19 outbreak’s negative impact on the global economy, disruption to global supply chains and creation of significant volatility and disruption of financial markets is still being experienced. </w:t>
      </w:r>
    </w:p>
    <w:p>
      <w:pPr>
        <w:pStyle w:val="TextBody"/>
        <w:spacing w:before="240" w:after="0"/>
        <w:jc w:val="left"/>
        <w:rPr>
          <w:rFonts w:ascii="Times New Roman" w:hAnsi="Times New Roman"/>
          <w:sz w:val="20"/>
        </w:rPr>
      </w:pPr>
      <w:r>
        <w:rPr>
          <w:rFonts w:ascii="Times New Roman" w:hAnsi="Times New Roman"/>
          <w:sz w:val="20"/>
        </w:rPr>
        <w:t xml:space="preserve">While pandemic prevention measures in Macau were eased in 2021, in response to a COVID-19 outbreak in Macau, on June 23, 2022, the Macau government issued a closure order for certain entertainment venues which did not include casinos. Effective from July 11, 2022, however, the Macau government issued a further order whereby from July 11 until July 18, 2022, all entities performing industrial and commercial activities, including gaming activities, were required to suspend operation, except for those deemed essential to the community and to the day-to-day lives of the members of the public. These restrictions were further extended until July 23, 2022 and, as a result, City of Dreams, Studio City, Altira Macau and Mocha Clubs were closed for a total of 12 days in 2022. The Macau government continued to implement special prevention measures on operations until August 2, 2022, including the closure of certain outlets and limitations to capacity of operating outlets. </w:t>
      </w:r>
    </w:p>
    <w:p>
      <w:pPr>
        <w:pStyle w:val="TextBody"/>
        <w:spacing w:before="240" w:after="0"/>
        <w:jc w:val="left"/>
        <w:rPr>
          <w:rFonts w:ascii="Times New Roman" w:hAnsi="Times New Roman"/>
          <w:sz w:val="20"/>
        </w:rPr>
      </w:pPr>
      <w:r>
        <w:rPr>
          <w:rFonts w:ascii="Times New Roman" w:hAnsi="Times New Roman"/>
          <w:sz w:val="20"/>
        </w:rPr>
        <w:t xml:space="preserve">According to the DSEC, visitor arrivals to Macau decreased by 26.0% on a year-over-year basis in 2022 as compared to 2021 while, according to the DICJ, gross gaming revenues in Macau declined by 51.4% on a year-over-year basis in 2022. As we derive a significant majority of our revenues from our business and operations in Macau, our business has been materially and adversely affected by the COVID-19 pandemic. </w:t>
      </w:r>
    </w:p>
    <w:p>
      <w:pPr>
        <w:pStyle w:val="TextBody"/>
        <w:spacing w:before="240" w:after="0"/>
        <w:jc w:val="left"/>
        <w:rPr>
          <w:rFonts w:ascii="Times New Roman" w:hAnsi="Times New Roman"/>
          <w:sz w:val="20"/>
        </w:rPr>
      </w:pPr>
      <w:r>
        <w:rPr>
          <w:rFonts w:ascii="Times New Roman" w:hAnsi="Times New Roman"/>
          <w:sz w:val="20"/>
        </w:rPr>
        <w:t xml:space="preserve">In the Philippines, the government announced a re-opening of the Philippines’ borders to fully vaccinated international tourists with a negative RT-PCR test taken within 48 hours of departure of their country of origin, effective February 10, 2022, and lowered COVID-19 restrictions to alert level 1 starting from March 1, 2022, which allowed casinos to operate at 100% capacity, subject to certain guidelines. As of May 30, 2022, restrictions for inbound travelers into the Philippines were further eased and negative RT-PCR test results were no longer required for people who are fully vaccinated. In addition, as of October 28, 2022, the mandatory wearing of masks in the Philippines has been limited to healthcare facilities, medical transport vehicles and public transport. </w:t>
      </w:r>
    </w:p>
    <w:p>
      <w:pPr>
        <w:pStyle w:val="TextBody"/>
        <w:spacing w:before="240" w:after="0"/>
        <w:jc w:val="left"/>
        <w:rPr>
          <w:rFonts w:ascii="Times New Roman" w:hAnsi="Times New Roman"/>
          <w:sz w:val="20"/>
        </w:rPr>
      </w:pPr>
      <w:r>
        <w:rPr>
          <w:rFonts w:ascii="Times New Roman" w:hAnsi="Times New Roman"/>
          <w:sz w:val="20"/>
        </w:rPr>
        <w:t xml:space="preserve">In Cyprus, a surge in COVID-19 cases in December 2021 led to the introduction of certain gathering restrictions and enhanced COVID-19 test requirements for entry into venues such as restaurants and other entertainment venues in Cyprus, although our casinos in Cyprus remained open and certain restrictions were eased from February 21, 2022. Effective March 8, 2022, measures were further relaxed and the permissible capacity at our casinos was increased. The Cyprus Council of Ministers abolished the outdoor mask mandate from April 11, 2022 and further relaxed protective measures. There are currently no COVID-19 restrictions in place for travel to Cyprus and there is no requirement to present certificates of vaccination/testing for COVID-19. </w:t>
      </w:r>
    </w:p>
    <w:p>
      <w:pPr>
        <w:pStyle w:val="TextBody"/>
        <w:spacing w:before="240" w:after="0"/>
        <w:jc w:val="left"/>
        <w:rPr>
          <w:rFonts w:ascii="Times New Roman" w:hAnsi="Times New Roman"/>
          <w:sz w:val="20"/>
        </w:rPr>
      </w:pPr>
      <w:r>
        <w:rPr>
          <w:rFonts w:ascii="Times New Roman" w:hAnsi="Times New Roman"/>
          <w:sz w:val="20"/>
        </w:rPr>
        <w:t xml:space="preserve">While quarantine-free travel within Greater China has resumed and pandemic measures have eased significantly, the pace of our business recovery from COVID-19 is highly uncertain and will depend on the extent of any future COVID-19 outbreaks and government responses to such outbreaks, the efficacy of COVID-19 vaccines, including against any new strains of the coronavirus that causes COVID-19, the impact of potentially higher unemployment rates, declines in income levels and loss of personal wealth resulting from COVID-19 outbreaks. Moreover, even if COVID-19 outbreaks subside, there is no guarantee that travel and consumer sentiment will rebound quickly or at all. In addition, although travel restrictions have eased in Macau, the Philippines and Cyprus, we cannot be certain whether authorities in these jurisdictions, or the jurisdictions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where many of our customers reside, will reintroduce any of the previously imposed restrictions or any new restrictions in response to COVID-19 or other health emergencies. </w:t>
      </w:r>
    </w:p>
    <w:p>
      <w:pPr>
        <w:pStyle w:val="TextBody"/>
        <w:spacing w:before="240" w:after="0"/>
        <w:jc w:val="left"/>
        <w:rPr>
          <w:rFonts w:ascii="Times New Roman" w:hAnsi="Times New Roman"/>
          <w:sz w:val="20"/>
        </w:rPr>
      </w:pPr>
      <w:r>
        <w:rPr>
          <w:rFonts w:ascii="Times New Roman" w:hAnsi="Times New Roman"/>
          <w:sz w:val="20"/>
        </w:rPr>
        <w:t xml:space="preserve">The COVID-19 outbreak has also caused severe disruptions to the businesses of our tenants and other business partners, which may increase the risk of them defaulting on their contractual obligations with us, which may adversely affect our business, financial condition and results of operations, including causing increases in our bad debts. </w:t>
      </w:r>
    </w:p>
    <w:p>
      <w:pPr>
        <w:pStyle w:val="TextBody"/>
        <w:spacing w:before="240" w:after="0"/>
        <w:jc w:val="left"/>
        <w:rPr>
          <w:rFonts w:ascii="Times New Roman" w:hAnsi="Times New Roman"/>
          <w:sz w:val="20"/>
        </w:rPr>
      </w:pPr>
      <w:r>
        <w:rPr>
          <w:rFonts w:ascii="Times New Roman" w:hAnsi="Times New Roman"/>
          <w:sz w:val="20"/>
        </w:rPr>
        <w:t xml:space="preserve">The disruptions to our business caused by COVID-19 outbreaks have had an adverse effect on our operations. For the years ended December 31, 2022, 2021 and 2020, our operating revenues generated amounted to US$1.35 billion, US$2.01 billion and US$1.73 billion, respectively. Lower operating revenues since 2020 were mainly due to the effects of COVID-19. As such disruptions remain, they could materially impact our business,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Our operating history may not serve as an adequate basis to judge our future operating results and prospects. We have significant projects in various phases of development and therefore are subject to significant risks and uncertainties. </w:t>
      </w:r>
    </w:p>
    <w:p>
      <w:pPr>
        <w:pStyle w:val="TextBody"/>
        <w:spacing w:before="120" w:after="0"/>
        <w:jc w:val="left"/>
        <w:rPr>
          <w:rFonts w:ascii="Times New Roman" w:hAnsi="Times New Roman"/>
          <w:sz w:val="20"/>
        </w:rPr>
      </w:pPr>
      <w:r>
        <w:rPr>
          <w:rFonts w:ascii="Times New Roman" w:hAnsi="Times New Roman"/>
          <w:sz w:val="20"/>
        </w:rPr>
        <w:t xml:space="preserve">Our business operating history is shorter than some of our competitors and therefore may not serve as an adequate basis for your evaluation of our business and prospects. City of Dreams commenced operations in June 2009 and Morpheus, the third phase of City of Dreams, opened in June 2018. In addition, City of Dreams Manila commenced operations in December 2014 and Studio City commenced operations in October 2015. We also operate a temporary casino in Limassol and three satellite casinos in Nicosia, Ayia Napa and Paphos and are developing City of Dreams Mediterranean in Cyprus, a project in which we acquired a 75% equity interest in July 2019 and which is under development and targeted to open during the second quarter of 2023. </w:t>
      </w:r>
    </w:p>
    <w:p>
      <w:pPr>
        <w:pStyle w:val="TextBody"/>
        <w:spacing w:before="240" w:after="0"/>
        <w:jc w:val="left"/>
        <w:rPr>
          <w:rFonts w:ascii="Times New Roman" w:hAnsi="Times New Roman"/>
          <w:sz w:val="20"/>
        </w:rPr>
      </w:pPr>
      <w:r>
        <w:rPr>
          <w:rFonts w:ascii="Times New Roman" w:hAnsi="Times New Roman"/>
          <w:sz w:val="20"/>
        </w:rPr>
        <w:t xml:space="preserve">We face certain risks, expenses and challenges in operating gaming businesses in intensely competitive markets. Some of the risks relate to our ability to: </w:t>
      </w:r>
    </w:p>
    <w:p>
      <w:pPr>
        <w:pStyle w:val="TextBody"/>
        <w:spacing w:before="0" w:after="0"/>
        <w:jc w:val="left"/>
        <w:rPr/>
      </w:pPr>
      <w:r>
        <w:rPr/>
        <w:t> </w:t>
      </w:r>
    </w:p>
    <w:tbl>
      <w:tblPr>
        <w:tblW w:w="8350" w:type="dxa"/>
        <w:jc w:val="left"/>
        <w:tblInd w:w="0" w:type="dxa"/>
        <w:tblCellMar>
          <w:top w:w="0" w:type="dxa"/>
          <w:left w:w="0" w:type="dxa"/>
          <w:bottom w:w="0" w:type="dxa"/>
          <w:right w:w="0" w:type="dxa"/>
        </w:tblCellMar>
      </w:tblPr>
      <w:tblGrid>
        <w:gridCol w:w="75"/>
        <w:gridCol w:w="110"/>
        <w:gridCol w:w="60"/>
        <w:gridCol w:w="8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fulfill conditions precedent to draw down or roll over funds from current and future credit facilities; </w:t>
            </w:r>
          </w:p>
        </w:tc>
      </w:tr>
    </w:tbl>
    <w:p>
      <w:pPr>
        <w:pStyle w:val="TextBody"/>
        <w:spacing w:before="0" w:after="0"/>
        <w:jc w:val="left"/>
        <w:rPr/>
      </w:pPr>
      <w:r>
        <w:rPr/>
        <w:t> </w:t>
      </w:r>
    </w:p>
    <w:tbl>
      <w:tblPr>
        <w:tblW w:w="9640" w:type="dxa"/>
        <w:jc w:val="left"/>
        <w:tblInd w:w="0" w:type="dxa"/>
        <w:tblCellMar>
          <w:top w:w="0" w:type="dxa"/>
          <w:left w:w="0" w:type="dxa"/>
          <w:bottom w:w="0" w:type="dxa"/>
          <w:right w:w="0" w:type="dxa"/>
        </w:tblCellMar>
      </w:tblPr>
      <w:tblGrid>
        <w:gridCol w:w="75"/>
        <w:gridCol w:w="110"/>
        <w:gridCol w:w="60"/>
        <w:gridCol w:w="93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respond to economic uncertainties, including the social and economic disruptions caused by COVID-19 outbreaks; </w:t>
            </w:r>
          </w:p>
        </w:tc>
      </w:tr>
    </w:tbl>
    <w:p>
      <w:pPr>
        <w:pStyle w:val="TextBody"/>
        <w:spacing w:before="0" w:after="0"/>
        <w:jc w:val="left"/>
        <w:rPr/>
      </w:pPr>
      <w:r>
        <w:rPr/>
        <w:t> </w:t>
      </w:r>
    </w:p>
    <w:tbl>
      <w:tblPr>
        <w:tblW w:w="7495" w:type="dxa"/>
        <w:jc w:val="left"/>
        <w:tblInd w:w="0" w:type="dxa"/>
        <w:tblCellMar>
          <w:top w:w="0" w:type="dxa"/>
          <w:left w:w="0" w:type="dxa"/>
          <w:bottom w:w="0" w:type="dxa"/>
          <w:right w:w="0" w:type="dxa"/>
        </w:tblCellMar>
      </w:tblPr>
      <w:tblGrid>
        <w:gridCol w:w="75"/>
        <w:gridCol w:w="110"/>
        <w:gridCol w:w="60"/>
        <w:gridCol w:w="7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comply with covenants under our existing and future debt issuances and credit facilities; </w:t>
            </w:r>
          </w:p>
        </w:tc>
      </w:tr>
    </w:tbl>
    <w:p>
      <w:pPr>
        <w:pStyle w:val="TextBody"/>
        <w:spacing w:before="0" w:after="0"/>
        <w:jc w:val="left"/>
        <w:rPr/>
      </w:pPr>
      <w:r>
        <w:rPr/>
        <w:t> </w:t>
      </w:r>
    </w:p>
    <w:tbl>
      <w:tblPr>
        <w:tblW w:w="3220" w:type="dxa"/>
        <w:jc w:val="left"/>
        <w:tblInd w:w="0" w:type="dxa"/>
        <w:tblCellMar>
          <w:top w:w="0" w:type="dxa"/>
          <w:left w:w="0" w:type="dxa"/>
          <w:bottom w:w="0" w:type="dxa"/>
          <w:right w:w="0" w:type="dxa"/>
        </w:tblCellMar>
      </w:tblPr>
      <w:tblGrid>
        <w:gridCol w:w="75"/>
        <w:gridCol w:w="110"/>
        <w:gridCol w:w="60"/>
        <w:gridCol w:w="2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raise additional capital, as required; </w:t>
            </w:r>
          </w:p>
        </w:tc>
      </w:tr>
    </w:tbl>
    <w:p>
      <w:pPr>
        <w:pStyle w:val="TextBody"/>
        <w:spacing w:before="0" w:after="0"/>
        <w:jc w:val="left"/>
        <w:rPr/>
      </w:pPr>
      <w:r>
        <w:rPr/>
        <w:t> </w:t>
      </w:r>
    </w:p>
    <w:tbl>
      <w:tblPr>
        <w:tblW w:w="3970" w:type="dxa"/>
        <w:jc w:val="left"/>
        <w:tblInd w:w="0" w:type="dxa"/>
        <w:tblCellMar>
          <w:top w:w="0" w:type="dxa"/>
          <w:left w:w="0" w:type="dxa"/>
          <w:bottom w:w="0" w:type="dxa"/>
          <w:right w:w="0" w:type="dxa"/>
        </w:tblCellMar>
      </w:tblPr>
      <w:tblGrid>
        <w:gridCol w:w="75"/>
        <w:gridCol w:w="110"/>
        <w:gridCol w:w="60"/>
        <w:gridCol w:w="3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respond to changing financing requirements; </w:t>
            </w:r>
          </w:p>
        </w:tc>
      </w:tr>
    </w:tbl>
    <w:p>
      <w:pPr>
        <w:pStyle w:val="TextBody"/>
        <w:spacing w:before="0" w:after="0"/>
        <w:jc w:val="left"/>
        <w:rPr/>
      </w:pPr>
      <w:r>
        <w:rPr/>
        <w:t> </w:t>
      </w:r>
    </w:p>
    <w:tbl>
      <w:tblPr>
        <w:tblW w:w="9520" w:type="dxa"/>
        <w:jc w:val="left"/>
        <w:tblInd w:w="0" w:type="dxa"/>
        <w:tblCellMar>
          <w:top w:w="0" w:type="dxa"/>
          <w:left w:w="0" w:type="dxa"/>
          <w:bottom w:w="0" w:type="dxa"/>
          <w:right w:w="0" w:type="dxa"/>
        </w:tblCellMar>
      </w:tblPr>
      <w:tblGrid>
        <w:gridCol w:w="75"/>
        <w:gridCol w:w="110"/>
        <w:gridCol w:w="60"/>
        <w:gridCol w:w="92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2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operate, support, expand and develop our operations and our facilities, including opening Phase 2 of Studio City; </w:t>
            </w:r>
          </w:p>
        </w:tc>
      </w:tr>
    </w:tbl>
    <w:p>
      <w:pPr>
        <w:pStyle w:val="TextBody"/>
        <w:spacing w:before="0" w:after="0"/>
        <w:jc w:val="left"/>
        <w:rPr/>
      </w:pPr>
      <w:r>
        <w:rPr/>
        <w:t> </w:t>
      </w:r>
    </w:p>
    <w:tbl>
      <w:tblPr>
        <w:tblW w:w="4645" w:type="dxa"/>
        <w:jc w:val="left"/>
        <w:tblInd w:w="0" w:type="dxa"/>
        <w:tblCellMar>
          <w:top w:w="0" w:type="dxa"/>
          <w:left w:w="0" w:type="dxa"/>
          <w:bottom w:w="0" w:type="dxa"/>
          <w:right w:w="0" w:type="dxa"/>
        </w:tblCellMar>
      </w:tblPr>
      <w:tblGrid>
        <w:gridCol w:w="75"/>
        <w:gridCol w:w="110"/>
        <w:gridCol w:w="60"/>
        <w:gridCol w:w="4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attract and retain customers and qualified employees; </w:t>
            </w:r>
          </w:p>
        </w:tc>
      </w:tr>
    </w:tbl>
    <w:p>
      <w:pPr>
        <w:pStyle w:val="TextBody"/>
        <w:spacing w:before="0" w:after="0"/>
        <w:jc w:val="left"/>
        <w:rPr/>
      </w:pPr>
      <w:r>
        <w:rPr/>
        <w:t> </w:t>
      </w:r>
    </w:p>
    <w:tbl>
      <w:tblPr>
        <w:tblW w:w="5410" w:type="dxa"/>
        <w:jc w:val="left"/>
        <w:tblInd w:w="0" w:type="dxa"/>
        <w:tblCellMar>
          <w:top w:w="0" w:type="dxa"/>
          <w:left w:w="0" w:type="dxa"/>
          <w:bottom w:w="0" w:type="dxa"/>
          <w:right w:w="0" w:type="dxa"/>
        </w:tblCellMar>
      </w:tblPr>
      <w:tblGrid>
        <w:gridCol w:w="75"/>
        <w:gridCol w:w="110"/>
        <w:gridCol w:w="60"/>
        <w:gridCol w:w="5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maintain effective control of our operating costs and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maintain internal personnel, systems, controls and procedures to assure compliance with the extensive regulatory requirements applicable to the gaming business as well as regulatory compliance as a public company; </w:t>
            </w:r>
          </w:p>
        </w:tc>
      </w:tr>
    </w:tbl>
    <w:p>
      <w:pPr>
        <w:pStyle w:val="TextBody"/>
        <w:spacing w:before="0" w:after="0"/>
        <w:jc w:val="left"/>
        <w:rPr/>
      </w:pPr>
      <w:r>
        <w:rPr/>
        <w:t> </w:t>
      </w:r>
    </w:p>
    <w:tbl>
      <w:tblPr>
        <w:tblW w:w="5440" w:type="dxa"/>
        <w:jc w:val="left"/>
        <w:tblInd w:w="0" w:type="dxa"/>
        <w:tblCellMar>
          <w:top w:w="0" w:type="dxa"/>
          <w:left w:w="0" w:type="dxa"/>
          <w:bottom w:w="0" w:type="dxa"/>
          <w:right w:w="0" w:type="dxa"/>
        </w:tblCellMar>
      </w:tblPr>
      <w:tblGrid>
        <w:gridCol w:w="75"/>
        <w:gridCol w:w="110"/>
        <w:gridCol w:w="60"/>
        <w:gridCol w:w="5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respond to competitive and/or deteriorating market conditions; </w:t>
            </w:r>
          </w:p>
        </w:tc>
      </w:tr>
    </w:tbl>
    <w:p>
      <w:pPr>
        <w:pStyle w:val="TextBody"/>
        <w:spacing w:before="0" w:after="0"/>
        <w:jc w:val="left"/>
        <w:rPr/>
      </w:pPr>
      <w:r>
        <w:rPr/>
        <w:t> </w:t>
      </w:r>
    </w:p>
    <w:tbl>
      <w:tblPr>
        <w:tblW w:w="6835" w:type="dxa"/>
        <w:jc w:val="left"/>
        <w:tblInd w:w="0" w:type="dxa"/>
        <w:tblCellMar>
          <w:top w:w="0" w:type="dxa"/>
          <w:left w:w="0" w:type="dxa"/>
          <w:bottom w:w="0" w:type="dxa"/>
          <w:right w:w="0" w:type="dxa"/>
        </w:tblCellMar>
      </w:tblPr>
      <w:tblGrid>
        <w:gridCol w:w="75"/>
        <w:gridCol w:w="110"/>
        <w:gridCol w:w="60"/>
        <w:gridCol w:w="6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respond to changes in our regulatory environment and government policies; and </w:t>
            </w:r>
          </w:p>
        </w:tc>
      </w:tr>
    </w:tbl>
    <w:p>
      <w:pPr>
        <w:pStyle w:val="TextBody"/>
        <w:spacing w:before="0" w:after="0"/>
        <w:jc w:val="left"/>
        <w:rPr/>
      </w:pPr>
      <w:r>
        <w:rPr/>
        <w:t> </w:t>
      </w:r>
    </w:p>
    <w:tbl>
      <w:tblPr>
        <w:tblW w:w="6430" w:type="dxa"/>
        <w:jc w:val="left"/>
        <w:tblInd w:w="0" w:type="dxa"/>
        <w:tblCellMar>
          <w:top w:w="0" w:type="dxa"/>
          <w:left w:w="0" w:type="dxa"/>
          <w:bottom w:w="0" w:type="dxa"/>
          <w:right w:w="0" w:type="dxa"/>
        </w:tblCellMar>
      </w:tblPr>
      <w:tblGrid>
        <w:gridCol w:w="75"/>
        <w:gridCol w:w="110"/>
        <w:gridCol w:w="60"/>
        <w:gridCol w:w="6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renew or extend leases or right to use agreements for existing Mocha Clubs. </w:t>
            </w:r>
          </w:p>
        </w:tc>
      </w:tr>
    </w:tbl>
    <w:p>
      <w:pPr>
        <w:pStyle w:val="TextBody"/>
        <w:spacing w:before="240" w:after="0"/>
        <w:jc w:val="left"/>
        <w:rPr>
          <w:rFonts w:ascii="Times New Roman" w:hAnsi="Times New Roman"/>
          <w:sz w:val="20"/>
        </w:rPr>
      </w:pPr>
      <w:r>
        <w:rPr>
          <w:rFonts w:ascii="Times New Roman" w:hAnsi="Times New Roman"/>
          <w:sz w:val="20"/>
        </w:rPr>
        <w:t xml:space="preserve">If we are unable to complete any of these tasks or successfully manage one or more of the risks, we may be unable to operate our businesses in the manner we contemplate and generate revenues from such projects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amounts and by the times we anticipate. We may also be unable to meet the conditions to draw on our existing or future financing facilities in order to fund various activities, which may result in a default under our existing or future financing facilities. If any of these events were to occur, it could cause a material adverse effect on our business and prospects, financial condition, results of operations and cash flows. </w:t>
      </w:r>
    </w:p>
    <w:p>
      <w:pPr>
        <w:pStyle w:val="TextBody"/>
        <w:spacing w:before="360" w:after="0"/>
        <w:jc w:val="left"/>
        <w:rPr>
          <w:rFonts w:ascii="Times New Roman" w:hAnsi="Times New Roman"/>
          <w:b/>
          <w:i/>
          <w:sz w:val="20"/>
        </w:rPr>
      </w:pPr>
      <w:r>
        <w:rPr>
          <w:rFonts w:ascii="Times New Roman" w:hAnsi="Times New Roman"/>
          <w:b/>
          <w:i/>
          <w:sz w:val="20"/>
        </w:rPr>
        <w:t xml:space="preserve">We generate a substantial portion of our cash flow from our properties in Macau and the Philippines and, as a result, we are subject to greater risks than a gaming company which operates in more geographical regions. </w:t>
      </w:r>
    </w:p>
    <w:p>
      <w:pPr>
        <w:pStyle w:val="TextBody"/>
        <w:spacing w:before="120" w:after="0"/>
        <w:jc w:val="left"/>
        <w:rPr>
          <w:rFonts w:ascii="Times New Roman" w:hAnsi="Times New Roman"/>
          <w:sz w:val="20"/>
        </w:rPr>
      </w:pPr>
      <w:r>
        <w:rPr>
          <w:rFonts w:ascii="Times New Roman" w:hAnsi="Times New Roman"/>
          <w:sz w:val="20"/>
        </w:rPr>
        <w:t xml:space="preserve">We are a parent company with limited business operations of our own. We conduct most of our business operations through our direct and indirect subsidiaries. Our primary sources of cash are dividends and distributions with respect to our ownership interests in our subsidiaries that are derived from the earnings and cash flow generated by our operating properties. </w:t>
      </w:r>
    </w:p>
    <w:p>
      <w:pPr>
        <w:pStyle w:val="TextBody"/>
        <w:spacing w:before="240" w:after="0"/>
        <w:jc w:val="left"/>
        <w:rPr>
          <w:rFonts w:ascii="Times New Roman" w:hAnsi="Times New Roman"/>
          <w:sz w:val="20"/>
        </w:rPr>
      </w:pPr>
      <w:r>
        <w:rPr>
          <w:rFonts w:ascii="Times New Roman" w:hAnsi="Times New Roman"/>
          <w:sz w:val="20"/>
        </w:rPr>
        <w:t xml:space="preserve">While we commenced operation of our temporary casino and satellite casinos in Cyprus, we primarily depend on our properties in Macau and City of Dreams Manila for our cash flow. Given that our operations are and will be primarily conducted based on our principal properties in Macau and one property in Manila prior to the opening of City of Dreams Mediterranean, we are and will be subject to greater risks resulting from limited diversification of our businesses and sources of revenues as compared to gaming companies with more operating properties in various geographic regions. These risks include, but are not limited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Macau, the PRC and Philippine laws and regulations, including gaming laws and regulations or interpretations thereof, as well as PRC travel and visa policies; </w:t>
            </w:r>
          </w:p>
        </w:tc>
      </w:tr>
    </w:tbl>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75"/>
        <w:gridCol w:w="110"/>
        <w:gridCol w:w="60"/>
        <w:gridCol w:w="69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dependence on the gaming, tourism and leisure market in Macau and the Philippines; </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75"/>
        <w:gridCol w:w="110"/>
        <w:gridCol w:w="60"/>
        <w:gridCol w:w="5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limited diversification of businesses and sources of revenues;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decline in air, land or ferry passenger traffic to Macau or the Philippines from the PRC or other areas or countries due to higher ticket costs, fears concerning travel, travel restrictions or otherwise, including as a result of the outbreak of widespread health epidemics or pandemics, such as the outbreak of COVID-19;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decline in economic and political conditions in Macau, the PRC, the Philippines or Asia, or an increase in competition within the gaming industry in Macau, the Philippines or generally in Asia;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inaccessibility to Macau or the Philippines due to inclement weather, road construction or closure of primary access routes; </w:t>
            </w:r>
          </w:p>
        </w:tc>
      </w:tr>
    </w:tbl>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austerity measures imposed now or in the future by the governments in the PRC or other countries in Asia;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tightened control of cross-border fund transfers, foreign exchange and/or anti-money laundering regulations or policies effected by the Chinese, Macau and/or Philippine governments; </w:t>
            </w:r>
          </w:p>
        </w:tc>
      </w:tr>
    </w:tbl>
    <w:p>
      <w:pPr>
        <w:pStyle w:val="TextBody"/>
        <w:spacing w:before="0" w:after="0"/>
        <w:jc w:val="left"/>
        <w:rPr/>
      </w:pPr>
      <w:r>
        <w:rPr/>
        <w:t> </w:t>
      </w:r>
    </w:p>
    <w:tbl>
      <w:tblPr>
        <w:tblW w:w="10120" w:type="dxa"/>
        <w:jc w:val="left"/>
        <w:tblInd w:w="0" w:type="dxa"/>
        <w:tblCellMar>
          <w:top w:w="0" w:type="dxa"/>
          <w:left w:w="0" w:type="dxa"/>
          <w:bottom w:w="0" w:type="dxa"/>
          <w:right w:w="0" w:type="dxa"/>
        </w:tblCellMar>
      </w:tblPr>
      <w:tblGrid>
        <w:gridCol w:w="75"/>
        <w:gridCol w:w="110"/>
        <w:gridCol w:w="60"/>
        <w:gridCol w:w="98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enforcement or legal measures taken by the Chinese government to deter gaming activities and/or marketing thereof;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natural and other disasters, including typhoons, earthquakes, volcano eruptions, outbreaks of infectious diseases, terrorism, violent criminal activities or disruption affecting Macau or the Philippines; </w:t>
            </w:r>
          </w:p>
        </w:tc>
      </w:tr>
    </w:tbl>
    <w:p>
      <w:pPr>
        <w:pStyle w:val="TextBody"/>
        <w:spacing w:before="0" w:after="0"/>
        <w:jc w:val="left"/>
        <w:rPr/>
      </w:pPr>
      <w:r>
        <w:rPr/>
        <w:t> </w:t>
      </w:r>
    </w:p>
    <w:tbl>
      <w:tblPr>
        <w:tblW w:w="8545" w:type="dxa"/>
        <w:jc w:val="left"/>
        <w:tblInd w:w="0" w:type="dxa"/>
        <w:tblCellMar>
          <w:top w:w="0" w:type="dxa"/>
          <w:left w:w="0" w:type="dxa"/>
          <w:bottom w:w="0" w:type="dxa"/>
          <w:right w:w="0" w:type="dxa"/>
        </w:tblCellMar>
      </w:tblPr>
      <w:tblGrid>
        <w:gridCol w:w="75"/>
        <w:gridCol w:w="110"/>
        <w:gridCol w:w="60"/>
        <w:gridCol w:w="8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lower than expected rate of increase or decrease in the number of visitors to Macau or the Philippines;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relaxation of regulations on gaming laws in other regional economies that could compete with the Macau and the Philippine markets; </w:t>
            </w:r>
          </w:p>
        </w:tc>
      </w:tr>
    </w:tbl>
    <w:p>
      <w:pPr>
        <w:pStyle w:val="TextBody"/>
        <w:spacing w:before="0" w:after="0"/>
        <w:jc w:val="left"/>
        <w:rPr/>
      </w:pPr>
      <w:r>
        <w:rPr/>
        <w:t> </w:t>
      </w:r>
    </w:p>
    <w:tbl>
      <w:tblPr>
        <w:tblW w:w="9625" w:type="dxa"/>
        <w:jc w:val="left"/>
        <w:tblInd w:w="0" w:type="dxa"/>
        <w:tblCellMar>
          <w:top w:w="0" w:type="dxa"/>
          <w:left w:w="0" w:type="dxa"/>
          <w:bottom w:w="0" w:type="dxa"/>
          <w:right w:w="0" w:type="dxa"/>
        </w:tblCellMar>
      </w:tblPr>
      <w:tblGrid>
        <w:gridCol w:w="75"/>
        <w:gridCol w:w="110"/>
        <w:gridCol w:w="60"/>
        <w:gridCol w:w="9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government restrictions on growth of gaming markets, including policies on gaming table allocation and caps; and </w:t>
            </w:r>
          </w:p>
        </w:tc>
      </w:tr>
    </w:tbl>
    <w:p>
      <w:pPr>
        <w:pStyle w:val="TextBody"/>
        <w:spacing w:before="0" w:after="0"/>
        <w:jc w:val="left"/>
        <w:rPr/>
      </w:pPr>
      <w:r>
        <w:rPr/>
        <w:t> </w:t>
      </w:r>
    </w:p>
    <w:tbl>
      <w:tblPr>
        <w:tblW w:w="5830" w:type="dxa"/>
        <w:jc w:val="left"/>
        <w:tblInd w:w="0" w:type="dxa"/>
        <w:tblCellMar>
          <w:top w:w="0" w:type="dxa"/>
          <w:left w:w="0" w:type="dxa"/>
          <w:bottom w:w="0" w:type="dxa"/>
          <w:right w:w="0" w:type="dxa"/>
        </w:tblCellMar>
      </w:tblPr>
      <w:tblGrid>
        <w:gridCol w:w="75"/>
        <w:gridCol w:w="110"/>
        <w:gridCol w:w="60"/>
        <w:gridCol w:w="5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decrease in gaming activities and other spending at our properties.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Any of these developments or events could have a material adverse effect on our business, cash flows,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All of our current and future construction projects are and will be subject to significant development and construction risks, which could have a material adverse impact on related project timetables, costs and our ability to complete the projects. </w:t>
      </w:r>
    </w:p>
    <w:p>
      <w:pPr>
        <w:pStyle w:val="TextBody"/>
        <w:spacing w:before="120" w:after="0"/>
        <w:jc w:val="left"/>
        <w:rPr>
          <w:rFonts w:ascii="Times New Roman" w:hAnsi="Times New Roman"/>
          <w:sz w:val="20"/>
        </w:rPr>
      </w:pPr>
      <w:r>
        <w:rPr>
          <w:rFonts w:ascii="Times New Roman" w:hAnsi="Times New Roman"/>
          <w:sz w:val="20"/>
        </w:rPr>
        <w:t xml:space="preserve">All of our current and future construction projects are and will be subject to a number of risks, including: </w:t>
      </w:r>
    </w:p>
    <w:p>
      <w:pPr>
        <w:pStyle w:val="TextBody"/>
        <w:spacing w:before="0" w:after="0"/>
        <w:jc w:val="left"/>
        <w:rPr/>
      </w:pPr>
      <w:r>
        <w:rPr/>
        <w:t> </w:t>
      </w:r>
    </w:p>
    <w:tbl>
      <w:tblPr>
        <w:tblW w:w="3250" w:type="dxa"/>
        <w:jc w:val="left"/>
        <w:tblInd w:w="0" w:type="dxa"/>
        <w:tblCellMar>
          <w:top w:w="0" w:type="dxa"/>
          <w:left w:w="0" w:type="dxa"/>
          <w:bottom w:w="0" w:type="dxa"/>
          <w:right w:w="0" w:type="dxa"/>
        </w:tblCellMar>
      </w:tblPr>
      <w:tblGrid>
        <w:gridCol w:w="75"/>
        <w:gridCol w:w="110"/>
        <w:gridCol w:w="60"/>
        <w:gridCol w:w="3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to plans and specifications; </w:t>
            </w:r>
          </w:p>
        </w:tc>
      </w:tr>
    </w:tbl>
    <w:p>
      <w:pPr>
        <w:pStyle w:val="TextBody"/>
        <w:spacing w:before="0" w:after="0"/>
        <w:jc w:val="left"/>
        <w:rPr/>
      </w:pPr>
      <w:r>
        <w:rPr/>
        <w:t> </w:t>
      </w:r>
    </w:p>
    <w:tbl>
      <w:tblPr>
        <w:tblW w:w="5830" w:type="dxa"/>
        <w:jc w:val="left"/>
        <w:tblInd w:w="0" w:type="dxa"/>
        <w:tblCellMar>
          <w:top w:w="0" w:type="dxa"/>
          <w:left w:w="0" w:type="dxa"/>
          <w:bottom w:w="0" w:type="dxa"/>
          <w:right w:w="0" w:type="dxa"/>
        </w:tblCellMar>
      </w:tblPr>
      <w:tblGrid>
        <w:gridCol w:w="75"/>
        <w:gridCol w:w="110"/>
        <w:gridCol w:w="60"/>
        <w:gridCol w:w="55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engineering problems, including defective plans and specifications;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disruptions to key supply markets, including shortages of, and price increases in, energy, materials and skilled and unskilled labor, geopolitical issues and inflation, including any disruptions resulting from COVID-19 outbreaks; </w:t>
            </w:r>
          </w:p>
        </w:tc>
      </w:tr>
    </w:tbl>
    <w:p>
      <w:pPr>
        <w:pStyle w:val="TextBody"/>
        <w:spacing w:before="0" w:after="0"/>
        <w:jc w:val="left"/>
        <w:rPr/>
      </w:pPr>
      <w:r>
        <w:rPr/>
        <w:t> </w:t>
      </w:r>
    </w:p>
    <w:tbl>
      <w:tblPr>
        <w:tblW w:w="7090" w:type="dxa"/>
        <w:jc w:val="left"/>
        <w:tblInd w:w="0" w:type="dxa"/>
        <w:tblCellMar>
          <w:top w:w="0" w:type="dxa"/>
          <w:left w:w="0" w:type="dxa"/>
          <w:bottom w:w="0" w:type="dxa"/>
          <w:right w:w="0" w:type="dxa"/>
        </w:tblCellMar>
      </w:tblPr>
      <w:tblGrid>
        <w:gridCol w:w="75"/>
        <w:gridCol w:w="110"/>
        <w:gridCol w:w="60"/>
        <w:gridCol w:w="6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delays in obtaining or inability to obtain necessary permits, licenses and approvals; </w:t>
            </w:r>
          </w:p>
        </w:tc>
      </w:tr>
    </w:tbl>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75"/>
        <w:gridCol w:w="110"/>
        <w:gridCol w:w="60"/>
        <w:gridCol w:w="4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lack of sufficient, or delays in availability of, financing;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laws and regulations, or in the interpretation and enforcement of laws and regulations, applicable to gaming, leisure, residential, real estate development or construction projects; </w:t>
            </w:r>
          </w:p>
        </w:tc>
      </w:tr>
    </w:tbl>
    <w:p>
      <w:pPr>
        <w:pStyle w:val="TextBody"/>
        <w:spacing w:before="0" w:after="0"/>
        <w:jc w:val="left"/>
        <w:rPr/>
      </w:pPr>
      <w:r>
        <w:rPr/>
        <w:t> </w:t>
      </w:r>
    </w:p>
    <w:tbl>
      <w:tblPr>
        <w:tblW w:w="3040" w:type="dxa"/>
        <w:jc w:val="left"/>
        <w:tblInd w:w="0" w:type="dxa"/>
        <w:tblCellMar>
          <w:top w:w="0" w:type="dxa"/>
          <w:left w:w="0" w:type="dxa"/>
          <w:bottom w:w="0" w:type="dxa"/>
          <w:right w:w="0" w:type="dxa"/>
        </w:tblCellMar>
      </w:tblPr>
      <w:tblGrid>
        <w:gridCol w:w="75"/>
        <w:gridCol w:w="110"/>
        <w:gridCol w:w="60"/>
        <w:gridCol w:w="2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labor disputes or work stoppages;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shortage of qualified contractors and suppliers or inability to enter into definitive contracts with contractors with sufficient skills, financial resources and experience on commercially reasonable terms, or at all; </w:t>
            </w:r>
          </w:p>
        </w:tc>
      </w:tr>
    </w:tbl>
    <w:p>
      <w:pPr>
        <w:pStyle w:val="TextBody"/>
        <w:spacing w:before="0" w:after="0"/>
        <w:jc w:val="left"/>
        <w:rPr/>
      </w:pPr>
      <w:r>
        <w:rPr/>
        <w:t> </w:t>
      </w:r>
    </w:p>
    <w:tbl>
      <w:tblPr>
        <w:tblW w:w="7435" w:type="dxa"/>
        <w:jc w:val="left"/>
        <w:tblInd w:w="0" w:type="dxa"/>
        <w:tblCellMar>
          <w:top w:w="0" w:type="dxa"/>
          <w:left w:w="0" w:type="dxa"/>
          <w:bottom w:w="0" w:type="dxa"/>
          <w:right w:w="0" w:type="dxa"/>
        </w:tblCellMar>
      </w:tblPr>
      <w:tblGrid>
        <w:gridCol w:w="75"/>
        <w:gridCol w:w="110"/>
        <w:gridCol w:w="60"/>
        <w:gridCol w:w="7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disputes with, and defaults by, contractors and subcontractors and other counter-parties; </w:t>
            </w:r>
          </w:p>
        </w:tc>
      </w:tr>
    </w:tbl>
    <w:p>
      <w:pPr>
        <w:pStyle w:val="TextBody"/>
        <w:spacing w:before="0" w:after="0"/>
        <w:jc w:val="left"/>
        <w:rPr/>
      </w:pPr>
      <w:r>
        <w:rPr/>
        <w:t> </w:t>
      </w:r>
    </w:p>
    <w:tbl>
      <w:tblPr>
        <w:tblW w:w="4090" w:type="dxa"/>
        <w:jc w:val="left"/>
        <w:tblInd w:w="0" w:type="dxa"/>
        <w:tblCellMar>
          <w:top w:w="0" w:type="dxa"/>
          <w:left w:w="0" w:type="dxa"/>
          <w:bottom w:w="0" w:type="dxa"/>
          <w:right w:w="0" w:type="dxa"/>
        </w:tblCellMar>
      </w:tblPr>
      <w:tblGrid>
        <w:gridCol w:w="75"/>
        <w:gridCol w:w="110"/>
        <w:gridCol w:w="60"/>
        <w:gridCol w:w="3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personal injuries to workers and other persons;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environmental, health and safety issues, including site accidents and the spread or outbreak of infectious diseases, such as COVID-19 outbreaks; </w:t>
            </w:r>
          </w:p>
        </w:tc>
      </w:tr>
    </w:tbl>
    <w:p>
      <w:pPr>
        <w:pStyle w:val="TextBody"/>
        <w:spacing w:before="0" w:after="0"/>
        <w:jc w:val="left"/>
        <w:rPr/>
      </w:pPr>
      <w:r>
        <w:rPr/>
        <w:t> </w:t>
      </w:r>
    </w:p>
    <w:tbl>
      <w:tblPr>
        <w:tblW w:w="2875" w:type="dxa"/>
        <w:jc w:val="left"/>
        <w:tblInd w:w="0" w:type="dxa"/>
        <w:tblCellMar>
          <w:top w:w="0" w:type="dxa"/>
          <w:left w:w="0" w:type="dxa"/>
          <w:bottom w:w="0" w:type="dxa"/>
          <w:right w:w="0" w:type="dxa"/>
        </w:tblCellMar>
      </w:tblPr>
      <w:tblGrid>
        <w:gridCol w:w="75"/>
        <w:gridCol w:w="110"/>
        <w:gridCol w:w="60"/>
        <w:gridCol w:w="26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weather interferences or delays; </w:t>
            </w:r>
          </w:p>
        </w:tc>
      </w:tr>
    </w:tbl>
    <w:p>
      <w:pPr>
        <w:pStyle w:val="TextBody"/>
        <w:spacing w:before="0" w:after="0"/>
        <w:jc w:val="left"/>
        <w:rPr/>
      </w:pPr>
      <w:r>
        <w:rPr/>
        <w:t> </w:t>
      </w:r>
    </w:p>
    <w:tbl>
      <w:tblPr>
        <w:tblW w:w="3745" w:type="dxa"/>
        <w:jc w:val="left"/>
        <w:tblInd w:w="0" w:type="dxa"/>
        <w:tblCellMar>
          <w:top w:w="0" w:type="dxa"/>
          <w:left w:w="0" w:type="dxa"/>
          <w:bottom w:w="0" w:type="dxa"/>
          <w:right w:w="0" w:type="dxa"/>
        </w:tblCellMar>
      </w:tblPr>
      <w:tblGrid>
        <w:gridCol w:w="75"/>
        <w:gridCol w:w="110"/>
        <w:gridCol w:w="60"/>
        <w:gridCol w:w="3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fires, typhoons and other natural disasters; </w:t>
            </w:r>
          </w:p>
        </w:tc>
      </w:tr>
    </w:tbl>
    <w:p>
      <w:pPr>
        <w:pStyle w:val="TextBody"/>
        <w:spacing w:before="0" w:after="0"/>
        <w:jc w:val="left"/>
        <w:rPr/>
      </w:pPr>
      <w:r>
        <w:rPr/>
        <w:t> </w:t>
      </w:r>
    </w:p>
    <w:tbl>
      <w:tblPr>
        <w:tblW w:w="6685" w:type="dxa"/>
        <w:jc w:val="left"/>
        <w:tblInd w:w="0" w:type="dxa"/>
        <w:tblCellMar>
          <w:top w:w="0" w:type="dxa"/>
          <w:left w:w="0" w:type="dxa"/>
          <w:bottom w:w="0" w:type="dxa"/>
          <w:right w:w="0" w:type="dxa"/>
        </w:tblCellMar>
      </w:tblPr>
      <w:tblGrid>
        <w:gridCol w:w="75"/>
        <w:gridCol w:w="110"/>
        <w:gridCol w:w="60"/>
        <w:gridCol w:w="6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geological, construction, excavation, regulatory and equipment problems; and </w:t>
            </w:r>
          </w:p>
        </w:tc>
      </w:tr>
    </w:tbl>
    <w:p>
      <w:pPr>
        <w:pStyle w:val="TextBody"/>
        <w:spacing w:before="0" w:after="0"/>
        <w:jc w:val="left"/>
        <w:rPr/>
      </w:pPr>
      <w:r>
        <w:rPr/>
        <w:t> </w:t>
      </w:r>
    </w:p>
    <w:tbl>
      <w:tblPr>
        <w:tblW w:w="4510" w:type="dxa"/>
        <w:jc w:val="left"/>
        <w:tblInd w:w="0" w:type="dxa"/>
        <w:tblCellMar>
          <w:top w:w="0" w:type="dxa"/>
          <w:left w:w="0" w:type="dxa"/>
          <w:bottom w:w="0" w:type="dxa"/>
          <w:right w:w="0" w:type="dxa"/>
        </w:tblCellMar>
      </w:tblPr>
      <w:tblGrid>
        <w:gridCol w:w="75"/>
        <w:gridCol w:w="110"/>
        <w:gridCol w:w="60"/>
        <w:gridCol w:w="42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other unanticipated circumstances or cost increases. </w:t>
            </w:r>
          </w:p>
        </w:tc>
      </w:tr>
    </w:tbl>
    <w:p>
      <w:pPr>
        <w:pStyle w:val="TextBody"/>
        <w:spacing w:before="240" w:after="0"/>
        <w:jc w:val="left"/>
        <w:rPr>
          <w:rFonts w:ascii="Times New Roman" w:hAnsi="Times New Roman"/>
          <w:sz w:val="20"/>
        </w:rPr>
      </w:pPr>
      <w:r>
        <w:rPr>
          <w:rFonts w:ascii="Times New Roman" w:hAnsi="Times New Roman"/>
          <w:sz w:val="20"/>
        </w:rPr>
        <w:t xml:space="preserve">The occurrence of any of these events could increase the total costs, delay or prevent the construction or opening or otherwise affect the design and features of any existing or future construction projects which we might undertake. For example, in Cyprus, the City of Dreams Mediterranean project has experienced delays due to some difficulties that we have encountered with our contractors in relation to meeting labor resourcing plans and maintaining progress. We cannot guarantee that our construction costs or total project costs for existing or future projects will not increase beyond amounts initially budgeted. </w:t>
      </w:r>
    </w:p>
    <w:p>
      <w:pPr>
        <w:pStyle w:val="TextBody"/>
        <w:spacing w:before="360" w:after="0"/>
        <w:jc w:val="left"/>
        <w:rPr>
          <w:rFonts w:ascii="Times New Roman" w:hAnsi="Times New Roman"/>
          <w:b/>
          <w:i/>
          <w:sz w:val="20"/>
        </w:rPr>
      </w:pPr>
      <w:r>
        <w:rPr>
          <w:rFonts w:ascii="Times New Roman" w:hAnsi="Times New Roman"/>
          <w:b/>
          <w:i/>
          <w:sz w:val="20"/>
        </w:rPr>
        <w:t xml:space="preserve">We could encounter substantial cost increases or delays in the development of our projects, which could prevent or delay the opening of such projects. </w:t>
      </w:r>
    </w:p>
    <w:p>
      <w:pPr>
        <w:pStyle w:val="TextBody"/>
        <w:spacing w:before="120" w:after="0"/>
        <w:jc w:val="left"/>
        <w:rPr>
          <w:rFonts w:ascii="Times New Roman" w:hAnsi="Times New Roman"/>
          <w:sz w:val="20"/>
        </w:rPr>
      </w:pPr>
      <w:r>
        <w:rPr>
          <w:rFonts w:ascii="Times New Roman" w:hAnsi="Times New Roman"/>
          <w:sz w:val="20"/>
        </w:rPr>
        <w:t xml:space="preserve">We have certain projects under development. The completion of these projects is subject to a number of contingencies, including adverse developments in applicable legislation, delays or failures in obtaining necessary government licenses, permits or approvals, disruptions to key supply markets, including shortages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price increases in energy, materials and skilled and unskilled labor, and inflation, including any disruptions resulting from COVID-19 outbreaks. The occurrence of any of these developments could increase the total costs or delay or prevent the construction or opening of new projects, which could materially and adversely affect our business, financial condition and results of operations. For example, construction work at our City of Dreams Mediterranean project was suspended from March 24, 2020 to May 3, 2020 as required by the Cyprus government under the restrictions imposed to restrict non-essential business activities due to COVID-19 outbreaks. We may also require additional financing to develop our projects. Our ability to obtain such financing depends on a number of factors beyond our control, including market conditions such as the economic disruptions as a result of COVID-19 outbreaks, investors’ and lenders’ perceptions of, and demand for, debt and equity securities of gaming companies and interest rates. In particular, the development of the City of Dreams Mediterranean project is still ongoing and still requires significant additional capital investments. See “Item 3. Key Information — D. Risk Factors — Risks Relating to Operating in the Gaming Industry in Cyprus — Our operations in Cyprus, particularly the development of City of Dreams Mediterranean, face significant risks and uncertainties which may materially and adversely affect our business, financial condition and results of operations” for a discussion of the risks relating to the financing of the development of the City of Dreams Mediterranean project. </w:t>
      </w:r>
    </w:p>
    <w:p>
      <w:pPr>
        <w:pStyle w:val="TextBody"/>
        <w:spacing w:before="240" w:after="0"/>
        <w:jc w:val="left"/>
        <w:rPr>
          <w:rFonts w:ascii="Times New Roman" w:hAnsi="Times New Roman"/>
          <w:sz w:val="20"/>
        </w:rPr>
      </w:pPr>
      <w:r>
        <w:rPr>
          <w:rFonts w:ascii="Times New Roman" w:hAnsi="Times New Roman"/>
          <w:sz w:val="20"/>
        </w:rPr>
        <w:t xml:space="preserve">There is no assurance that the actual construction costs related to our projects will not exceed the costs we have projected and budgeted. In addition, construction costs, particularly labor costs, are increasing in Cyprus, where we are developing the City of Dreams Mediterranean, and we believe that they are likely to continue to increase due to the increase in building activity and labor shortage in Cyprus. In addition, our contractors in Cyprus may have to make up for any shortages in available labor from other European countries which could increase our labor costs and which may also be impacted if travel restrictions are re-imposed as a result of any COVID-19 outbreaks. For example, COVID-19 outbreaks have caused, among others, disruptions to the supply and import of labor, equipment and materials for our projects in Macau and Cyprus. Continuing increases in construction costs in Cyprus will increase the risk that construction will not be completed on time, within budget or at all, which could materially and adversely affect our business, cash flow, financial condition, results of operations and prospects. </w:t>
      </w:r>
    </w:p>
    <w:p>
      <w:pPr>
        <w:pStyle w:val="TextBody"/>
        <w:spacing w:before="360" w:after="0"/>
        <w:jc w:val="left"/>
        <w:rPr>
          <w:rFonts w:ascii="Times New Roman" w:hAnsi="Times New Roman"/>
          <w:b/>
          <w:i/>
          <w:sz w:val="20"/>
        </w:rPr>
      </w:pPr>
      <w:r>
        <w:rPr>
          <w:rFonts w:ascii="Times New Roman" w:hAnsi="Times New Roman"/>
          <w:b/>
          <w:i/>
          <w:sz w:val="20"/>
        </w:rPr>
        <w:t xml:space="preserve">Construction is subject to hazards that may cause personal injury or loss of life, thereby subjecting us to liabilities and possible losses, which may not be covered by insurance. </w:t>
      </w:r>
    </w:p>
    <w:p>
      <w:pPr>
        <w:pStyle w:val="TextBody"/>
        <w:spacing w:before="120" w:after="0"/>
        <w:jc w:val="left"/>
        <w:rPr>
          <w:rFonts w:ascii="Times New Roman" w:hAnsi="Times New Roman"/>
          <w:sz w:val="20"/>
        </w:rPr>
      </w:pPr>
      <w:r>
        <w:rPr>
          <w:rFonts w:ascii="Times New Roman" w:hAnsi="Times New Roman"/>
          <w:sz w:val="20"/>
        </w:rPr>
        <w:t xml:space="preserve">The construction of large-scale properties, including the types of projects we are or may be involved in, can be dangerous. Construction workers at such sites are subject to hazards that may cause personal injury or loss of life, thereby subjecting the contractors and us to liabilities, possible losses, delays in completion of the projects and negative publicity. For example, in December 2021, there was a fatality at the construction site at the remaining development project at Studio City and certain façade-related works were suspended for approximately two weeks. We believe, and require, our contractors take safety precautions that are consistent with industry practice, but these safety precautions may not be adequate to prevent serious personal injuries or loss of life, damage to property or delays. If accidents occur during the construction of any of our projects, we may be subject to delays, including delays imposed by regulators, liabilities and possible losses, which may not be covered by insurance, and our business, prospects and reputation may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As of March 30, 2023, we are finalizing the licensing procedures for the Phase 2 project for Studio City under the terms of a land concession which currently requires us to fully develop the land on which Studio City is located by June 30, 2023. Any extension of the development period is subject to Macau government review and approval at its discretion. In the event of any failure to complete certain licensing procedures by June 30, 2023, we could be forced to forfeit all or part of our investment in Studio City, along with our interest in the land on which Studio City is located and the building and structures on such land. </w:t>
      </w:r>
    </w:p>
    <w:p>
      <w:pPr>
        <w:pStyle w:val="TextBody"/>
        <w:spacing w:before="120" w:after="0"/>
        <w:jc w:val="left"/>
        <w:rPr>
          <w:rFonts w:ascii="Times New Roman" w:hAnsi="Times New Roman"/>
          <w:sz w:val="20"/>
        </w:rPr>
      </w:pPr>
      <w:r>
        <w:rPr>
          <w:rFonts w:ascii="Times New Roman" w:hAnsi="Times New Roman"/>
          <w:sz w:val="20"/>
        </w:rPr>
        <w:t xml:space="preserve">Land concessions in Macau are issued by the Macau government and generally have terms of 25 years and are renewable for further consecutive periods of ten years. Land concessions further stipulate a period within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which the development of the land must be completed. The land on which Studio City is located must be fully developed by June 30, 2023, including obtaining the necessary permits, authorizations, approvals and licenses from the relevant governmental authorities. </w:t>
      </w:r>
    </w:p>
    <w:p>
      <w:pPr>
        <w:pStyle w:val="TextBody"/>
        <w:spacing w:before="240" w:after="0"/>
        <w:jc w:val="left"/>
        <w:rPr>
          <w:rFonts w:ascii="Times New Roman" w:hAnsi="Times New Roman"/>
          <w:sz w:val="20"/>
        </w:rPr>
      </w:pPr>
      <w:r>
        <w:rPr>
          <w:rFonts w:ascii="Times New Roman" w:hAnsi="Times New Roman"/>
          <w:sz w:val="20"/>
        </w:rPr>
        <w:t xml:space="preserve">While we opened Studio City in October 2015 and the construction of Phase 2 has been completed, as of March 30, 2023, the licensing procedures for the Phase 2 project of Studio City are still ongoing. There is no guarantee that we will obtain the required regulatory approvals by the deadline. Any further extension under the land concession is subject to Macau government review and approval at its discretion. While the Macau government may grant extensions if we meet certain legal requirements, there can be no assurance that the Macau government will grant us any further extension of the development period or not exercise its rights to terminate the Studio City land concession. In the event that no further extension is granted or the Studio City land concession is terminated, we could lose all or substantially all of our investment in Studio City, including our interest in the land and building and may not be able to continue to operate Studio City as planned, which will materially and adversely affect our business and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Studio City Casino is operated by us through the Studio City Casino Agreement under our concession. Changes in Macau’s gaming law or the requirements applicable to the concession granted to us by the Macau government could necessitate amendments to or the termination of the Studio City Casino Agreement, which may have a material adverse effect on the operation of the Studio City Casino. </w:t>
      </w:r>
    </w:p>
    <w:p>
      <w:pPr>
        <w:pStyle w:val="TextBody"/>
        <w:spacing w:before="120" w:after="0"/>
        <w:jc w:val="left"/>
        <w:rPr>
          <w:rFonts w:ascii="Times New Roman" w:hAnsi="Times New Roman"/>
          <w:sz w:val="20"/>
        </w:rPr>
      </w:pPr>
      <w:r>
        <w:rPr>
          <w:rFonts w:ascii="Times New Roman" w:hAnsi="Times New Roman"/>
          <w:sz w:val="20"/>
        </w:rPr>
        <w:t xml:space="preserve">Melco Resorts Macau and our subsidiary, Studio City Entertainment Limited, or Studio City Entertainment, have entered into the Studio City Casino Agreement since Studio City does not hold a gaming license in Macau. Under such arrangements, Melco Resorts Macau pays gaming taxes and the costs incurred in connection with its on-going operations from Studio City Casino’s gross gaming revenues. Studio City receives the residual amount and recognizes such residual amount as revenue arising from the Studio City Casino Agreement. </w:t>
      </w:r>
    </w:p>
    <w:p>
      <w:pPr>
        <w:pStyle w:val="TextBody"/>
        <w:spacing w:before="240" w:after="0"/>
        <w:jc w:val="left"/>
        <w:rPr>
          <w:rFonts w:ascii="Times New Roman" w:hAnsi="Times New Roman"/>
          <w:sz w:val="20"/>
        </w:rPr>
      </w:pPr>
      <w:r>
        <w:rPr>
          <w:rFonts w:ascii="Times New Roman" w:hAnsi="Times New Roman"/>
          <w:sz w:val="20"/>
        </w:rPr>
        <w:t xml:space="preserve">Any changes in Macau’s gaming law or other requirements applicable to the concession granted to us by the Macau government that necessitate amendments to, or termination of, the Studio City Casino Agreement, may have a material adverse effect on the operation of the Studio City Casino and, in turn, affect our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We are developing the City of Dreams Mediterranean project in Cyprus and are required under the Cyprus License to open the integrated casino resort by June 30, 2023. If we do not open City of Dreams Mediterranean by that time and the government of Cyprus does not grant us a further extension of the opening date, we would be required to pay a penalty to the Cyprus government or even have the Cyprus License terminated if such delay continues beyond a grace period. </w:t>
      </w:r>
    </w:p>
    <w:p>
      <w:pPr>
        <w:pStyle w:val="TextBody"/>
        <w:spacing w:before="120" w:after="0"/>
        <w:jc w:val="left"/>
        <w:rPr>
          <w:rFonts w:ascii="Times New Roman" w:hAnsi="Times New Roman"/>
          <w:sz w:val="20"/>
        </w:rPr>
      </w:pPr>
      <w:r>
        <w:rPr>
          <w:rFonts w:ascii="Times New Roman" w:hAnsi="Times New Roman"/>
          <w:sz w:val="20"/>
        </w:rPr>
        <w:t xml:space="preserve">Our subsidiary, Integrated Casino Resorts, was granted the Cyprus License by the government of Cyprus on June 26, 2017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 Following an extension granted by the government of Cyprus, the Cyprus License required us to open City of Dreams Mediterranean by September 30, 2022, and if we failed to meet such timeline, Integrated Casino Resorts may be required to pay the government of Cyprus EUR10,000 (equivalent to approximately US$10,703) for each day of delay up to a maximum of EUR1.0 million (equivalent to approximately US$1.1 million). As City of Dreams Mediterranean did not commence operations by September 30, 2022, we may be required to pay the Government of Cyprus liquidated damages of EUR1.0 million (equivalent to approximately US$1.1 million).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have been informed that the Council of Ministers of Cyprus has approved an extension of the deadline to open the City of Dreams Mediterranean to June 30, 2023. The development of City of Dreams Mediterranean is still ongoing and there is no guarantee that we will complete the development of the City of Dreams Mediterranean project and open by the June 30, 2023 deadline. If we fail to commence operations of City of Dreams Mediterranean by June 30, 2023 and are not granted any further extension by the CGC and the government of Cyprus chooses to exercise its right to terminate the Cyprus License, we could lose all or substantially all of our investment in Cyprus and may not be able to continue our Cyprus operations as planned. </w:t>
      </w:r>
    </w:p>
    <w:p>
      <w:pPr>
        <w:pStyle w:val="TextBody"/>
        <w:spacing w:before="240" w:after="0"/>
        <w:jc w:val="left"/>
        <w:rPr>
          <w:rFonts w:ascii="Times New Roman" w:hAnsi="Times New Roman"/>
          <w:sz w:val="20"/>
        </w:rPr>
      </w:pPr>
      <w:r>
        <w:rPr>
          <w:rFonts w:ascii="Times New Roman" w:hAnsi="Times New Roman"/>
          <w:sz w:val="20"/>
        </w:rPr>
        <w:t xml:space="preserve">COVID-19 outbreaks have also caused significant disruptions to the construction work at City of Dreams Mediterranean. For example, construction work at City of Dreams Mediterranean was suspended from March 24, 2020 to May 3, 2020 as required by the Cyprus government under the restrictions imposed to restrict non-essential business activities due to COVID-19 outbreaks. There is no assurance that the Cyprus government will not impose additional restrictions due to COVID-19 outbreaks, which could cause further disruptions to the construction work at City of Dreams Mediterranean. Prior to COVID-19 outbreaks, we estimated that City of Dreams Mediterranean would open at the end of 2021. The City of Dreams Mediterranean is now currently targeted to open in the second quarter of 2023, subject to regulatory approvals. </w:t>
      </w:r>
    </w:p>
    <w:p>
      <w:pPr>
        <w:pStyle w:val="TextBody"/>
        <w:spacing w:before="240" w:after="0"/>
        <w:jc w:val="left"/>
        <w:rPr>
          <w:rFonts w:ascii="Times New Roman" w:hAnsi="Times New Roman"/>
          <w:sz w:val="20"/>
        </w:rPr>
      </w:pPr>
      <w:r>
        <w:rPr>
          <w:rFonts w:ascii="Times New Roman" w:hAnsi="Times New Roman"/>
          <w:sz w:val="20"/>
        </w:rPr>
        <w:t xml:space="preserve">If the scheduled opening date of City of Dreams Mediterranean is further delayed and extended beyond the current estimated date, we will have to apply for a further extension of the relevant period. Any application for an extension of the relevant period shall be subject to the review and approval of the government of Cyprus at its discretion and there can be no assurance that the government of Cyprus will grant us any necessary extension or not exercise its right to terminate the Cyprus License in the circumstances highlighted above. In the event that no further extension is granted by the government of Cyprus and the Cyprus License is terminated, we could lose all or substantially all of our investment in Cyprus and may not be able to continue to operate in Cyprus as planned, which may materially and adversely affect our business and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Our business in Macau, the Philippines and Cyprus is subject to certain regional and global political, social and economic risks, as well as natural disasters, that may significantly affect visitations to our properties and have a material adverse effect on our results of operations. </w:t>
      </w:r>
    </w:p>
    <w:p>
      <w:pPr>
        <w:pStyle w:val="TextBody"/>
        <w:spacing w:before="120" w:after="0"/>
        <w:jc w:val="left"/>
        <w:rPr>
          <w:rFonts w:ascii="Times New Roman" w:hAnsi="Times New Roman"/>
          <w:sz w:val="20"/>
        </w:rPr>
      </w:pPr>
      <w:r>
        <w:rPr>
          <w:rFonts w:ascii="Times New Roman" w:hAnsi="Times New Roman"/>
          <w:sz w:val="20"/>
        </w:rPr>
        <w:t xml:space="preserve">The strength and profitability of our business will depend on consumer demand for integrated resorts and leisure travel in general. Terrorist and violent criminal activities in Europe, the United States, Southeast Asia and elsewhere, military conflicts between Russia and Ukraine, and/or in the Middle East, social events, natural disasters such as typhoons, tsunamis and earthquakes, and outbreaks of widespread health epidemics or pandemics, including COVID-19 outbreaks, have had and may continue to negatively affect travel and leisure expenditures, including lodging, gaming and tourism. We cannot predict the extent to which such acts or events may affect us, directly or indirectly, in the future. See also “— COVID-19 outbreaks have had an adverse effect on our operations, which has had a significant negative effect over the past three years and may continue to materially impact our business, prospects, financial condition and results of operations,” “— An outbreak of widespread health epidemics or pandemics, contagious disease or other outbreaks may have an adverse effect on the economies of affected countries or regions and may have a material adverse effect on our business, financial condition and results of operations” and “— 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derive a significant majority of our revenues from our Macau business and a significant number of our customers come from, and are expected to continue to come from, the PRC. Accordingly, our results of operations and financial condition may be materially and adversely affected by significant political, social and economic developments in Macau and the PRC and our business is sensitive to the willingness and ability of our customers to travel. In particular, our operating results may be adversely affected by: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Macau’s and the PRC’s political, economic and social conditions, including any slowdown in economic growth in the PRC;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tightening of travel or visa restrictions to Macau or from the PRC, including due to the outbreak of infectious diseases, such as COVID-19 outbreaks, or austerity measures which may be imposed by the Chinese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measures that may be introduced to control inflation, such as interest rate increases or bank account withdrawal controls; and </w:t>
            </w:r>
          </w:p>
        </w:tc>
      </w:tr>
    </w:tbl>
    <w:p>
      <w:pPr>
        <w:pStyle w:val="TextBody"/>
        <w:spacing w:before="0" w:after="0"/>
        <w:jc w:val="left"/>
        <w:rPr/>
      </w:pPr>
      <w:r>
        <w:rPr/>
        <w:t> </w:t>
      </w:r>
    </w:p>
    <w:tbl>
      <w:tblPr>
        <w:tblW w:w="3550" w:type="dxa"/>
        <w:jc w:val="left"/>
        <w:tblInd w:w="0" w:type="dxa"/>
        <w:tblCellMar>
          <w:top w:w="0" w:type="dxa"/>
          <w:left w:w="0" w:type="dxa"/>
          <w:bottom w:w="0" w:type="dxa"/>
          <w:right w:w="0" w:type="dxa"/>
        </w:tblCellMar>
      </w:tblPr>
      <w:tblGrid>
        <w:gridCol w:w="75"/>
        <w:gridCol w:w="110"/>
        <w:gridCol w:w="60"/>
        <w:gridCol w:w="3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the tax laws and regulations. </w:t>
            </w:r>
          </w:p>
        </w:tc>
      </w:tr>
    </w:tbl>
    <w:p>
      <w:pPr>
        <w:pStyle w:val="TextBody"/>
        <w:spacing w:before="240" w:after="0"/>
        <w:jc w:val="left"/>
        <w:rPr>
          <w:rFonts w:ascii="Times New Roman" w:hAnsi="Times New Roman"/>
          <w:sz w:val="20"/>
        </w:rPr>
      </w:pPr>
      <w:r>
        <w:rPr>
          <w:rFonts w:ascii="Times New Roman" w:hAnsi="Times New Roman"/>
          <w:sz w:val="20"/>
        </w:rPr>
        <w:t xml:space="preserve">For example, our business and operations are affected by the travel or visa restrictions imposed by the PRC on its citizens from time to time. Even before the COVID-19 outbreak, the Chinese government imposed restrictions on exit visas granted to resident citizens of the PRC for travel to Macau. The PRC government further restricts the number of days that resident citizens of the PRC may spend in Macau for certain types of travel. Such travel and visa restrictions, and any changes imposed by the Chinese government from time to time, could disrupt the number of visitors from the PRC to our properties. </w:t>
      </w:r>
    </w:p>
    <w:p>
      <w:pPr>
        <w:pStyle w:val="TextBody"/>
        <w:spacing w:before="240" w:after="0"/>
        <w:jc w:val="left"/>
        <w:rPr>
          <w:rFonts w:ascii="Times New Roman" w:hAnsi="Times New Roman"/>
          <w:sz w:val="20"/>
        </w:rPr>
      </w:pPr>
      <w:r>
        <w:rPr>
          <w:rFonts w:ascii="Times New Roman" w:hAnsi="Times New Roman"/>
          <w:sz w:val="20"/>
        </w:rPr>
        <w:t xml:space="preserve">Our operations in Macau are also exposed to the risk of changes in laws and policies that govern operations of Macau-based companies. Tax laws and regulations may also be subject to amendments or different interpretations and implementation, thereby adversely affecting our profitability after tax. For example, the newly amended Macau gaming law requires the payment of a special premium if gross gaming revenue falls below the gross gaming revenue threshold set by the Macau government. In addition, the demand for gaming activities and related services and luxury amenities that we provide through our operations is dependent on discretionary consumer spending and, as with other forms of entertainment, is susceptible to downturns in global and regional economic conditions. An economic downturn may reduce consumers’ willingness to travel and reduce their spending overseas, which would adversely impact us as we depend on visitors from the PRC and other countries to generate a substantial portion of our revenues. Changes in discretionary consumer spending or consumer preferences could be driven by factors such 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An extended period of reduced discretionary spending and/or disruptions or declines in airline travel could materially and adversely affect our business,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In addition, our business and results of operations may be materially and adversely affected by any changes in the PRC’s economy, including any decrease in the pace of economic growth. Various factors have recently negatively impacted economic growth in the PRC, including the government’s efforts to cool the PRC’s housing market and disruptions caused by COVID-19 outbreaks, leading to reduced consumer discretionary budget and ultimately affecting their spending on travel and leisure. Moreover, the PRC’s common prosperity drive which started in 2021 aims to narrow the nation’s wealth gap by reducing wealth inequality. Any changes in the income tax rate or government policy which discourages conspicuous consumption may affect the spending patterns of our patrons. All of these measures as well as a number of measures taken by the Chinese government in recent years to control the rate of economic growth, including those designed to tighten credit and liquidity, may have contributed to a slowdown of the PRC’s economy. According to preliminary estimates from the National Bureau of Statistics of China, the PRC’s GDP growth rate was 3.0% in 2022, which was lower than the 8.4% in 2021. Any slowdown in the PRC’s future growth may have an adverse impact on financial markets,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currency exchange rates and other economies, as well as the spending of visitors in Macau and our properties. There is no guarantee that economic downturns, whether actual or perceived, any further decrease in economic growth rates or an otherwise uncertain economic outlook in the PRC will not occur or persist in the future, that they will not be protracted or that governments will respond adequately to control and reverse such conditions, any of which could materially and adversely affect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City of Dreams Manila is located in the Philippines and is subject to certain economic, political and social risks within the Philippines. The Philippines has in the past experienced severe political and social instability, including acts of political violence and terrorism. Any future political or social instability in the Philippines could adversely affect the business operations and financial conditions of City of Dreams Manila. Any changes in the policies of the government or laws or regulations, or in the interpretation or enforcement of these laws and regulations, such as anti-smoking policies or legislation, may negatively impact consumption patterns of visitors to City of Dreams Manila and could adversely affect our business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 </w:t>
      </w:r>
    </w:p>
    <w:p>
      <w:pPr>
        <w:pStyle w:val="TextBody"/>
        <w:spacing w:before="240" w:after="0"/>
        <w:jc w:val="left"/>
        <w:rPr>
          <w:rFonts w:ascii="Times New Roman" w:hAnsi="Times New Roman"/>
          <w:sz w:val="20"/>
        </w:rPr>
      </w:pPr>
      <w:r>
        <w:rPr>
          <w:rFonts w:ascii="Times New Roman" w:hAnsi="Times New Roman"/>
          <w:sz w:val="20"/>
        </w:rPr>
        <w:t xml:space="preserve">Our business in the Philippines will also depend significantly on revenues from foreign visitors and be affected by the development of Manila and the Philippines as a tourist and gaming destination. Such revenues from foreign visitors and development of Manila and the Philippines may be disrupted by events that reduce foreigners’ willingness to travel to or create substantial disruption in Metro Manila and raise substantial concerns about visitors’ personal safety, such as power outages, civil disturbances, terrorist attacks and outbreaks of widespread health epidemics or pandemics, among others. The Philippines has also experienced a significant number of major catastrophes over the years, including typhoons, volcanic eruptions and earthquakes, which have caused road closures and work stoppages in the affected areas as well as cancellation of flights.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damages and that any such damage will be completely covered by insurance, if at all. Should the Philippines fail to continue to develop as a tourist destination or should Entertainment City or Manila fail to become a widely recognized regional gaming destination, City of Dreams Manila may fail to attract a sufficient number of visitors, which would cause a material adverse effect on our business and prospects, financial condition, results of operations and cash flows. Any of these occurrences may disrupt our operations in the Philippines. </w:t>
      </w:r>
    </w:p>
    <w:p>
      <w:pPr>
        <w:pStyle w:val="TextBody"/>
        <w:spacing w:before="240" w:after="0"/>
        <w:jc w:val="left"/>
        <w:rPr>
          <w:rFonts w:ascii="Times New Roman" w:hAnsi="Times New Roman"/>
          <w:sz w:val="20"/>
        </w:rPr>
      </w:pPr>
      <w:r>
        <w:rPr>
          <w:rFonts w:ascii="Times New Roman" w:hAnsi="Times New Roman"/>
          <w:sz w:val="20"/>
        </w:rPr>
        <w:t xml:space="preserve">The subtropical climate and location of both Macau and the Philippines render them susceptible to typhoons, heavy rainstorms and other natural disasters, while Cyprus is also susceptible to heavy rainstorms and other natural disasters. In the event of a major typhoon, or other natural disasters in Macau, the Philippines or Cyprus, our properties may be severely damaged, our operations may be materially and adversely affected, and our properties may even be required to temporarily cease operations by regulatory authorities. Any flooding, unscheduled interruption in the technology or transportation services or interruption in the supply of public utilities is likely to result in an immediate and possibly substantial loss of revenues due to a shutdown of any of our properties and material adverse effect on our business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Our operations in Cyprus are subject to certain economic, political and social risks within Cyprus, particularly in the occupied part of Cyprus. There are ongoing political, social and economic issues in Cyprus relating to the division of the island following the Turkish invasion in 1974, with the occupied part of Cyprus controlled by Turkey and its military. These issues have been escalated due to the discovery and exploration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natural gas in Cyprus’ economic zones as well as in the economic zones around Cyprus. Turkey has unilaterally created its own economic zones overlapping the Cyprus ones and has initiated exploratory drilling in the area. Any future political or social instability in Cyprus could adversely affect the business operations and financial conditions of our casinos in Cyprus, as well as the development of City of Dreams Mediterranean. In addition, changes in government policies, laws or regulations, or in the interpretation or enforcement of these laws and regulations, may negatively impact consumption patterns of visitors to our facilities in Cyprus and could adversely affect our business operations and financial condition. Cyprus’ relatively small and open economy means it remains susceptible to rapid changes in economic conditions in the neighboring regions or globally. </w:t>
      </w:r>
    </w:p>
    <w:p>
      <w:pPr>
        <w:pStyle w:val="TextBody"/>
        <w:spacing w:before="240" w:after="0"/>
        <w:jc w:val="left"/>
        <w:rPr>
          <w:rFonts w:ascii="Times New Roman" w:hAnsi="Times New Roman"/>
          <w:sz w:val="20"/>
        </w:rPr>
      </w:pPr>
      <w:r>
        <w:rPr>
          <w:rFonts w:ascii="Times New Roman" w:hAnsi="Times New Roman"/>
          <w:sz w:val="20"/>
        </w:rPr>
        <w:t xml:space="preserve">In addition, the global macroeconomic environment is facing significant challenges, including disruptions to global economic conditions as a result of the responses to the global COVID-19 outbreaks, and dampened business sentiment and outlook. These events have also caused significant declines as well as volatility in global equity and debt capital markets, further elevating the risk of an extended global economic downturn or even a global recession that could in turn trigger a severe contraction of liquidity in the global credit markets. Even prior to these events, the global economy was facing the end of quantitative easing by the U.S. Federal Reserve, the continuation of international trade conflicts, including the trade disputes between the United States and China and the potential further escalation of trade tariffs and related retaliatory measures between these two countries and globally. Even though it recently eased its “zero-COVID” policy, the PRC government may re-impose lockdown or travel restriction measures in response to COVID-19 outbreaks or the outbreak of another contagious disease. Such measures, if re-imposed, may significantly affect visitation to our properties and have a material adverse effect on our results of operations. </w:t>
      </w:r>
    </w:p>
    <w:p>
      <w:pPr>
        <w:pStyle w:val="TextBody"/>
        <w:spacing w:before="240" w:after="0"/>
        <w:jc w:val="left"/>
        <w:rPr>
          <w:rFonts w:ascii="Times New Roman" w:hAnsi="Times New Roman"/>
          <w:sz w:val="20"/>
        </w:rPr>
      </w:pPr>
      <w:r>
        <w:rPr>
          <w:rFonts w:ascii="Times New Roman" w:hAnsi="Times New Roman"/>
          <w:sz w:val="20"/>
        </w:rPr>
        <w:t xml:space="preserve">Tensions between the United States and China have continued to escalate since 2020 in connection with ongoing trade disputes as well as other political factors, including COVID-19 outbreaks and the status of Hong Kong. Continued rising political tensions globally could reduce levels of trade, investment, technological exchanges and other economic activities between these two major economies, which would have a material adverse effect on global economic conditions and the stability of global financial markets. The introduction of the National Security Law for Hong Kong and the U.S. Department of State’s statements in reaction to it have resulted in a further deterioration in the Sino-U.S. bilateral relationship, which could negatively affect the Chinese economy and its demand for gaming and leisure activities. </w:t>
      </w:r>
    </w:p>
    <w:p>
      <w:pPr>
        <w:pStyle w:val="TextBody"/>
        <w:spacing w:before="240" w:after="0"/>
        <w:jc w:val="left"/>
        <w:rPr>
          <w:rFonts w:ascii="Times New Roman" w:hAnsi="Times New Roman"/>
          <w:sz w:val="20"/>
        </w:rPr>
      </w:pPr>
      <w:r>
        <w:rPr>
          <w:rFonts w:ascii="Times New Roman" w:hAnsi="Times New Roman"/>
          <w:sz w:val="20"/>
        </w:rPr>
        <w:t xml:space="preserve">Rising inflation rates globally and in places where we operate may not only weaken discretionary spending of our customers but also increase our operating costs due to possible hikes in salary payments for our staff or key expenditures in our business. Interest rate hikes from one or more central banks across the world to address inflation or other macroeconomic factors would increase the cost of credit throughout global economies, impacting cashflows for both businesses and consumers as they spend more on interest payments which, in turn, reduces the amount available for capital investments and for discretionary consumption. The sell-off in Chinese property bonds has also negatively impacted the market for high yield bonds of issuers in other sectors connected with the PRC, including those issued by Macau gaming operators.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have had and could materially adversely affect our business,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Considerable uncertainty remains over the long-term effects of the expansionary monetary and fiscal policies adopted by the central banks and financial authorities of some of the world’s leading economies, including the United States and the PRC. There have been concerns over conflicts, unrest and terrorist threats in the Ukraine, Middle East, Europe and Africa, including the ongoing military conflict between Russia and Ukraine, which has led to sanctions and export controls imposed by the United States, the European Union, the United Kingdom and other countries targeting Russia, its financial system and major financial institutions and certain Russian entities and persons. Such sanctions and measures have had and may continue to have a negative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impact on our business and our ability to accept certain customers, including for our business in Cyprus where historically a significant number of tourists have come from Russia. The conflict has also caused volatility in global financial markets as well as rising prices in oil, gas and other commodities. In addition, concerns over conflicts involving the United States and Iran and potential conflicts involving the Korean peninsula persist.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 </w:t>
      </w:r>
    </w:p>
    <w:p>
      <w:pPr>
        <w:pStyle w:val="TextBody"/>
        <w:spacing w:before="360" w:after="0"/>
        <w:jc w:val="left"/>
        <w:rPr>
          <w:rFonts w:ascii="Times New Roman" w:hAnsi="Times New Roman"/>
          <w:b/>
          <w:i/>
          <w:sz w:val="20"/>
        </w:rPr>
      </w:pPr>
      <w:r>
        <w:rPr>
          <w:rFonts w:ascii="Times New Roman" w:hAnsi="Times New Roman"/>
          <w:b/>
          <w:i/>
          <w:sz w:val="20"/>
        </w:rPr>
        <w:t xml:space="preserve">Policies, campaigns and measures adopted by the PRC and/or Macau governments from time to time could materially and adversely affect our operations. </w:t>
      </w:r>
    </w:p>
    <w:p>
      <w:pPr>
        <w:pStyle w:val="TextBody"/>
        <w:spacing w:before="120" w:after="0"/>
        <w:jc w:val="left"/>
        <w:rPr>
          <w:rFonts w:ascii="Times New Roman" w:hAnsi="Times New Roman"/>
          <w:sz w:val="20"/>
        </w:rPr>
      </w:pPr>
      <w:r>
        <w:rPr>
          <w:rFonts w:ascii="Times New Roman" w:hAnsi="Times New Roman"/>
          <w:sz w:val="20"/>
        </w:rPr>
        <w:t xml:space="preserve">A significant number of the customers of our properties come from, and are expected to continue to come from, the PRC. Any travel restrictions imposed by the PRC could negatively affect the number of patrons visiting our properties from the PRC. Since mid-2003, under the Individual Visit Scheme, or IVS, Chinese citizens from certain cities have been able to travel to Macau individually instead of as part of a tour group. The Chinese government has restricted and loosened IVS travel frequently and may continue to do so from time to time and it is unclear whether such measures will become more restrictive in the future. A decrease in the number of visitors from the PRC could adversely affect our results of operations. See also “— An outbreak of widespread health epidemics or pandemics, contagious disease or other outbreaks may have an adverse effect on the economies of affected countries or regions and may have a material adverse effect on our business, financial condition and results of operations” and “— COVID-19 outbreaks have had an adverse effect on our operations, which has had a significant negative effect over the past three years and may continue to materially impact our business, prospects, financial condition and results of operations” for discussions of how COVID-19 outbreaks have affected the policies and measures adopted by the PRC and Macau governments. </w:t>
      </w:r>
    </w:p>
    <w:p>
      <w:pPr>
        <w:pStyle w:val="TextBody"/>
        <w:spacing w:before="240" w:after="0"/>
        <w:jc w:val="left"/>
        <w:rPr>
          <w:rFonts w:ascii="Times New Roman" w:hAnsi="Times New Roman"/>
          <w:sz w:val="20"/>
        </w:rPr>
      </w:pPr>
      <w:r>
        <w:rPr>
          <w:rFonts w:ascii="Times New Roman" w:hAnsi="Times New Roman"/>
          <w:sz w:val="20"/>
        </w:rPr>
        <w:t xml:space="preserve">In addition, certain policies and campaigns implemented by the Chinese government may lead to a decline in the number of patrons visiting our properties in Macau and the amount of spending by such patrons. The strength and profitability of our business depends on consumer demand for integrated resorts in general and for the type of luxury amenities that a gaming operator offers. Initiatives and campaigns undertaken by the Chinese government in recent years have resulted in an overall dampening effect on the behavior of Chinese consumers and a decrease in their spending, particularly in luxury good sales and other discretionary spending. For example, the Chinese government’s ongoing anti-corruption campaign has had an overall dampening effect on the behavior of Chinese consumers and their spending patterns both domestically and abroad. In addition, the number of patrons visiting our properties may be affected by the Chinese government’s focus on deterring marketing of gaming to Chinese citizens by casinos and its initiatives to tighten monetary transfer regulations, increase monitoring of various transactions, including bank or credit card transactions, and reduce the amount that China-issued ATM cardholders can withdraw in each withdrawal and impose a limit on the annual aggregate amount that may be withdrawn. The Chinese government has also developed its digital currency and has performed certain test trials in its application within the PRC. If a digital currency is adopted by the Macau government for gaming operations in Macau, there could be a material and adverse impact on our operations, especially our VIP rolling chip operations, if limitations on transactions per player are also introduced in conjunction with the adoption of the digital currency. </w:t>
      </w:r>
    </w:p>
    <w:p>
      <w:pPr>
        <w:pStyle w:val="TextBody"/>
        <w:spacing w:before="240" w:after="0"/>
        <w:jc w:val="left"/>
        <w:rPr>
          <w:rFonts w:ascii="Times New Roman" w:hAnsi="Times New Roman"/>
          <w:sz w:val="20"/>
        </w:rPr>
      </w:pPr>
      <w:r>
        <w:rPr>
          <w:rFonts w:ascii="Times New Roman" w:hAnsi="Times New Roman"/>
          <w:sz w:val="20"/>
        </w:rPr>
        <w:t xml:space="preserve">Regulatory scrutiny of gaming promoters in the PRC and Macau has also affected the gaming business. See “— We depend upon gaming promoters for a portion of our gaming revenues in the Philippines and Cyprus and may depend on gaming promoters in Macau in the future. If we are unable to establish, maintain and increase the number of successful relationships with gaming promoters in the Philippines, Cyprus or Macau,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 and “— Our business in Macau, the Philippines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Cyprus is subject to certain regional and global political, social and economic risks, as well as natural disasters, that may significantly affect visitations to our properties and have a material adverse effect on our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We derive a significant majority of our revenues from our Macau gaming business and any disruptions or downturns in the Macau gaming market may have a material impact on our business. </w:t>
      </w:r>
    </w:p>
    <w:p>
      <w:pPr>
        <w:pStyle w:val="TextBody"/>
        <w:spacing w:before="120" w:after="0"/>
        <w:jc w:val="left"/>
        <w:rPr>
          <w:rFonts w:ascii="Times New Roman" w:hAnsi="Times New Roman"/>
          <w:sz w:val="20"/>
        </w:rPr>
      </w:pPr>
      <w:r>
        <w:rPr>
          <w:rFonts w:ascii="Times New Roman" w:hAnsi="Times New Roman"/>
          <w:sz w:val="20"/>
        </w:rPr>
        <w:t xml:space="preserve">Prior to 2014, we derived substantially all of our revenues from our business and operations in Macau. While we now also generate revenues from our Philippine and Cyprus operations, we expect to continue to derive a significant majority of our revenues from our Macau gaming business and may be materially affected by any disruptions or downturns in the Macau gaming market. In 2019, for example, gross gaming revenues in Macau declined by 3.4% on a year-over-year basis as reported by the DICJ. We believe such year-over-year decline in 2019 was mainly driven by a decline in VIP gaming revenues in Macau and the slowdown in the Chinese economy. Governmental policies and responses to COVID-19 outbreaks have also resulted in a significant decline in inbound tourism in Macau with gross gaming revenues declining by 30.2% in 2022 compared to 2020, according to the DICJ. See “— COVID-19 outbreaks have had an adverse effect on our operations, which has had a significant negative effect over the past three years and may continue to materially impact our business, prospects, financial condition and results of operations” for a discussion of the impact of COVID-19 outbreaks on our business in Macau. </w:t>
      </w:r>
    </w:p>
    <w:p>
      <w:pPr>
        <w:pStyle w:val="TextBody"/>
        <w:spacing w:before="240" w:after="0"/>
        <w:jc w:val="left"/>
        <w:rPr>
          <w:rFonts w:ascii="Times New Roman" w:hAnsi="Times New Roman"/>
          <w:sz w:val="20"/>
        </w:rPr>
      </w:pPr>
      <w:r>
        <w:rPr>
          <w:rFonts w:ascii="Times New Roman" w:hAnsi="Times New Roman"/>
          <w:sz w:val="20"/>
        </w:rPr>
        <w:t xml:space="preserve">Although gross gaming revenues in Macau increased by 55.3% on a year-over-year basis in the first two months of 2023 compared to the first two months of 2022 according to the DICJ, we believe that disruptions from COVID-19 outbreaks are ongoing. Our business, financial condition and results of operations may be materially and adversely affected by such impacts or other disruptions in the Macau gaming market. COVID-19 outbreaks have had, and will likely continue to have, an adverse effect on the Macau gaming market. See “— An outbreak of widespread health epidemics or pandemics, contagious disease or other outbreaks may have an adverse effect on the economies of affected countries or regions and may have a material adverse effect on our business, financial condition and results of operations.” </w:t>
      </w:r>
    </w:p>
    <w:p>
      <w:pPr>
        <w:pStyle w:val="TextBody"/>
        <w:spacing w:before="240" w:after="0"/>
        <w:jc w:val="left"/>
        <w:rPr>
          <w:rFonts w:ascii="Times New Roman" w:hAnsi="Times New Roman"/>
          <w:b/>
          <w:i/>
          <w:sz w:val="20"/>
        </w:rPr>
      </w:pPr>
      <w:r>
        <w:rPr>
          <w:rFonts w:ascii="Times New Roman" w:hAnsi="Times New Roman"/>
          <w:b/>
          <w:i/>
          <w:sz w:val="20"/>
        </w:rPr>
        <w:t xml:space="preserve">The gaming industries in Macau, the Philippines and Cyprus are highly regulated. </w:t>
      </w:r>
    </w:p>
    <w:p>
      <w:pPr>
        <w:pStyle w:val="TextBody"/>
        <w:spacing w:before="120" w:after="0"/>
        <w:jc w:val="left"/>
        <w:rPr>
          <w:rFonts w:ascii="Times New Roman" w:hAnsi="Times New Roman"/>
          <w:sz w:val="20"/>
        </w:rPr>
      </w:pPr>
      <w:r>
        <w:rPr>
          <w:rFonts w:ascii="Times New Roman" w:hAnsi="Times New Roman"/>
          <w:sz w:val="20"/>
        </w:rPr>
        <w:t xml:space="preserve">Gaming is a highly regulated industry in Macau. Our Macau gaming business is subject to various laws and increased audits and inspections from regulators, such as those relating to licensing, tax rates and other regulatory obligations, such as anti-money laundering measures, which may change or become more stringent. Changes in laws may result in additional regulations being imposed on our gaming operations in Macau and our future projects. Our operations in Macau are also exposed to the risk of changes in the Macau government’s policies that govern operations of Macau-based companies and the Macau government’s interpretation of, or amendments to, our gaming concession. Any such adverse developments in the regulation of the Macau gaming industry could be difficult to comply with and could significantly increase our costs, which could cause our projects to be unsuccessful. </w:t>
      </w:r>
    </w:p>
    <w:p>
      <w:pPr>
        <w:pStyle w:val="TextBody"/>
        <w:spacing w:before="240" w:after="0"/>
        <w:jc w:val="left"/>
        <w:rPr>
          <w:rFonts w:ascii="Times New Roman" w:hAnsi="Times New Roman"/>
          <w:sz w:val="20"/>
        </w:rPr>
      </w:pPr>
      <w:r>
        <w:rPr>
          <w:rFonts w:ascii="Times New Roman" w:hAnsi="Times New Roman"/>
          <w:sz w:val="20"/>
        </w:rPr>
        <w:t xml:space="preserve">The Philippine gaming industry is also highly regulated, including the amendment to the existing Philippines Anti-Money Laundering Act, as amended (“Philippine AMLA”), whereby casinos are included as covered persons subject to reporting and other requirements under the Philippine AMLA. The Anti-Money Laundering Council and PAGCOR have also recently released regulations and guidelines on compliance. Amendments to existing anti-money laundering regulations have been signed into law, expanding the coverage of the Philippine AMLA and including Philippine offshore gaming operators in the list of covered persons, which includes the Melco Philippine Parties. The authority of the Anti-Money Laundering Council was also expanded to include the power to apply for search and seizure orders, issue subpoenas, and preserve, manage or dispose assets pursuant to a freeze order or judgment of forfeiture. While we have adjusted our anti-money laundering policies for our Philippine operations to the revised rules and regulations, we cannot assure you that our contractors, agents or employees will continually adhere to any such current or future policies or any such current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future policies will be effective in preventing our Philippines operations from being exploited for money laundering purposes. City of Dreams Manila is also subject to increased audits and inspections from regulators, including those relating to anti-money laundering requirements and measures. City of Dreams Manila may legally operate under the Philippine License, which requires a number of periodic approvals from and reports to PAGCOR. PAGCOR may refuse to approve proposals by us and our gaming promoters, or modify previously approved proposals and may require us and/or our gaming promoters to perform acts with which we disagree. The Philippine License requires, among others, 95.0% of City of Dreams Manila’s total employees to be locally hired. PAGCOR could also exert a substantial influence on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 possible that conflicts in relation to PAGCOR’s operating and regulatory functions may exist or may arise in the future. In addition, we and our gaming promoters may not be able to obtain, or maintain, all requisite approvals, permits and licenses that various Philippine and local government agencies may require. Any of the foregoing could adversely affect our business, financial condition and results of operations in the Philippines. </w:t>
      </w:r>
    </w:p>
    <w:p>
      <w:pPr>
        <w:pStyle w:val="TextBody"/>
        <w:spacing w:before="240" w:after="0"/>
        <w:jc w:val="left"/>
        <w:rPr>
          <w:rFonts w:ascii="Times New Roman" w:hAnsi="Times New Roman"/>
          <w:sz w:val="20"/>
        </w:rPr>
      </w:pPr>
      <w:r>
        <w:rPr>
          <w:rFonts w:ascii="Times New Roman" w:hAnsi="Times New Roman"/>
          <w:sz w:val="20"/>
        </w:rPr>
        <w:t xml:space="preserve">Furthermore, our licenses and permits from various Philippine government agencies, such as those related to labor, public works, safety, fire, buildings, health and environmental, are required to be renewed annually. There is no guarantee that the requirements for such permits and licenses will remain the same, or that the relevant Philippine government agencies will not impose additional and more onerous requirements or costs. This may affect our ability to renew our licenses and permits, which could adversely affect our business in the Philippines. </w:t>
      </w:r>
    </w:p>
    <w:p>
      <w:pPr>
        <w:pStyle w:val="TextBody"/>
        <w:spacing w:before="240" w:after="0"/>
        <w:jc w:val="left"/>
        <w:rPr>
          <w:rFonts w:ascii="Times New Roman" w:hAnsi="Times New Roman"/>
          <w:sz w:val="20"/>
        </w:rPr>
      </w:pPr>
      <w:r>
        <w:rPr>
          <w:rFonts w:ascii="Times New Roman" w:hAnsi="Times New Roman"/>
          <w:sz w:val="20"/>
        </w:rPr>
        <w:t xml:space="preserve">Gaming in Cyprus is a highly regulated new market and subject to various regulations of the European Union that are being developed and adopted in Cyprus. We have to review and amend our anti-money laundering policies for our operations in Cyprus when new laws and regulations come into force from time to time, including, for instance, a revised anti-money laundering Direction issued by the CGC in December 2021. The CGC has and will continue to conduct business-wide anti-money laundering and counter-terrorist financing inspections at our Cyprus casinos and review our anti-money laundering policies. As a result of these inspections and reviews, we have made, and expect we will need to continue to make, certain adjustments to our policies and compliance procedures from time to time. Being a new gaming regime, there are also fewer precedents on the interpretation of these laws and regulations. Our Cyprus License also requires us to submit periodic reports to the CGC in areas that include our operations, regulatory compliance, consumer complaints and financial and tax reporting. If we are unable to fully comply with any of the foregoing requirements, we could be subject to fines or other penalties. </w:t>
      </w:r>
    </w:p>
    <w:p>
      <w:pPr>
        <w:pStyle w:val="TextBody"/>
        <w:spacing w:before="240" w:after="0"/>
        <w:jc w:val="left"/>
        <w:rPr>
          <w:rFonts w:ascii="Times New Roman" w:hAnsi="Times New Roman"/>
          <w:sz w:val="20"/>
        </w:rPr>
      </w:pPr>
      <w:r>
        <w:rPr>
          <w:rFonts w:ascii="Times New Roman" w:hAnsi="Times New Roman"/>
          <w:sz w:val="20"/>
        </w:rPr>
        <w:t xml:space="preserve">Furthermore, our operations in Cyprus require various licenses and permits granted from various governmental or regulatory bodies in Cyprus, such as those related to labor, food and beverages, safety, fire, buildings, health and environmental, some of which are required to be renewed annually. There is no guarantee that the requirements for such permits and licenses will remain the same, or that the relevant Cyprus governmental or regulatory bodies will not impose additional and more onerous requirements. This may affect our ability to renew our licenses and permits or we may not be able to obtain any additional licenses or permits required to conduct our business as our business and operations expand in a timely manner or at all, which could adversely affect our business in Cyprus. </w:t>
      </w:r>
    </w:p>
    <w:p>
      <w:pPr>
        <w:pStyle w:val="TextBody"/>
        <w:spacing w:before="240" w:after="0"/>
        <w:jc w:val="left"/>
        <w:rPr>
          <w:rFonts w:ascii="Times New Roman" w:hAnsi="Times New Roman"/>
          <w:sz w:val="20"/>
        </w:rPr>
      </w:pPr>
      <w:r>
        <w:rPr>
          <w:rFonts w:ascii="Times New Roman" w:hAnsi="Times New Roman"/>
          <w:sz w:val="20"/>
        </w:rPr>
        <w:t xml:space="preserve">In addition, current laws and regulations in Macau, the Philippines and Cyprus concerning gaming and gaming concessions and licenses, for the most part, have been enacted or amended recently and there are limited precedents on the interpretation of these laws and regulations. These laws and regulations are complex, and a court or administrative or regulatory body may in the future render an interpretation of these laws and regulations, or issue new or modified regulations, that differ from our interpretation.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Changes in laws, regulations and policies in the PRC and uncertainties in the legal systems in the PRC may expose us to risks. In addition, rules and regulations in the PRC can change quickly with little advance notice. </w:t>
      </w:r>
    </w:p>
    <w:p>
      <w:pPr>
        <w:pStyle w:val="TextBody"/>
        <w:spacing w:before="120" w:after="0"/>
        <w:jc w:val="left"/>
        <w:rPr>
          <w:rFonts w:ascii="Times New Roman" w:hAnsi="Times New Roman"/>
          <w:sz w:val="20"/>
        </w:rPr>
      </w:pPr>
      <w:r>
        <w:rPr>
          <w:rFonts w:ascii="Times New Roman" w:hAnsi="Times New Roman"/>
          <w:sz w:val="20"/>
        </w:rPr>
        <w:t xml:space="preserve">We derive a significant majority of our revenues from our Macau business and a significant number of our customers come from, and are expected to continue to come from, the PRC. Accordingly, our results of operations and financial condition may be materially and adversely affected by significant regulatory developments not only in Macau but also in the PRC. Gaming-related activities in the PRC, including marketing activities, are strictly regulated by the PRC government and subject to various PRC laws and regulations. The PRC legal system continues to rapidly evolve and the interpretations of many laws, regulations and rules are not always uniform. Rules and regulations in the PRC can change quickly with little advance notice.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that affect gaming-related activities in the PRC could require additional expenditures and efforts on our part to ensure our compliance with such regulations or interpretations and have a material and adverse effect on our business and prospects, financial condition and results of operations. We may incur penalties for any failure to comply with PRC laws and regulations. </w:t>
      </w:r>
    </w:p>
    <w:p>
      <w:pPr>
        <w:pStyle w:val="TextBody"/>
        <w:spacing w:before="240" w:after="0"/>
        <w:jc w:val="left"/>
        <w:rPr>
          <w:rFonts w:ascii="Times New Roman" w:hAnsi="Times New Roman"/>
          <w:sz w:val="20"/>
        </w:rPr>
      </w:pPr>
      <w:r>
        <w:rPr>
          <w:rFonts w:ascii="Times New Roman" w:hAnsi="Times New Roman"/>
          <w:sz w:val="20"/>
        </w:rPr>
        <w:t xml:space="preserve">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and the level of legal protection we enjoy than in other legal systems. Any litigation or proceedings in the PRC may be protracted and result in substantial costs and diversion of our resources and management attention. Any such litigation or proceedings could have a material adverse effect on our business, reputation,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PRC government may influence our operations in Macau or elsewhere or intervene in our offerings conducted overseas or foreign investments in us. Its oversight and discretion over our business could result in material adverse changes in our operations and the value of our ordinary shares and ADSs. </w:t>
      </w:r>
    </w:p>
    <w:p>
      <w:pPr>
        <w:pStyle w:val="TextBody"/>
        <w:spacing w:before="120" w:after="0"/>
        <w:jc w:val="left"/>
        <w:rPr>
          <w:rFonts w:ascii="Times New Roman" w:hAnsi="Times New Roman"/>
          <w:sz w:val="20"/>
        </w:rPr>
      </w:pPr>
      <w:r>
        <w:rPr>
          <w:rFonts w:ascii="Times New Roman" w:hAnsi="Times New Roman"/>
          <w:sz w:val="20"/>
        </w:rPr>
        <w:t xml:space="preserve">The Chinese government has exercised and continues to exercise substantial control over virtually every sector of the Chinese economy through regulation and state ownership. The PRC may also intervene or influence our operations in Macau or elsewhere at any time as the PRC government deems appropriate to further regulatory, political and societal goals, or may exert more control over offerings conducted overseas and/or foreign investment in PRC-based issuers, which could result in a material change in our operations and/or the value of our ordinary shares. Additionally, 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our securities to significantly decline or be worthless. See also “— 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for discussions relating to the PRC Data Security Law. </w:t>
      </w:r>
    </w:p>
    <w:p>
      <w:pPr>
        <w:pStyle w:val="TextBody"/>
        <w:spacing w:before="240" w:after="0"/>
        <w:jc w:val="left"/>
        <w:rPr>
          <w:rFonts w:ascii="Times New Roman" w:hAnsi="Times New Roman"/>
          <w:sz w:val="20"/>
        </w:rPr>
      </w:pPr>
      <w:r>
        <w:rPr>
          <w:rFonts w:ascii="Times New Roman" w:hAnsi="Times New Roman"/>
          <w:sz w:val="20"/>
        </w:rPr>
        <w:t xml:space="preserve">If (i) we inadvertently conclude that certain regulatory permissions and approvals are not required or (ii) applicable laws, regulations, or interpretations change in a way that requires us to complete such filings or obtain such approvals in the future, and (iii) we are required to obtain such permissions or approvals in the future, but fail to receive or maintain such permissions or approvals, we may face sanctions by the CSRC, the CAC or other PRC regulatory agencies. These regulatory agencies may impose fines and penalties on us, limit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operations, limit our ability to pay dividends outside of China, limit our ability to list on stock exchanges outside of China or offer our securities to foreign investors or take other actions that could have a material adverse effect on our business, financial condition, results of operations and prospects, as well as the trading price of our securities. </w:t>
      </w:r>
    </w:p>
    <w:p>
      <w:pPr>
        <w:pStyle w:val="TextBody"/>
        <w:spacing w:before="240" w:after="0"/>
        <w:jc w:val="left"/>
        <w:rPr>
          <w:rFonts w:ascii="Times New Roman" w:hAnsi="Times New Roman"/>
          <w:b/>
          <w:i/>
          <w:sz w:val="20"/>
        </w:rPr>
      </w:pPr>
      <w:r>
        <w:rPr>
          <w:rFonts w:ascii="Times New Roman" w:hAnsi="Times New Roman"/>
          <w:b/>
          <w:i/>
          <w:sz w:val="20"/>
        </w:rPr>
        <w:t xml:space="preserve">We face intense competition in Macau, the Philippines and elsewhere in Asia and Europe and may not be able to compete successfully. </w:t>
      </w:r>
    </w:p>
    <w:p>
      <w:pPr>
        <w:pStyle w:val="TextBody"/>
        <w:spacing w:before="120" w:after="0"/>
        <w:jc w:val="left"/>
        <w:rPr>
          <w:rFonts w:ascii="Times New Roman" w:hAnsi="Times New Roman"/>
          <w:sz w:val="20"/>
        </w:rPr>
      </w:pPr>
      <w:r>
        <w:rPr>
          <w:rFonts w:ascii="Times New Roman" w:hAnsi="Times New Roman"/>
          <w:sz w:val="20"/>
        </w:rPr>
        <w:t xml:space="preserve">The hotel, resort and gaming industries are highly competitive. The competitors of our business in Macau and the Philippines include many of the largest gaming, hospitality, leisure and resort companies in the world. Some of these current and future competitors are larger than we are and may have more diversified resources, better brand recognition and greater access to capital to support their developments and operations in Macau, the Philippines and elsewhere. </w:t>
      </w:r>
    </w:p>
    <w:p>
      <w:pPr>
        <w:pStyle w:val="TextBody"/>
        <w:spacing w:before="240" w:after="0"/>
        <w:jc w:val="left"/>
        <w:rPr>
          <w:rFonts w:ascii="Times New Roman" w:hAnsi="Times New Roman"/>
          <w:sz w:val="20"/>
        </w:rPr>
      </w:pPr>
      <w:r>
        <w:rPr>
          <w:rFonts w:ascii="Times New Roman" w:hAnsi="Times New Roman"/>
          <w:sz w:val="20"/>
        </w:rPr>
        <w:t xml:space="preserve">In the Philippine gaming market, we compete with hotels and resorts owned by both Philippine nationals and international operators. PAGCOR, an entity owned and controlled by the government of the Philippines, also operates gaming facilities across the Philippines. Our operations in the Philippines face competition from gaming operators in other more established gaming centers across the region, particularly those of Macau and Singapore, and other major gaming markets located around the world, including Australia and Las Vegas, as we attract similar pools of customers and tourists. A number of such other operators have a longer track record of gaming operations and such other markets have more established reputations as gaming markets. Our operations in the Philippines may not be successful in its efforts to attract foreign customers and independent gaming promoters to City of Dreams Manila, and to promote Manila as a gaming destination. </w:t>
      </w:r>
    </w:p>
    <w:p>
      <w:pPr>
        <w:pStyle w:val="TextBody"/>
        <w:spacing w:before="240" w:after="0"/>
        <w:jc w:val="left"/>
        <w:rPr>
          <w:rFonts w:ascii="Times New Roman" w:hAnsi="Times New Roman"/>
          <w:sz w:val="20"/>
        </w:rPr>
      </w:pPr>
      <w:r>
        <w:rPr>
          <w:rFonts w:ascii="Times New Roman" w:hAnsi="Times New Roman"/>
          <w:sz w:val="20"/>
        </w:rPr>
        <w:t xml:space="preserve">In Macau, some competitors have opened new properties, expanded operations and/or have announced intentions for further expansion and developments in Cotai, where City of Dreams and Studio City are located. For example, Phase 3 of the Galaxy Macau Resort is completed and is currently expected to be progressively opened in the second quarter of 2023, while Phase 4 is currently under development. Sands China Ltd., a subsidiary of Las Vegas Sands Corporation, has rebranded and redeveloped Sands Cotai Central in Cotai into The Londoner Macau, which opened in February 2021. MGM Grand Paradise S.A., or MGM Grand Paradise, opened MGM Cotai in February 2018. Sociedade de Jogos de Macau, S.A., or SJM, opened Grand Lisboa Palace in July 2021 and is expected to open two additional hotels in 2023. See “Item 4. Information on the Company — B. Business Overview — Market and Competition.” </w:t>
      </w:r>
    </w:p>
    <w:p>
      <w:pPr>
        <w:pStyle w:val="TextBody"/>
        <w:spacing w:before="240" w:after="0"/>
        <w:jc w:val="left"/>
        <w:rPr>
          <w:rFonts w:ascii="Times New Roman" w:hAnsi="Times New Roman"/>
          <w:sz w:val="20"/>
        </w:rPr>
      </w:pPr>
      <w:r>
        <w:rPr>
          <w:rFonts w:ascii="Times New Roman" w:hAnsi="Times New Roman"/>
          <w:sz w:val="20"/>
        </w:rPr>
        <w:t xml:space="preserve">In Cyprus, we hold a 30-year casino gaming license, which commenced from June 2017 and as to which the first 15 years are exclusive. Although we hold the exclusive license to operate casinos in the Republic of Cyprus until 2032, we may face competition from a large number of sports betting shops in Cyprus, online sports betting or other illegal casinos in Cyprus closed down by the Cyprus government, and from a large number of casinos in the occupied part of Cyprus or from casinos in nearby parts of Europe and the Middle East. For instance, Hard Rock International announced its plans to open a new integrated casino resort in Greece’s Athens Riviera in 2026 while Wynn Resorts Ltd. announced plans to open the first Gulf Arab region casino at the luxury resort it is constructing at Ras Al Khaimah in the UAE in 2026. </w:t>
      </w:r>
    </w:p>
    <w:p>
      <w:pPr>
        <w:pStyle w:val="TextBody"/>
        <w:spacing w:before="240" w:after="0"/>
        <w:jc w:val="left"/>
        <w:rPr>
          <w:rFonts w:ascii="Times New Roman" w:hAnsi="Times New Roman"/>
          <w:sz w:val="20"/>
        </w:rPr>
      </w:pPr>
      <w:r>
        <w:rPr>
          <w:rFonts w:ascii="Times New Roman" w:hAnsi="Times New Roman"/>
          <w:sz w:val="20"/>
        </w:rPr>
        <w:t xml:space="preserve">We also compete to some extent with casinos located in other countries, such as Singapore, Malaysia, South Korea, Vietnam, Cambodia, Australia, New Zealand and elsewhere in the world, including Las Vegas and Atlantic City in the United States. Certain other regions or countries, such as Taiwan and Thailand, may also in the future legalize casino gaming and may not be subject to as stringent regulations as the Macau, Philippine and/or Cyprus markets. We also compete with both legal and illegal online gaming and sports betting websites, cruise ships operating out of Hong Kong and other areas of Asia that offer gaming. The proliferation of gaming venues in Asia could also significantly and adversely affect our business, financial condition, results of operations, cash flows and prospects. </w:t>
      </w:r>
    </w:p>
    <w:p>
      <w:pPr>
        <w:pStyle w:val="TextBody"/>
        <w:spacing w:before="240" w:after="0"/>
        <w:jc w:val="left"/>
        <w:rPr>
          <w:rFonts w:ascii="Times New Roman" w:hAnsi="Times New Roman"/>
          <w:sz w:val="20"/>
        </w:rPr>
      </w:pPr>
      <w:r>
        <w:rPr>
          <w:rFonts w:ascii="Times New Roman" w:hAnsi="Times New Roman"/>
          <w:sz w:val="20"/>
        </w:rPr>
        <w:t xml:space="preserve">Currently, Macau is the only region in the Greater China area offering legal casino gaming. Although the Chinese government has strictly enforced its regulations prohibiting domestic gaming operations, there may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be casinos in parts of the PRC that are operated illegally and without licenses. In addition, there is no assurance that the PRC will not in the future permit domestic gaming operations. Competition from casinos in the PRC, legal or illegal, could materially and adversely affect our business, results of operations, financial condition, cash flows and prospects. </w:t>
      </w:r>
    </w:p>
    <w:p>
      <w:pPr>
        <w:pStyle w:val="TextBody"/>
        <w:spacing w:before="240" w:after="0"/>
        <w:jc w:val="left"/>
        <w:rPr>
          <w:rFonts w:ascii="Times New Roman" w:hAnsi="Times New Roman"/>
          <w:sz w:val="20"/>
        </w:rPr>
      </w:pPr>
      <w:r>
        <w:rPr>
          <w:rFonts w:ascii="Times New Roman" w:hAnsi="Times New Roman"/>
          <w:sz w:val="20"/>
        </w:rPr>
        <w:t xml:space="preserve">Our regional competitors also include casino resorts that Melco International may develop elsewhere in Asia Pacific outside Macau or elsewhere in the world. Melco International may develop different interests and strategies for projects in Asia or elsewhere in the world which conflict with the interests of our business in Macau, the Philippines and Cyprus or otherwise compete with us for gaming and leisure customers. See “— Risks Relating to Our Corporate Structure and Ownership.” </w:t>
      </w:r>
    </w:p>
    <w:p>
      <w:pPr>
        <w:pStyle w:val="TextBody"/>
        <w:spacing w:before="360" w:after="0"/>
        <w:jc w:val="left"/>
        <w:rPr>
          <w:rFonts w:ascii="Times New Roman" w:hAnsi="Times New Roman"/>
          <w:b/>
          <w:i/>
          <w:sz w:val="20"/>
        </w:rPr>
      </w:pPr>
      <w:r>
        <w:rPr>
          <w:rFonts w:ascii="Times New Roman" w:hAnsi="Times New Roman"/>
          <w:b/>
          <w:i/>
          <w:sz w:val="20"/>
        </w:rPr>
        <w:t xml:space="preserve">Inadequate transportation infrastructure in the Philippines, Macau or Cyprus may hinder increases in visitations to the Philippines, Macau or Cyprus. </w:t>
      </w:r>
    </w:p>
    <w:p>
      <w:pPr>
        <w:pStyle w:val="TextBody"/>
        <w:spacing w:before="120" w:after="0"/>
        <w:jc w:val="left"/>
        <w:rPr>
          <w:rFonts w:ascii="Times New Roman" w:hAnsi="Times New Roman"/>
          <w:sz w:val="20"/>
        </w:rPr>
      </w:pPr>
      <w:r>
        <w:rPr>
          <w:rFonts w:ascii="Times New Roman" w:hAnsi="Times New Roman"/>
          <w:sz w:val="20"/>
        </w:rPr>
        <w:t xml:space="preserve">City of Dreams Manila is located within Entertainment City, a controlled development in the City of Paranaque. Other than Solaire and Okada Manila, there are currently no other integrated tourism resorts which have begun operations in Entertainment City. It is unlikely that Manila’s existing transportation infrastructure is capable of handling the increased number of tourist arrivals that may be necessary to support visitor traffic to large scale integrated resorts within Entertainment City, such as City of Dreams Manila. Although the NAIA Expressway and the newly constructed Skyway Stage-3 Expressway helped alleviate the traffic congestion within the area surrounding Entertainment City and the Philippine government continues to examine viable alternatives to ease traffic congestion in Manila, there is no guarantee that these measures will succeed, or that they will sufficiently eliminate the traffic problems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 </w:t>
      </w:r>
    </w:p>
    <w:p>
      <w:pPr>
        <w:pStyle w:val="TextBody"/>
        <w:spacing w:before="240" w:after="0"/>
        <w:jc w:val="left"/>
        <w:rPr>
          <w:rFonts w:ascii="Times New Roman" w:hAnsi="Times New Roman"/>
          <w:sz w:val="20"/>
        </w:rPr>
      </w:pPr>
      <w:r>
        <w:rPr>
          <w:rFonts w:ascii="Times New Roman" w:hAnsi="Times New Roman"/>
          <w:sz w:val="20"/>
        </w:rPr>
        <w:t xml:space="preserve">Macau consists of a peninsula and two islands and is connected to the PRC by five border crossings. Macau has an international airport and connections to the PRC and Hong Kong by road and ferry.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expansion of the Macau Light Rapid Transit and capacity expansion of border crossings, these projects may not be approved, financed or constructed in time to handle the projected increase in demand for transportation or at all, which could impede the expected increase in visitation to Macau and adversely affect our projects in Macau. Any further delays or termination of Macau’s transportation infrastructure projects may have a material adverse effect on our business, prospects, financial condition, results of operations and cash flows. </w:t>
      </w:r>
    </w:p>
    <w:p>
      <w:pPr>
        <w:pStyle w:val="TextBody"/>
        <w:spacing w:before="240" w:after="0"/>
        <w:jc w:val="left"/>
        <w:rPr>
          <w:rFonts w:ascii="Times New Roman" w:hAnsi="Times New Roman"/>
          <w:sz w:val="20"/>
        </w:rPr>
      </w:pPr>
      <w:r>
        <w:rPr>
          <w:rFonts w:ascii="Times New Roman" w:hAnsi="Times New Roman"/>
          <w:sz w:val="20"/>
        </w:rPr>
        <w:t xml:space="preserve">Furthermore, the expected benefits from the Hong Kong-Zhuhai-Macau Bridge, which opened to traffic on October 23, 2018, may not fully materialize, and may not result in significantly increased traffic to Macau and to our Macau properties. </w:t>
      </w:r>
    </w:p>
    <w:p>
      <w:pPr>
        <w:pStyle w:val="TextBody"/>
        <w:spacing w:before="240" w:after="0"/>
        <w:jc w:val="left"/>
        <w:rPr>
          <w:rFonts w:ascii="Times New Roman" w:hAnsi="Times New Roman"/>
          <w:sz w:val="20"/>
        </w:rPr>
      </w:pPr>
      <w:r>
        <w:rPr>
          <w:rFonts w:ascii="Times New Roman" w:hAnsi="Times New Roman"/>
          <w:sz w:val="20"/>
        </w:rPr>
        <w:t xml:space="preserve">Cyprus is an island in the Eastern Basin of the Mediterranean Sea. It is the third largest island in the Mediterranean after the Italian islands of Sicily and Sardinia. Cyprus has two international airports with flights to other European countries as well as outside of Europe such as Russia, the Middle East and Africa. Cyprus’ existing transportation infrastructure may be incapable of handling the increased number of tourist arrivals that may be necessary to support visitor traffic to our temporary casino in Limassol and three satellite casinos in Nicosia, Ayia Napa and Paphos or City of Dreams Mediterranean (which is currently under development). There is no guarantee that any measures taken by the government of Cyprus will successfully increase air traffic into Cyprus or sufficiently eliminate the traffic problem or other deficiencies in Cyprus’ transportation infrastructure.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governments in Macau and the Philippines could grant additional rights to conduct gaming in the future, which could significantly increase competition and cause us to lose or be unable to gain market share. </w:t>
      </w:r>
    </w:p>
    <w:p>
      <w:pPr>
        <w:pStyle w:val="TextBody"/>
        <w:spacing w:before="120" w:after="0"/>
        <w:jc w:val="left"/>
        <w:rPr>
          <w:rFonts w:ascii="Times New Roman" w:hAnsi="Times New Roman"/>
          <w:sz w:val="20"/>
        </w:rPr>
      </w:pPr>
      <w:r>
        <w:rPr>
          <w:rFonts w:ascii="Times New Roman" w:hAnsi="Times New Roman"/>
          <w:sz w:val="20"/>
        </w:rPr>
        <w:t xml:space="preserve">In Macau, Melco Resorts Macau is one of the six companies authorized by the Macau government to operate gaming activities. Pursuant to the terms of Macau Law No. 16/2001, or the Macau Gaming Operations Law, as amended, the maximum number of gaming concessions is six. Concessionaires are prohibited from entering into a subconcession agreement. Notwithstanding, the policies and laws of the Macau government may change and could result in the grant of additional concessions or subconcessions, which could significantly increase competition in Macau and also cause us to lose or be unable to maintain or gain market share and, as a result, adversely affect our business. </w:t>
      </w:r>
    </w:p>
    <w:p>
      <w:pPr>
        <w:pStyle w:val="TextBody"/>
        <w:spacing w:before="240" w:after="0"/>
        <w:jc w:val="left"/>
        <w:rPr>
          <w:rFonts w:ascii="Times New Roman" w:hAnsi="Times New Roman"/>
          <w:sz w:val="20"/>
        </w:rPr>
      </w:pPr>
      <w:r>
        <w:rPr>
          <w:rFonts w:ascii="Times New Roman" w:hAnsi="Times New Roman"/>
          <w:sz w:val="20"/>
        </w:rPr>
        <w:t xml:space="preserve">In the Philippines, PAGCOR has issued regular gaming licenses to the Philippine Licensees and one other company and additional provisional gaming licenses to two other companies in the Philippines for the development and operation of integrated casino resorts. PAGCOR also granted a provisional license to a casino operator located at Las Piñas City and has also licensed private casino operators in special economic zones, including four in the Clark Ecozone, one in Poro Point, La Union, one in Binangonan, Rizal and one in the Newport City CyberTourism Zone, Pasay City. The Philippine License granted by PAGCOR to the Philippine Licensees is non-exclusive, and there is no assurance that PAGCOR will not issue additional gaming licenses, or that it will limit the number of licenses it issues. Any additional gaming licenses issued by PAGCOR could increase competition in the Philippine gaming industry, which could diminish the value of the Philippine Licensees’ Philippine License. This could materially and adversely affect our business, financial condition and results of operations in the Philippines. </w:t>
      </w:r>
    </w:p>
    <w:p>
      <w:pPr>
        <w:pStyle w:val="TextBody"/>
        <w:spacing w:before="360" w:after="0"/>
        <w:jc w:val="left"/>
        <w:rPr>
          <w:rFonts w:ascii="Times New Roman" w:hAnsi="Times New Roman"/>
          <w:b/>
          <w:i/>
          <w:sz w:val="20"/>
        </w:rPr>
      </w:pPr>
      <w:r>
        <w:rPr>
          <w:rFonts w:ascii="Times New Roman" w:hAnsi="Times New Roman"/>
          <w:b/>
          <w:i/>
          <w:sz w:val="20"/>
        </w:rPr>
        <w:t xml:space="preserve">Any simultaneous planning, design, construction and development of any projects may stretch our management’s time and resources, which could lead to delays, increased costs and other inefficiencies in the development of these projects. </w:t>
      </w:r>
    </w:p>
    <w:p>
      <w:pPr>
        <w:pStyle w:val="TextBody"/>
        <w:spacing w:before="120" w:after="0"/>
        <w:jc w:val="left"/>
        <w:rPr>
          <w:rFonts w:ascii="Times New Roman" w:hAnsi="Times New Roman"/>
          <w:sz w:val="20"/>
        </w:rPr>
      </w:pPr>
      <w:r>
        <w:rPr>
          <w:rFonts w:ascii="Times New Roman" w:hAnsi="Times New Roman"/>
          <w:sz w:val="20"/>
        </w:rPr>
        <w:t xml:space="preserve">There may be overlap in the planning, design, development and construction periods of our projects. Members of our senior management will be involved in planning and developing our projects at the same time, in addition to overseeing our day-to-day operations. Our management may be unable to devote sufficient time and attention to such projects, as well as our operating properties, which may result in delays in the construction or opening of any of our current or future projects, cause construction cost overruns or cause the performance of our operating properties to be lower than expected, which could have a material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Our business depends substantially on the continuing efforts of our senior management, and our business may be severely disrupted if we lose their services. </w:t>
      </w:r>
    </w:p>
    <w:p>
      <w:pPr>
        <w:pStyle w:val="TextBody"/>
        <w:spacing w:before="120" w:after="0"/>
        <w:jc w:val="left"/>
        <w:rPr>
          <w:rFonts w:ascii="Times New Roman" w:hAnsi="Times New Roman"/>
          <w:sz w:val="20"/>
        </w:rPr>
      </w:pPr>
      <w:r>
        <w:rPr>
          <w:rFonts w:ascii="Times New Roman" w:hAnsi="Times New Roman"/>
          <w:sz w:val="20"/>
        </w:rPr>
        <w:t xml:space="preserve">We place substantial reliance on the gaming, project development and hospitality industry experience and knowledge of the Macau, the Philippine and the Cyprus markets possessed by members of our board of directors, our senior management team, as well as other management personnel. We may experience changes in our key management in the future, including for reasons beyond our control. The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key management personnel could be difficult, and competition for personnel of similar experience could be intense in Macau, the Philippines and Cyprus. In addition, we do not currently carry key person insurance on any members of our senior management team. </w:t>
      </w:r>
    </w:p>
    <w:p>
      <w:pPr>
        <w:pStyle w:val="TextBody"/>
        <w:spacing w:before="360" w:after="0"/>
        <w:jc w:val="left"/>
        <w:rPr>
          <w:rFonts w:ascii="Times New Roman" w:hAnsi="Times New Roman"/>
          <w:b/>
          <w:i/>
          <w:sz w:val="20"/>
        </w:rPr>
      </w:pPr>
      <w:r>
        <w:rPr>
          <w:rFonts w:ascii="Times New Roman" w:hAnsi="Times New Roman"/>
          <w:b/>
          <w:i/>
          <w:sz w:val="20"/>
        </w:rPr>
        <w:t xml:space="preserve">The success of our business depends on our ability to attract and retain an adequate number of qualified personnel. A limited labor supply, increased competition and any increase in demands from our employees could cause labor costs to increase. </w:t>
      </w:r>
    </w:p>
    <w:p>
      <w:pPr>
        <w:pStyle w:val="TextBody"/>
        <w:spacing w:before="120" w:after="0"/>
        <w:jc w:val="left"/>
        <w:rPr>
          <w:rFonts w:ascii="Times New Roman" w:hAnsi="Times New Roman"/>
          <w:sz w:val="20"/>
        </w:rPr>
      </w:pPr>
      <w:r>
        <w:rPr>
          <w:rFonts w:ascii="Times New Roman" w:hAnsi="Times New Roman"/>
          <w:sz w:val="20"/>
        </w:rPr>
        <w:t xml:space="preserve">The pool of experienced gaming and other skilled and unskilled personnel in Macau, the Philippines and Cyprus is limited. Our demand remains high for personnel occupying sensitive positions that require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qualifications sufficient to meet gaming regulations and other requirements or skills and knowledge. Competitive demand for qualified personnel is expected to continue due to the increased number of properties recently opened and expected to open in close proximity to our properties in Macau, the Philippines and Cyprus. Notably, with the easing of COVID-19 travel restrictions in Macau and the increase in business volumes, we will need to hire a significant number of employees to operate at full capacity, with a significant portion of these vacancies expected to be filled by non-resident workers for which Macau government-issued quotas are required. In addition, we have a substantial recruitment drive in effect, particularly for managerial and operational related positions, in anticipation of the opening of the City of Dreams Mediterranean in 2023. Conversely, the expected increase in demand for personnel in Macau due to the easing of COVID-19 travel restrictions could adversely affect the supply of personnel in the Philippines. The limited supply and increased competition in the labor market could cause our labor costs to increase. </w:t>
      </w:r>
    </w:p>
    <w:p>
      <w:pPr>
        <w:pStyle w:val="TextBody"/>
        <w:spacing w:before="240" w:after="0"/>
        <w:jc w:val="left"/>
        <w:rPr>
          <w:rFonts w:ascii="Times New Roman" w:hAnsi="Times New Roman"/>
          <w:sz w:val="20"/>
        </w:rPr>
      </w:pPr>
      <w:r>
        <w:rPr>
          <w:rFonts w:ascii="Times New Roman" w:hAnsi="Times New Roman"/>
          <w:sz w:val="20"/>
        </w:rPr>
        <w:t xml:space="preserve">Macau government policy prohibits us from hiring non-Macau resident dealers and supervisors. In addition, the Macau government has continuously stressed that it will continue to monitor the proportion of management positions held by Macau residents and implement measures to ensure such proportion remains no less than 85% of senior and mid-management positions. Due to the increased competition in the labor market and the relevant regulatory restrictions, we cannot assure you that we will be able to attract and retain a sufficient number of qualified individuals to operate our properties, or that costs to recruit and retain such personnel will not increase significantly. In addition, we have previously been subject to certain labor demands in Macau. The inability to attract, retain and motivate qualified employees and management personnel and to continuously optimize our workforce based on changing business demands could have a material adverse effect on our business. </w:t>
      </w:r>
    </w:p>
    <w:p>
      <w:pPr>
        <w:pStyle w:val="TextBody"/>
        <w:spacing w:before="240" w:after="0"/>
        <w:jc w:val="left"/>
        <w:rPr>
          <w:rFonts w:ascii="Times New Roman" w:hAnsi="Times New Roman"/>
          <w:sz w:val="20"/>
        </w:rPr>
      </w:pPr>
      <w:r>
        <w:rPr>
          <w:rFonts w:ascii="Times New Roman" w:hAnsi="Times New Roman"/>
          <w:sz w:val="20"/>
        </w:rPr>
        <w:t xml:space="preserve">Further, the Macau government is currently enforcing a labor policy pursuant to which the ratio of local to foreign workers that may be recruited is determined on a case-by-case basis and, in relation to construction work, must be at least 1:1 unless otherwise authorized by the Macau government. Such a policy could have a material adverse effect on our ability to complete work on our properties. Moreover, if the Macau government enforces similar restrictive ratios in other areas, such as the gaming, hotel and entertainment sectors, or imposes additional restrictions on the hiring of foreign workers generally, this could have a material adverse effect on the operation of our properties. </w:t>
      </w:r>
    </w:p>
    <w:p>
      <w:pPr>
        <w:pStyle w:val="TextBody"/>
        <w:spacing w:before="240" w:after="0"/>
        <w:jc w:val="left"/>
        <w:rPr>
          <w:rFonts w:ascii="Times New Roman" w:hAnsi="Times New Roman"/>
          <w:sz w:val="20"/>
        </w:rPr>
      </w:pPr>
      <w:r>
        <w:rPr>
          <w:rFonts w:ascii="Times New Roman" w:hAnsi="Times New Roman"/>
          <w:sz w:val="20"/>
        </w:rPr>
        <w:t xml:space="preserve">In the Philippines, the Philippine License requires that at least 95% of City of Dreams Manila’s total employees be locally hired. Our inability to recruit a sufficient number of employees in the Philippines to meet this provision or to do so in a cost-effective manner may cause us to lower our hiring standards, which may have an adverse impact on City of Dreams Manila’s service levels, reputation and business. In addition, in February 2019, Kilusan ng Manggagawang Makabayan (KMM-Katipunan) Melco Resorts Leisure (PHP) Corporation — Table Games Division — Chapter, or KMM-MELCO TGD, was certified by the Philippines Department of Labor to represent the rank-and-file employees of the Table Games Division of City of Dreams Manila as the former’s sole and exclusive bargaining agent and a collective bargaining agreement was subsequently signed between City of Dreams Manila and the KMM-MELCO TGD in February 2020. We reached a new collective bargaining agreement with the KMM-MELCO TGD in 2022, which will be in effect from July 1, 2022 until June 30, 2024. This new collective bargaining agreement covers essentially the same terms as the previous collective bargaining agreement, with the key differences being a slight adjustment to salaries with effect from July 1, 2023, and an improved leave policy for employees of Table Games Division of City of Dreams Manila. More recently, in February 2023, a petition was granted permitting KMM-Katipunan Melco Resorts and Leisure (Phil) Corporation Integrated Resorts and Casino (Housekeeping Chapter) to hold a certification election in an effort to represent the employees of the Housekeeping Division of City of Dreams Manila. In addition, another union, Kilusan ng Manggagawang Makabayan (KMM-Katipunan) Melco Resorts Leisure (PHP) Corporation — Security and Surveillance Division — Chapter, or KMM-MELCO SSDC, also sought to organize and represent the employees of the Security Division of City of Dreams Manila and filed a petition in February 2021 and July 2022 to request an election by the relevant employees. However, a majority of the members of the Security Division voted against the unionization of their division at the certification election in 2021, and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KMM-MELCO SSDC withdrew its petition for certification election in November 2022. Any demand or activities of such collective bargaining agent, or any additional collective bargaining agents that may be certified by the Philippines Department of Labor in the future, could have a material adverse effect on the business and operations of City of Dreams Manila or our financial condition and results of operations. The impact of any union activity is difficult to predict, and, if not resolved in a timely and cost-effective manner, industrial action or other labor unrest could prevent or hinder our operations from being carried out as we expect and could have a material adverse effect on our business, results of operations and financial condition. </w:t>
      </w:r>
    </w:p>
    <w:p>
      <w:pPr>
        <w:pStyle w:val="TextBody"/>
        <w:spacing w:before="240" w:after="0"/>
        <w:jc w:val="left"/>
        <w:rPr>
          <w:rFonts w:ascii="Times New Roman" w:hAnsi="Times New Roman"/>
          <w:sz w:val="20"/>
        </w:rPr>
      </w:pPr>
      <w:r>
        <w:rPr>
          <w:rFonts w:ascii="Times New Roman" w:hAnsi="Times New Roman"/>
          <w:sz w:val="20"/>
        </w:rPr>
        <w:t xml:space="preserve">In Cyprus, there is also a risk that our employees may organize or become part of a collective bargaining agreement or trade union. There is also a shortage of experienced gaming and other skilled and unskilled personnel as Cyprus is a new gaming market and we also compete with other local hotels and resorts for non-gaming personnel in the hospitality sector. There is also a shortage of labor in the construction sector given the robust building activities in Cyprus and the difficulty in applying for work permits for non-EU citizens. As a result, our contractors may have to make up for any shortages in available labor from Greece or other European countries which could also increase our labor costs. </w:t>
      </w:r>
    </w:p>
    <w:p>
      <w:pPr>
        <w:pStyle w:val="TextBody"/>
        <w:spacing w:before="240" w:after="0"/>
        <w:jc w:val="left"/>
        <w:rPr>
          <w:rFonts w:ascii="Times New Roman" w:hAnsi="Times New Roman"/>
          <w:sz w:val="20"/>
        </w:rPr>
      </w:pPr>
      <w:r>
        <w:rPr>
          <w:rFonts w:ascii="Times New Roman" w:hAnsi="Times New Roman"/>
          <w:sz w:val="20"/>
        </w:rPr>
        <w:t xml:space="preserve">Moreover, casino resort employers may also contest the hiring of their former employees by us. There can be no assurance that any such claim will not be successful or other similar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 </w:t>
      </w:r>
    </w:p>
    <w:p>
      <w:pPr>
        <w:pStyle w:val="TextBody"/>
        <w:spacing w:before="360" w:after="0"/>
        <w:jc w:val="left"/>
        <w:rPr>
          <w:rFonts w:ascii="Times New Roman" w:hAnsi="Times New Roman"/>
          <w:b/>
          <w:i/>
          <w:sz w:val="20"/>
        </w:rPr>
      </w:pPr>
      <w:r>
        <w:rPr>
          <w:rFonts w:ascii="Times New Roman" w:hAnsi="Times New Roman"/>
          <w:b/>
          <w:i/>
          <w:sz w:val="20"/>
        </w:rPr>
        <w:t xml:space="preserve">Our insurance coverage may not be adequate to cover all losses that we may suffer from our operations. In addition, our insurance costs may increase and we may not be able to obtain the same insurance coverage in the future. </w:t>
      </w:r>
    </w:p>
    <w:p>
      <w:pPr>
        <w:pStyle w:val="TextBody"/>
        <w:spacing w:before="120" w:after="0"/>
        <w:jc w:val="left"/>
        <w:rPr>
          <w:rFonts w:ascii="Times New Roman" w:hAnsi="Times New Roman"/>
          <w:sz w:val="20"/>
        </w:rPr>
      </w:pPr>
      <w:r>
        <w:rPr>
          <w:rFonts w:ascii="Times New Roman" w:hAnsi="Times New Roman"/>
          <w:sz w:val="20"/>
        </w:rPr>
        <w:t xml:space="preserve">We currently have various insurance policies providing certain coverage typically required by gaming and hospitality operations in Macau. In addition, we maintain various types of insurance policies for our Philippine and Cyprus business and operations, including mainly property damage, business interruption, general liability and crime insurance policies. In the Philippines, we also maintain a surety bond required by PAGCOR, which secures the prompt payment by Melco Resorts Leisure of the monthly licensee fees due to PAGCOR. These insurance policies provide coverage that is subject to policy terms, conditions and limits. There is no assurance that we will be able to renew such insurance coverage on equivalent premium costs, terms, conditions and limits upon their expiration. Certain events, such as typhoons and fires, may increase and have increased our premium costs. The cost of coverage may in the future become so high that we may be unable to obtain the insurance policies we deem necessary for the operation of our projects on commercially practicable terms, or at all, or we may need to reduce our policy limits or agree to certain exclusions from our coverage. Our cyber insurance may not cover all expenses and losses and, accordingly, such breaches or other compromises of our information security or that of its third-party service providers or business partners may have an adverse impact on our operating results and financial condition. </w:t>
      </w:r>
    </w:p>
    <w:p>
      <w:pPr>
        <w:pStyle w:val="TextBody"/>
        <w:spacing w:before="240" w:after="0"/>
        <w:jc w:val="left"/>
        <w:rPr>
          <w:rFonts w:ascii="Times New Roman" w:hAnsi="Times New Roman"/>
          <w:sz w:val="20"/>
        </w:rPr>
      </w:pPr>
      <w:r>
        <w:rPr>
          <w:rFonts w:ascii="Times New Roman" w:hAnsi="Times New Roman"/>
          <w:sz w:val="20"/>
        </w:rPr>
        <w:t xml:space="preserve">We cannot assure you that any such insurance policies we obtained or may obtain will be adequate to protect us from material losses. Certain acts and events, including any pandemic, epidemic of infectious diseases, earthquakes, hurricanes and floods, terrorist acts, or cybersecurity attacks could expose us to significant uninsured losses that may be, or are, uninsurable or too expensive to justify obtaining insurance. As a result, we may not be successful in obtaining insurance without increases in cost or decreases in coverage levels. In addition, in the event of a substantial loss, the insurance coverage we carry may not be sufficient to pay the full market value or replacement cost of our lost investment or in some cases could result in certain losses being totally uninsured. In addition to the damages caused directly by a casualty loss (such as fire or natural disasters), infectious disease outbreaks or terrorist acts, we may suffer a disruption of our business as a result of these events or be subject to claims by third parties who may be injured or harmed. As an example, COVID-19 outbreaks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have resulted in many governments around the world, including in the Philippines, Macau and Cyprus where we operate, placing quarantines disallowing residents to travel into or outside of the quarantined area, enforcing business closures and other restrictions. While we intend to continue carrying business interruption insurance and general liability insurance, such insurance may not be available on commercially reasonable terms, or at all, and, in any event, may not be adequate to cover any losses that may result from such events. </w:t>
      </w:r>
    </w:p>
    <w:p>
      <w:pPr>
        <w:pStyle w:val="TextBody"/>
        <w:spacing w:before="240" w:after="0"/>
        <w:jc w:val="left"/>
        <w:rPr>
          <w:rFonts w:ascii="Times New Roman" w:hAnsi="Times New Roman"/>
          <w:sz w:val="20"/>
        </w:rPr>
      </w:pPr>
      <w:r>
        <w:rPr>
          <w:rFonts w:ascii="Times New Roman" w:hAnsi="Times New Roman"/>
          <w:sz w:val="20"/>
        </w:rPr>
        <w:t xml:space="preserve">There is limited available insurance in Macau, the Philippines and Cyprus and our insurers in Macau, the Philippines and Cyprus may need to secure reinsurance in order to provide adequate cover for our property and development projects. Our credit agreements, our gaming concession in Macau, the Philippine License granted by PAGCOR and certain other material agreements require a certain level of insurance to be maintained, which must be obtained in Macau and the Philippines, respectively, unless otherwise authorized by the respective counter-parties. Failure to maintain adequate coverage could be an event of default under our credit agreements, our gaming concession in Macau or the Philippine License and may have a material adverse effect on our business, financial condition, results of operations and cash flows. </w:t>
      </w:r>
    </w:p>
    <w:p>
      <w:pPr>
        <w:pStyle w:val="TextBody"/>
        <w:spacing w:before="360" w:after="0"/>
        <w:jc w:val="left"/>
        <w:rPr>
          <w:rFonts w:ascii="Times New Roman" w:hAnsi="Times New Roman"/>
          <w:b/>
          <w:i/>
          <w:sz w:val="20"/>
        </w:rPr>
      </w:pPr>
      <w:r>
        <w:rPr>
          <w:rFonts w:ascii="Times New Roman" w:hAnsi="Times New Roman"/>
          <w:b/>
          <w:i/>
          <w:sz w:val="20"/>
        </w:rPr>
        <w:t xml:space="preserve">Gaming inherently involves elements of chance that are beyond our control, and as a result our revenues may be volatile and the winnings of our patrons could exceed our casino winnings at particular times during our operations. </w:t>
      </w:r>
    </w:p>
    <w:p>
      <w:pPr>
        <w:pStyle w:val="TextBody"/>
        <w:spacing w:before="120" w:after="0"/>
        <w:jc w:val="left"/>
        <w:rPr>
          <w:rFonts w:ascii="Times New Roman" w:hAnsi="Times New Roman"/>
          <w:sz w:val="20"/>
        </w:rPr>
      </w:pPr>
      <w:r>
        <w:rPr>
          <w:rFonts w:ascii="Times New Roman" w:hAnsi="Times New Roman"/>
          <w:sz w:val="20"/>
        </w:rPr>
        <w:t xml:space="preserve">The gaming industry is characterized by the element of chance. In addition to the element of chance, theoretical expected win rates are also affected by other factors, including players’ skills and experience, the mix of games played, the financial resources of players, the spread of table limits, the volume and mix of bets placed by our players, the amount of time players spend on gambling and the number of our players. As a result, our actual win rates may differ greatly over short time periods, such as from quarter to quarter, and could cause our quarterly results to be volatile. Each of these factors, alone or in combination, have the potential to negatively impact our win rates, and our business, financial condition and results of operations could be materially and adversely affected. </w:t>
      </w:r>
    </w:p>
    <w:p>
      <w:pPr>
        <w:pStyle w:val="TextBody"/>
        <w:spacing w:before="240" w:after="0"/>
        <w:jc w:val="left"/>
        <w:rPr>
          <w:rFonts w:ascii="Times New Roman" w:hAnsi="Times New Roman"/>
          <w:sz w:val="20"/>
        </w:rPr>
      </w:pPr>
      <w:r>
        <w:rPr>
          <w:rFonts w:ascii="Times New Roman" w:hAnsi="Times New Roman"/>
          <w:sz w:val="20"/>
        </w:rPr>
        <w:t xml:space="preserve">Our revenues are mainly derived from the difference between our casino winnings and the winnings of our casino patrons. Since there are inherent elements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 </w:t>
      </w:r>
    </w:p>
    <w:p>
      <w:pPr>
        <w:pStyle w:val="TextBody"/>
        <w:spacing w:before="360" w:after="0"/>
        <w:jc w:val="left"/>
        <w:rPr>
          <w:rFonts w:ascii="Times New Roman" w:hAnsi="Times New Roman"/>
          <w:b/>
          <w:i/>
          <w:sz w:val="20"/>
        </w:rPr>
      </w:pPr>
      <w:r>
        <w:rPr>
          <w:rFonts w:ascii="Times New Roman" w:hAnsi="Times New Roman"/>
          <w:b/>
          <w:i/>
          <w:sz w:val="20"/>
        </w:rPr>
        <w:t xml:space="preserve">Our gaming business is subject to the risk of cheating and counterfeiting. </w:t>
      </w:r>
    </w:p>
    <w:p>
      <w:pPr>
        <w:pStyle w:val="TextBody"/>
        <w:spacing w:before="120" w:after="0"/>
        <w:jc w:val="left"/>
        <w:rPr>
          <w:rFonts w:ascii="Times New Roman" w:hAnsi="Times New Roman"/>
          <w:sz w:val="20"/>
        </w:rPr>
      </w:pPr>
      <w:r>
        <w:rPr>
          <w:rFonts w:ascii="Times New Roman" w:hAnsi="Times New Roman"/>
          <w:sz w:val="20"/>
        </w:rPr>
        <w:t xml:space="preserve">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Gaming customers may attempt or commit fraud or cheat in order to increase their winnings, including in collusion with the casino’s staff. Internal acts of cheating could also be conducted by staff through collusion with dealers, surveillance staff, floor managers or other gaming area staff. 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 </w:t>
      </w:r>
    </w:p>
    <w:p>
      <w:pPr>
        <w:pStyle w:val="TextBody"/>
        <w:spacing w:before="240" w:after="0"/>
        <w:jc w:val="left"/>
        <w:rPr>
          <w:rFonts w:ascii="Times New Roman" w:hAnsi="Times New Roman"/>
          <w:sz w:val="20"/>
        </w:rPr>
      </w:pPr>
      <w:r>
        <w:rPr>
          <w:rFonts w:ascii="Times New Roman" w:hAnsi="Times New Roman"/>
          <w:sz w:val="20"/>
        </w:rPr>
        <w:t xml:space="preserve">Our operations are reviewed to detect and prevent cheating. Each game has a theoretical win rate and statistics are examined with these in mind. Cheating may give rise to negative publicity and such action may materially affect our business, financial condition, operations and cash flows.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An outbreak of widespread health epidemics or pandemics, contagious disease or other outbreaks may have an adverse effect on the economies of affected countries or regions and may have a material adverse effect on our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Our operations could be, and in certain cases, such as in relation to COVID-19, have been adversely affected by the outbreak of widespread health epidemics or pandemics, such as swine flu, avian influenza, severe acute respiratory syndrome (SARS), Middle East respiratory syndrome (MERS), Zika, Ebola and COVID-19. The occurrence of such health epidemics or pandemics, prolonged outbreak of an epidemic illness or other adverse public health developments in the PRC or elsewhere in the world could materially disrupt our business and operations. Such events could significantly impact our industry and cause severe travel restrictions in the PRC or elsewhere in the world as well as temporary or prolonged closures of the facilities we use for our operations and disruptions to public transportation, which could severely disrupt our operations and have a material adverse effect on our business, financial condition and results of operations. Such events may also indirectly and materially adversely impact our operations by negatively impacting the outlook, growth or business sentiment in the global, regional or local economy. See also “— COVID-19 outbreaks have had an adverse effect on our operations, which has had a significant negative effect over the past three years and may continue to materially impact our business, prospects,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Several countries, including Japan, South Korea and Vietnam, have registered cases of avian flu since the end of 2020. Fully effective avian flu vaccines have not been developed and there is evidence that the H5N1 virus is constantly evolving so we cannot assure you that an effective vaccine can be discovered or commercially manufactured in time to protect against the potential avian flu pandemic. </w:t>
      </w:r>
    </w:p>
    <w:p>
      <w:pPr>
        <w:pStyle w:val="TextBody"/>
        <w:spacing w:before="240" w:after="0"/>
        <w:jc w:val="left"/>
        <w:rPr>
          <w:rFonts w:ascii="Times New Roman" w:hAnsi="Times New Roman"/>
          <w:sz w:val="20"/>
        </w:rPr>
      </w:pPr>
      <w:r>
        <w:rPr>
          <w:rFonts w:ascii="Times New Roman" w:hAnsi="Times New Roman"/>
          <w:sz w:val="20"/>
        </w:rPr>
        <w:t xml:space="preserve">In addition to COVID-19, there can be no assurance that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facilities or employees or others involved in our operations were suspected of having COVID-19,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facilities or otherwise disrupt our business operations and adversely affect our results of operations. Our revenues and profitability could be materially reduced to the extent that a health epidemic or other outbreak harms the PRC or global economy in general. </w:t>
      </w:r>
    </w:p>
    <w:p>
      <w:pPr>
        <w:pStyle w:val="TextBody"/>
        <w:spacing w:before="240" w:after="0"/>
        <w:jc w:val="left"/>
        <w:rPr>
          <w:rFonts w:ascii="Times New Roman" w:hAnsi="Times New Roman"/>
          <w:b/>
          <w:i/>
          <w:sz w:val="20"/>
        </w:rPr>
      </w:pPr>
      <w:r>
        <w:rPr>
          <w:rFonts w:ascii="Times New Roman" w:hAnsi="Times New Roman"/>
          <w:b/>
          <w:i/>
          <w:sz w:val="20"/>
        </w:rPr>
        <w:t xml:space="preserve">Health and safety or food safety incidents at our properties may lead to reputational damage and financial exposures. </w:t>
      </w:r>
    </w:p>
    <w:p>
      <w:pPr>
        <w:pStyle w:val="TextBody"/>
        <w:spacing w:before="120" w:after="0"/>
        <w:jc w:val="left"/>
        <w:rPr>
          <w:rFonts w:ascii="Times New Roman" w:hAnsi="Times New Roman"/>
          <w:sz w:val="20"/>
        </w:rPr>
      </w:pPr>
      <w:r>
        <w:rPr>
          <w:rFonts w:ascii="Times New Roman" w:hAnsi="Times New Roman"/>
          <w:sz w:val="20"/>
        </w:rPr>
        <w:t xml:space="preserve">We provide goods and services to a significant number of customers on a daily basis at our properties in Macau, Manila and Cyprus. In particular, with attractions, entertainment and food and beverage offerings at our properties, there are risks of health and safety incidents, personal injury, or adverse food safety events, such as food poisoning, physical trauma, slip and fall accidents, or surges in crowd flow at popular ingress and egress points. While we have a number of measures and controls in place aimed at managing such risks, we cannot guarantee that our insurance is adequate to cover all losses, which may result in us incurring additional costs or damages, and negatively impact our financial performance. Such incidents may also lead to reduced customer flow and reputational damage to our properties. See “— We are subject to risks relating to litigation, disputes and regulatory investigations and proceedings which may adversely affect our profitability, financial condition, reputation and prospects.”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Unfavorable fluctuations in the currency exchange rates of the H.K. dollar, U.S. dollar, the Pataca, the Philippine peso or the Euro and other risks related to foreign exchange and currencies, including restrictions on conversions and/or repatriation of foreign currencies, could adversely affect our indebtedness, expenses, profitability and financial condition. </w:t>
      </w:r>
    </w:p>
    <w:p>
      <w:pPr>
        <w:pStyle w:val="TextBody"/>
        <w:spacing w:before="120" w:after="0"/>
        <w:jc w:val="left"/>
        <w:rPr>
          <w:rFonts w:ascii="Times New Roman" w:hAnsi="Times New Roman"/>
          <w:sz w:val="20"/>
        </w:rPr>
      </w:pPr>
      <w:r>
        <w:rPr>
          <w:rFonts w:ascii="Times New Roman" w:hAnsi="Times New Roman"/>
          <w:sz w:val="20"/>
        </w:rPr>
        <w:t xml:space="preserve">Our exposure to foreign exchange rate risk is associated with the currency of our operations and our indebtedness and as a result of the presentation of our financial statements in U.S. dollars. The majority of our current revenues are denominated in H.K. dollars, given the H.K. dollar is the predominant currency used in gaming transactions in Macau and is often used interchangeably with the Pataca in Macau. Our current expenses are denominated predominantly in Patacas, H.K. dollars, the Philippine pesos and the Euro. In addition, we have revenues, assets, debt and expenses denominated in Philippine pesos and in Euros relating to our businesses in the Philippines and Cyprus, respectively. We also have subsidiaries, branch offices and assets in various countries and regions, including Singapore and Taiwan, which are subject to foreign exchange fluctuations and local regulations that may impose, among others, limitations, restrictions or approval requirements on conversions and/or repatriation of foreign currencies. In addition, a significant portion of our indebtedness, including the Melco Resorts Finance Notes and Studio City Notes, and certain expenses, are or will be denominated in U.S. dollars, and the costs associated with servicing and repaying such debt will be denominated in U.S. dollars. </w:t>
      </w:r>
    </w:p>
    <w:p>
      <w:pPr>
        <w:pStyle w:val="TextBody"/>
        <w:spacing w:before="240" w:after="0"/>
        <w:jc w:val="left"/>
        <w:rPr>
          <w:rFonts w:ascii="Times New Roman" w:hAnsi="Times New Roman"/>
          <w:sz w:val="20"/>
        </w:rPr>
      </w:pPr>
      <w:r>
        <w:rPr>
          <w:rFonts w:ascii="Times New Roman" w:hAnsi="Times New Roman"/>
          <w:sz w:val="20"/>
        </w:rPr>
        <w:t xml:space="preserve">The value of the H.K. dollar, the Pataca, the Philippine peso and the Euro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the Pataca, the Philippine peso or the Euro to the U.S. dollar may have a material adverse effect on our revenues and financial condition. For example, to the extent that we are required to convert U.S. dollar financings into H.K. dollars or Patacas for our operations, fluctuations in exchange rates between the H.K. dollar or Pataca against the U.S. dollar could have an adverse effect on the amounts we receive from the conversion. </w:t>
      </w:r>
    </w:p>
    <w:p>
      <w:pPr>
        <w:pStyle w:val="TextBody"/>
        <w:spacing w:before="240" w:after="0"/>
        <w:jc w:val="left"/>
        <w:rPr>
          <w:rFonts w:ascii="Times New Roman" w:hAnsi="Times New Roman"/>
          <w:sz w:val="20"/>
        </w:rPr>
      </w:pPr>
      <w:r>
        <w:rPr>
          <w:rFonts w:ascii="Times New Roman" w:hAnsi="Times New Roman"/>
          <w:sz w:val="20"/>
        </w:rPr>
        <w:t xml:space="preserve">While we maintain a certain amount of our operating funds in the same currencies in which we have obligations in order to reduce our exposure to currency fluctuations, we have not engaged in hedging transactions with respect to foreign exchange exposure of our revenues and expenses in our day-to-day operations during the years ended December 31, 2022 and 2021.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 </w:t>
      </w:r>
    </w:p>
    <w:p>
      <w:pPr>
        <w:pStyle w:val="TextBody"/>
        <w:spacing w:before="240" w:after="0"/>
        <w:jc w:val="left"/>
        <w:rPr>
          <w:rFonts w:ascii="Times New Roman" w:hAnsi="Times New Roman"/>
          <w:sz w:val="20"/>
        </w:rPr>
      </w:pPr>
      <w:r>
        <w:rPr>
          <w:rFonts w:ascii="Times New Roman" w:hAnsi="Times New Roman"/>
          <w:sz w:val="20"/>
        </w:rPr>
        <w:t xml:space="preserve">Furthermore, the PRC has tightened currency exchange controls and restrictions on the export and conversion of the Renminbi in recent years. Restrictions on the export of the Renminbi, as well as the increased effectiveness of such restrictions, may impede the flow of gaming patrons from the PRC to Macau, the Philippines or outside of Asia, inhibit the growth of gaming in those markets and negatively impact our gaming operations. </w:t>
      </w:r>
    </w:p>
    <w:p>
      <w:pPr>
        <w:pStyle w:val="TextBody"/>
        <w:spacing w:before="240" w:after="0"/>
        <w:jc w:val="left"/>
        <w:rPr>
          <w:rFonts w:ascii="Times New Roman" w:hAnsi="Times New Roman"/>
          <w:b/>
          <w:i/>
          <w:sz w:val="20"/>
        </w:rPr>
      </w:pPr>
      <w:r>
        <w:rPr>
          <w:rFonts w:ascii="Times New Roman" w:hAnsi="Times New Roman"/>
          <w:b/>
          <w:i/>
          <w:sz w:val="20"/>
        </w:rPr>
        <w:t xml:space="preserve">We may undertake mergers, acquisitions, strategic transactions, investments or divestments that are not realized or may result in operating difficulties, distractions from our current businesses or a material and adverse effect on our business and financial condition and subject us to regulatory and legal inquiries and proceedings or investigations. </w:t>
      </w:r>
    </w:p>
    <w:p>
      <w:pPr>
        <w:pStyle w:val="TextBody"/>
        <w:spacing w:before="120" w:after="0"/>
        <w:jc w:val="left"/>
        <w:rPr>
          <w:rFonts w:ascii="Times New Roman" w:hAnsi="Times New Roman"/>
          <w:sz w:val="20"/>
        </w:rPr>
      </w:pPr>
      <w:r>
        <w:rPr>
          <w:rFonts w:ascii="Times New Roman" w:hAnsi="Times New Roman"/>
          <w:sz w:val="20"/>
        </w:rPr>
        <w:t xml:space="preserve">We have made, and may in the future make, acquisitions, investments, divestments or strategic transactions in companies or projects to expand or complement our existing operations. From time to time, we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engage in discussions and negotiations with companies regarding acquisitions, investments, divestments or other strategic transactions, which may be material or significant, in such companies or projects. For example, the discussions and negotiations between us and Melco International led to our acquisition of 75% ownership interest in ICR Cyprus from Melco International, through which we expanded our operations to Cyprus. With this acquisition, our business expanded to the European region and includes the development of the City of Dreams Mediterranean, a new integrated casino resort project in Cyprus. Our expanded operations and developments in Cyprus require significant resources and investments and we may in the future make other acquisitions, investments or strategic transactions that require significant capital commitments and resources. </w:t>
      </w:r>
    </w:p>
    <w:p>
      <w:pPr>
        <w:pStyle w:val="TextBody"/>
        <w:spacing w:before="240" w:after="0"/>
        <w:jc w:val="left"/>
        <w:rPr>
          <w:rFonts w:ascii="Times New Roman" w:hAnsi="Times New Roman"/>
          <w:sz w:val="20"/>
        </w:rPr>
      </w:pPr>
      <w:r>
        <w:rPr>
          <w:rFonts w:ascii="Times New Roman" w:hAnsi="Times New Roman"/>
          <w:sz w:val="20"/>
        </w:rPr>
        <w:t xml:space="preserve">Should we pursue acquisitions in the PRC, we will be subject to a variety of PRC anti-monopoly laws. In recent years, additional regulations have been implemented which make merger and acquisition activities by foreign investors more time-consuming and complex. The Measures for the Security Review of Foreign Investments promulgated by National Development and Reform Commission, or the NDRC, and Ministry of Commerce, or MOFCOM, which became effective from January 2021, require that a security review by relevant governmental authorities must be conducted for foreign investments that affect or may affect national security in accordance with the provisions thereunder. In November 2021, the State Council inaugurated the National Anti-Monopoly Bureau, which aims to further implement fair competition policies and strengthen anti-monopoly supervision in the PRC, particularly to strengthen oversight and law enforcement in areas involving innovation, science and technology, information security and people’s livelihoods. Any failure or perceived failure by us to comply with the anti-monopoly laws and regulations may result in governmental investigations or enforcement actions, lawsuits or claims against us and could have an adverse effect on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Any integration process that would follow any of our acquisitions, investments or strategic transactions, including our acquisition of 75% equity interest in ICR Cyprus, may prove more difficult than anticipated. We may be subject to liabilities or claims that we are not aware of at the time of the investment or acquisition, and we may not realize the benefits anticipated at the time of the investment or acquisition. Any benefits anticipated at the time of the investment or acquisition may also not be realized, or may be impacted, due to factors beyond our control. For example, in February 2020, we announced our decision to not pursue the acquisition of an additional 9.99% ownership interest in Crown Resorts due to the impact of COVID-19 outbreaks, and in April 2020, we announced the sale of our 9.99% equity interest in Crown Resorts to a third party and ceased to be a shareholder of Crown Resorts following such sale. These difficulties could disrupt our ongoing business, distract our management and employees, increase our expenses and liabilities, result in losses, including in material amounts, and may adversely affect our businesses, financial condition and operating results. Even if we do identify suitable opportunities, we may not be able to make such acquisitions or investments on commercially acceptable terms or adequate financing may not be available on commercially acceptable terms, if at all, and we may not be able to consummate a proposed acquisition or investment. </w:t>
      </w:r>
    </w:p>
    <w:p>
      <w:pPr>
        <w:pStyle w:val="TextBody"/>
        <w:spacing w:before="240" w:after="0"/>
        <w:jc w:val="left"/>
        <w:rPr>
          <w:rFonts w:ascii="Times New Roman" w:hAnsi="Times New Roman"/>
          <w:sz w:val="20"/>
        </w:rPr>
      </w:pPr>
      <w:r>
        <w:rPr>
          <w:rFonts w:ascii="Times New Roman" w:hAnsi="Times New Roman"/>
          <w:sz w:val="20"/>
        </w:rPr>
        <w:t xml:space="preserve">We may also, from time to time, receive inquiries from regulatory and legal authorities and become subject to regulatory and legal proceedings or investigations in connection with our acquisitions, investments, divestments or strategic transactions in companies or projects, which may delay or materially impact the completion of such acquisitions, investments, divestments or strategic transactions. For example, in connection with the definitive purchase agreement we entered into with CPH Crown Holdings Pty Limited in May 2019 to acquire a total of an approximately 19.99% ownership interest in Crown Resorts for the total purchase price of AUD1,759.6 million (equivalent to approximately US$1,198.6 million) and pursuant to which we acquired an approximately 9.99% ownership interest in Crown Resorts on June 6, 2019 and were to acquire an additional 9.99% ownership interest in Crown Resorts by September 30, 2019, as a result of the relevant Australian regulatory process, we and CPH Crown Holdings Pty Limited agreed to defer our acquisition of the additional 9.99% ownership interest in Crown Resorts. Any such regulatory and legal proceedings or investigations may materially and adversely affect our business, operations, financial condition and prospects.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We face risks relating to any expansion of our operations and entry into new markets through mergers, acquisitions, strategic transactions or investments. </w:t>
      </w:r>
    </w:p>
    <w:p>
      <w:pPr>
        <w:pStyle w:val="TextBody"/>
        <w:spacing w:before="120" w:after="0"/>
        <w:jc w:val="left"/>
        <w:rPr>
          <w:rFonts w:ascii="Times New Roman" w:hAnsi="Times New Roman"/>
          <w:sz w:val="20"/>
        </w:rPr>
      </w:pPr>
      <w:r>
        <w:rPr>
          <w:rFonts w:ascii="Times New Roman" w:hAnsi="Times New Roman"/>
          <w:sz w:val="20"/>
        </w:rPr>
        <w:t xml:space="preserve">We have expanded our operations and entered into new markets in the past through acquisitions and strategic transactions. See also “— We may undertake mergers, acquisitions, strategic transactions, investments or divestments that are not realized or may result in operating difficulties, distractions from our current businesses or a material and adverse effect on our business and financial condition and subject us to regulatory and legal inquiries and proceedings or investigations.” </w:t>
      </w:r>
    </w:p>
    <w:p>
      <w:pPr>
        <w:pStyle w:val="TextBody"/>
        <w:spacing w:before="240" w:after="0"/>
        <w:jc w:val="left"/>
        <w:rPr>
          <w:rFonts w:ascii="Times New Roman" w:hAnsi="Times New Roman"/>
          <w:sz w:val="20"/>
        </w:rPr>
      </w:pPr>
      <w:r>
        <w:rPr>
          <w:rFonts w:ascii="Times New Roman" w:hAnsi="Times New Roman"/>
          <w:sz w:val="20"/>
        </w:rPr>
        <w:t xml:space="preserve">We may continue to evaluate and consider a wide array of potential strategic transactions as part of our overall business strategy. Any future expansion of our operations or our entry into new markets through mergers, acquisitions, strategic transactions or investments may subject us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additional costs for complying with local laws, rules, regulations and policies as well as other local practices and customs in new markets, including establishing business and regulatory compliance programs; </w:t>
            </w:r>
          </w:p>
        </w:tc>
      </w:tr>
    </w:tbl>
    <w:p>
      <w:pPr>
        <w:pStyle w:val="TextBody"/>
        <w:spacing w:before="0" w:after="0"/>
        <w:jc w:val="left"/>
        <w:rPr/>
      </w:pPr>
      <w:r>
        <w:rPr/>
        <w:t> </w:t>
      </w:r>
    </w:p>
    <w:tbl>
      <w:tblPr>
        <w:tblW w:w="5395" w:type="dxa"/>
        <w:jc w:val="left"/>
        <w:tblInd w:w="0" w:type="dxa"/>
        <w:tblCellMar>
          <w:top w:w="0" w:type="dxa"/>
          <w:left w:w="0" w:type="dxa"/>
          <w:bottom w:w="0" w:type="dxa"/>
          <w:right w:w="0" w:type="dxa"/>
        </w:tblCellMar>
      </w:tblPr>
      <w:tblGrid>
        <w:gridCol w:w="75"/>
        <w:gridCol w:w="110"/>
        <w:gridCol w:w="60"/>
        <w:gridCol w:w="5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currency exchange rate fluctuations or currency restructurings; </w:t>
            </w:r>
          </w:p>
        </w:tc>
      </w:tr>
    </w:tbl>
    <w:p>
      <w:pPr>
        <w:pStyle w:val="TextBody"/>
        <w:spacing w:before="0" w:after="0"/>
        <w:jc w:val="left"/>
        <w:rPr/>
      </w:pPr>
      <w:r>
        <w:rPr/>
        <w:t> </w:t>
      </w:r>
    </w:p>
    <w:tbl>
      <w:tblPr>
        <w:tblW w:w="4750" w:type="dxa"/>
        <w:jc w:val="left"/>
        <w:tblInd w:w="0" w:type="dxa"/>
        <w:tblCellMar>
          <w:top w:w="0" w:type="dxa"/>
          <w:left w:w="0" w:type="dxa"/>
          <w:bottom w:w="0" w:type="dxa"/>
          <w:right w:w="0" w:type="dxa"/>
        </w:tblCellMar>
      </w:tblPr>
      <w:tblGrid>
        <w:gridCol w:w="75"/>
        <w:gridCol w:w="110"/>
        <w:gridCol w:w="60"/>
        <w:gridCol w:w="45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limitations or penalties on the repatriation of earnings; </w:t>
            </w:r>
          </w:p>
        </w:tc>
      </w:tr>
    </w:tbl>
    <w:p>
      <w:pPr>
        <w:pStyle w:val="TextBody"/>
        <w:spacing w:before="0" w:after="0"/>
        <w:jc w:val="left"/>
        <w:rPr/>
      </w:pPr>
      <w:r>
        <w:rPr/>
        <w:t> </w:t>
      </w:r>
    </w:p>
    <w:tbl>
      <w:tblPr>
        <w:tblW w:w="4165" w:type="dxa"/>
        <w:jc w:val="left"/>
        <w:tblInd w:w="0" w:type="dxa"/>
        <w:tblCellMar>
          <w:top w:w="0" w:type="dxa"/>
          <w:left w:w="0" w:type="dxa"/>
          <w:bottom w:w="0" w:type="dxa"/>
          <w:right w:w="0" w:type="dxa"/>
        </w:tblCellMar>
      </w:tblPr>
      <w:tblGrid>
        <w:gridCol w:w="75"/>
        <w:gridCol w:w="110"/>
        <w:gridCol w:w="60"/>
        <w:gridCol w:w="39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unforeseen changes in regulatory requirements; </w:t>
            </w:r>
          </w:p>
        </w:tc>
      </w:tr>
    </w:tbl>
    <w:p>
      <w:pPr>
        <w:pStyle w:val="TextBody"/>
        <w:spacing w:before="0" w:after="0"/>
        <w:jc w:val="left"/>
        <w:rPr/>
      </w:pPr>
      <w:r>
        <w:rPr/>
        <w:t> </w:t>
      </w:r>
    </w:p>
    <w:tbl>
      <w:tblPr>
        <w:tblW w:w="7930" w:type="dxa"/>
        <w:jc w:val="left"/>
        <w:tblInd w:w="0" w:type="dxa"/>
        <w:tblCellMar>
          <w:top w:w="0" w:type="dxa"/>
          <w:left w:w="0" w:type="dxa"/>
          <w:bottom w:w="0" w:type="dxa"/>
          <w:right w:w="0" w:type="dxa"/>
        </w:tblCellMar>
      </w:tblPr>
      <w:tblGrid>
        <w:gridCol w:w="75"/>
        <w:gridCol w:w="110"/>
        <w:gridCol w:w="60"/>
        <w:gridCol w:w="7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uncertainties as to local laws and enforcement of contract and intellectual property rights;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government, economic and political policies and conditions, political or civil unrest, acts of terrorism or the threat of international boycotts. </w:t>
            </w:r>
          </w:p>
        </w:tc>
      </w:tr>
    </w:tbl>
    <w:p>
      <w:pPr>
        <w:pStyle w:val="TextBody"/>
        <w:spacing w:before="240" w:after="0"/>
        <w:jc w:val="left"/>
        <w:rPr>
          <w:rFonts w:ascii="Times New Roman" w:hAnsi="Times New Roman"/>
          <w:sz w:val="20"/>
        </w:rPr>
      </w:pPr>
      <w:r>
        <w:rPr>
          <w:rFonts w:ascii="Times New Roman" w:hAnsi="Times New Roman"/>
          <w:sz w:val="20"/>
        </w:rPr>
        <w:t xml:space="preserve">These factors and the impact of these factors on our business and operations are difficult to predict and may have material adverse effect on our business and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We are subject to risks relating to litigation, disputes and regulatory investigations and proceedings which may adversely affect our profitability, financial condition, reputation and prospects. </w:t>
      </w:r>
    </w:p>
    <w:p>
      <w:pPr>
        <w:pStyle w:val="TextBody"/>
        <w:spacing w:before="120" w:after="0"/>
        <w:jc w:val="left"/>
        <w:rPr>
          <w:rFonts w:ascii="Times New Roman" w:hAnsi="Times New Roman"/>
          <w:sz w:val="20"/>
        </w:rPr>
      </w:pPr>
      <w:r>
        <w:rPr>
          <w:rFonts w:ascii="Times New Roman" w:hAnsi="Times New Roman"/>
          <w:sz w:val="20"/>
        </w:rPr>
        <w:t xml:space="preserve">We are, and may in the future be, subject to legal actions, disputes and regulatory investigations in the ordinary course of our business. We are also subject to risks relating to legal, administrative and regulatory proceedings and investigations which we or our affiliates are or may be a party to from time to time, or which could develop in the future, as well as fines or other penalties which may be imposed on us in connection with any requisite permit, license or other approval for our business and operations. Any adverse outcome may cause material disruptions to our normal business operations. In addition, administrative and regulatory proceedings can be costly and time-consuming and may divert management attention and resources from our operations. We could incur significant defense costs and, in the event of an adverse outcome, be required to pay damages and interest to the prevailing party and, depending on the jurisdiction of the litigation, be held responsible for the costs of the prevailing party. Our reputation may also be adversely affected by our involvement or the involvement of our affiliates in litigation, administrative and regulatory proceedings. In addition, we and our affiliates operate or have interests in a number of jurisdictions in which regulatory and government authorities have wide discretion to take procedural actions in support of their investigations and regulatory proceedings, including seizures and freezing of assets and other properties that are perceived to be connected or related to such investigations or regulatory proceedings. Given such wide discretion, regulatory or government authorities may take procedural or other actions that may affect our assets and properties in connection with any investigation or legal, administrative or regulatory proceeding involving us, any of our affiliates, or third parties, which may materially affect our business, financial condition or results of operations. </w:t>
      </w:r>
    </w:p>
    <w:p>
      <w:pPr>
        <w:pStyle w:val="TextBody"/>
        <w:spacing w:before="240" w:after="0"/>
        <w:jc w:val="left"/>
        <w:rPr>
          <w:rFonts w:ascii="Times New Roman" w:hAnsi="Times New Roman"/>
          <w:sz w:val="20"/>
        </w:rPr>
      </w:pPr>
      <w:r>
        <w:rPr>
          <w:rFonts w:ascii="Times New Roman" w:hAnsi="Times New Roman"/>
          <w:sz w:val="20"/>
        </w:rPr>
        <w:t xml:space="preserve">In addition, claims and proceedings against us, including but not limited to any claims alleging that we received, misappropriated or misapplied funds, or violated any anti-corruption law or regulation, may result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business operations being subject to greater scrutiny from relevant regulatory authorities and requiring us to make further improvements to our existing systems and controls and business operations,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 </w:t>
      </w:r>
    </w:p>
    <w:p>
      <w:pPr>
        <w:pStyle w:val="TextBody"/>
        <w:spacing w:before="360" w:after="0"/>
        <w:jc w:val="left"/>
        <w:rPr>
          <w:rFonts w:ascii="Times New Roman" w:hAnsi="Times New Roman"/>
          <w:b/>
          <w:i/>
          <w:sz w:val="20"/>
        </w:rPr>
      </w:pPr>
      <w:r>
        <w:rPr>
          <w:rFonts w:ascii="Times New Roman" w:hAnsi="Times New Roman"/>
          <w:b/>
          <w:i/>
          <w:sz w:val="20"/>
        </w:rPr>
        <w:t xml:space="preserve">We extend credit to a portion of our customers, and we may not be able to collect gaming receivables from our credit customers. </w:t>
      </w:r>
    </w:p>
    <w:p>
      <w:pPr>
        <w:pStyle w:val="TextBody"/>
        <w:spacing w:before="120" w:after="0"/>
        <w:jc w:val="left"/>
        <w:rPr>
          <w:rFonts w:ascii="Times New Roman" w:hAnsi="Times New Roman"/>
          <w:sz w:val="20"/>
        </w:rPr>
      </w:pPr>
      <w:r>
        <w:rPr>
          <w:rFonts w:ascii="Times New Roman" w:hAnsi="Times New Roman"/>
          <w:sz w:val="20"/>
        </w:rPr>
        <w:t xml:space="preserve">We conduct, and expect to continue to conduct, our gaming activities at our casinos on a credit basis as well as a cash basis. Consistent with customary practice, we grant credit to certain premium direct players, and in markets where we engage gaming promoters and the grant of credit is permitted such as the Philippines, we grant credit to gaming promoters. We may also grant credit to gaming promoters in Macau. Gaming promoters bear the responsibility for issuing credit and subsequently collecting the credit they granted. We extend credit, often on an unsecured basis, to certain gaming promoters and VIP patrons whose level of play and financial resources warrant such an extension in our opinion. High-end patrons typically are extended more credit than patrons who wager lower amounts. Any slowdown in the economy could adversely impact our VIP patrons, which could in turn increase the risk that these clients may default on credit extended to them. In Cyprus, a new gaming market, we also grant credit to a small number of selected premium direct players. </w:t>
      </w:r>
    </w:p>
    <w:p>
      <w:pPr>
        <w:pStyle w:val="TextBody"/>
        <w:spacing w:before="240" w:after="0"/>
        <w:jc w:val="left"/>
        <w:rPr>
          <w:rFonts w:ascii="Times New Roman" w:hAnsi="Times New Roman"/>
          <w:sz w:val="20"/>
        </w:rPr>
      </w:pPr>
      <w:r>
        <w:rPr>
          <w:rFonts w:ascii="Times New Roman" w:hAnsi="Times New Roman"/>
          <w:sz w:val="20"/>
        </w:rPr>
        <w:t xml:space="preserve">We may not be able to collect all of our gaming receivables from, or fully realize the value of collateral posted by, our credit customers. We expect that we will be able to enforce our gaming receivables only in a limited number of jurisdictions including Macau, the Philippines, Cyprus and under certain circumstances, Hong Kong. As most of our customers in Macau are visitors from other jurisdictions, we may not have access to a forum in which we will be able to collect all of our gaming receivables because, among other reasons, courts in many jurisdictions, do not enforce gaming debts. Further, we may be unable to locate assets in other jurisdictions against which recovery of gaming debts can be sought. The collectability of receivables from our credit customers, and, in particular, our international credit customers, could be negatively affected by future business or economic trends or by significant events in the jurisdictions in which these customers reside, or in which their assets are located. As a result of COVID-19, we have increased our estimated allowance for credit losses. We may also have to determine whether aggressive enforcement actions against a customer will unduly alienate the customer and cause the customer to cease playing at our casinos. We could suffer a material adverse impact on our operating results if receivables from our credit customers are deemed uncollectible. In addition, in the event a credit customer suffers losses in connection with any gaming activities at our properties and receivables from such customer are uncollectible, Macau gaming taxes, Philippines license fees or Cyprus gaming taxes (as the case may be) will still be payable on the resulting gaming revenues, notwithstanding any receivables owed by such customer to us may be uncollectible. An estimated allowance for credit losses is maintained to reduce our receivables to their carrying amounts, which approximate fair values. </w:t>
      </w:r>
    </w:p>
    <w:p>
      <w:pPr>
        <w:pStyle w:val="TextBody"/>
        <w:spacing w:before="360" w:after="0"/>
        <w:jc w:val="left"/>
        <w:rPr>
          <w:rFonts w:ascii="Times New Roman" w:hAnsi="Times New Roman"/>
          <w:b/>
          <w:i/>
          <w:sz w:val="20"/>
        </w:rPr>
      </w:pPr>
      <w:r>
        <w:rPr>
          <w:rFonts w:ascii="Times New Roman" w:hAnsi="Times New Roman"/>
          <w:b/>
          <w:i/>
          <w:sz w:val="20"/>
        </w:rPr>
        <w:t xml:space="preserve">Our business and financial plans may be negatively impacted by any contraction in the availability of credit. </w:t>
      </w:r>
    </w:p>
    <w:p>
      <w:pPr>
        <w:pStyle w:val="TextBody"/>
        <w:spacing w:before="120" w:after="0"/>
        <w:jc w:val="left"/>
        <w:rPr>
          <w:rFonts w:ascii="Times New Roman" w:hAnsi="Times New Roman"/>
          <w:sz w:val="20"/>
        </w:rPr>
      </w:pPr>
      <w:r>
        <w:rPr>
          <w:rFonts w:ascii="Times New Roman" w:hAnsi="Times New Roman"/>
          <w:sz w:val="20"/>
        </w:rPr>
        <w:t xml:space="preserve">Our business and financing plans may be dependent upon the completion of future financings. Any severe contraction of liquidity in the global credit markets may make it difficult and costly to obtain new lines of credit or to refinance existing debt, and may place broad limitations on the availability of credit from credit sources as well as lengthen the recovery cycle of extended credit. Any deterioration in the credit environment may cause us to have difficulty in obtaining additional financing on acceptable terms, or at all, which could adversely affect our ability to complete current and future projects. Tightening of liquidity conditions in credit markets may also constrain revenue generation and growth and could have a material adverse effect on our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Rolling chip patrons and VIP gaming customers may cause significant volatility in our revenues and cash flows. </w:t>
      </w:r>
    </w:p>
    <w:p>
      <w:pPr>
        <w:pStyle w:val="TextBody"/>
        <w:spacing w:before="120" w:after="0"/>
        <w:jc w:val="left"/>
        <w:rPr>
          <w:rFonts w:ascii="Times New Roman" w:hAnsi="Times New Roman"/>
          <w:sz w:val="20"/>
        </w:rPr>
      </w:pPr>
      <w:r>
        <w:rPr>
          <w:rFonts w:ascii="Times New Roman" w:hAnsi="Times New Roman"/>
          <w:sz w:val="20"/>
        </w:rPr>
        <w:t xml:space="preserve">A portion of our casino revenues in Macau are generated from the rolling chip segment of the gaming market. Similarly, City of Dreams Manila also attracts foreign gaming visitors, particularly VIP players who typically place large individual wagers. The loss or a reduction in the play of the most significant of these rolling chip patrons or VIP gaming customers could have an adverse effect on our business. In addition, revenues and cash flows derived from high-end gaming of this type are typically more volatile than those from other forms of gaming primarily due to high bets and the resulting high winnings and losses. As a result, our business, results of operations and cash flows from operations may be more volatile from quarter to quarter than that of our competitors and consequently may require higher levels of cage cash in reserve to manage this volatility. </w:t>
      </w:r>
    </w:p>
    <w:p>
      <w:pPr>
        <w:pStyle w:val="TextBody"/>
        <w:spacing w:before="360" w:after="0"/>
        <w:jc w:val="left"/>
        <w:rPr>
          <w:rFonts w:ascii="Times New Roman" w:hAnsi="Times New Roman"/>
          <w:b/>
          <w:i/>
          <w:sz w:val="20"/>
        </w:rPr>
      </w:pPr>
      <w:r>
        <w:rPr>
          <w:rFonts w:ascii="Times New Roman" w:hAnsi="Times New Roman"/>
          <w:b/>
          <w:i/>
          <w:sz w:val="20"/>
        </w:rPr>
        <w:t xml:space="preserve">We depend upon gaming promoters for a portion of our gaming revenues in the Philippines and Cyprus and may depend on gaming promoters in Macau in the future. If we are unable to establish, maintain and increase the number of successful relationships with gaming promoters in the Philippines, Cyprus or Macau, the financial resources of our gaming promoters are insufficient 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 </w:t>
      </w:r>
    </w:p>
    <w:p>
      <w:pPr>
        <w:pStyle w:val="TextBody"/>
        <w:spacing w:before="120" w:after="0"/>
        <w:jc w:val="left"/>
        <w:rPr>
          <w:rFonts w:ascii="Times New Roman" w:hAnsi="Times New Roman"/>
          <w:sz w:val="20"/>
        </w:rPr>
      </w:pPr>
      <w:r>
        <w:rPr>
          <w:rFonts w:ascii="Times New Roman" w:hAnsi="Times New Roman"/>
          <w:sz w:val="20"/>
        </w:rPr>
        <w:t xml:space="preserve">Historically, VIP rolling chip patrons introduced to us by gaming promoters were responsible for a significant portion of our gaming revenues in Macau. However, significantly increased regulatory scrutiny of gaming promoters in Macau has resulted, and may continue to result, in restrictions on their activities and the cessation of business of many gaming promoters. In addition, changes to the legal and regulatory framework in the PRC has also affected gaming promoters in Macau. For example, amendments to the PRC’s criminal laws, which provide that anyone that organizes trips for Chinese citizens for the purpose of gambling outside of the PRC, including Macau, may be deemed to have conducted a criminal act, came into effect on March 1, 2021. Furthermore, in November 2021, the Court of Final Appeal in Macau issued a final unappealable decision holding that a gaming operator was jointly liable with a gaming promoter for the refund of funds deposited with such gaming promoter, and separately the Macau authorities have arrested executives from a gaming promoter for alleged illegal overseas gaming related activities. In January 2022, the Macau authorities also arrested an executive from another gaming promoter and certain related individuals and certain of these individuals were sentenced to jail terms in addition to the payment of monetary compensation to the Macau government in January 2023. In December 2021, we terminated our arrangements with all gaming promoters in Macau. On December 20, 2022, a new law came into effect that included provisions clarifying the extent of joint liability of concessionaires and gaming promoters pursuant to which the acceptance of funds or chips from others by a gaming promoter is only considered activity undertaken by the casino when such funds or chips were used to play or result from gaming winnings. The records kept by the concessionaire with respect to the chips or play are relevant for such determination. Under such new law, the taking of deposits of funds from others not for gaming purposes is considered a crime. We may in the future engage gaming promoters in Macau. In the event gaming promoters remain subject to such restrictions and regulatory scrutiny in Macau and we are unable to successfully attract VIP rolling chip patrons without such promoters or expand our mass market segment in Macau, our business, financial condition and results of operations could be affected materially and adversely. For a further discussion of restrictions on gaming promoters in Macau, see “— Adverse changes or developments in gaming laws or other regulations in Macau that affect our operations could be difficult to comply with or may significantly increase our costs, which could cause our projects to be unsuccessful.” </w:t>
      </w:r>
    </w:p>
    <w:p>
      <w:pPr>
        <w:pStyle w:val="TextBody"/>
        <w:spacing w:before="240" w:after="0"/>
        <w:jc w:val="left"/>
        <w:rPr>
          <w:rFonts w:ascii="Times New Roman" w:hAnsi="Times New Roman"/>
          <w:sz w:val="20"/>
        </w:rPr>
      </w:pPr>
      <w:r>
        <w:rPr>
          <w:rFonts w:ascii="Times New Roman" w:hAnsi="Times New Roman"/>
          <w:sz w:val="20"/>
        </w:rPr>
        <w:t xml:space="preserve">As of the end of 2022, we had arrangements with five gaming promoters in the Philippines. In the event we are unable or choose not to partner with additional gaming promoters in the Philippines or are unable to successfully operate our VIP rolling chip operations with reduced reliance on customers introduced by gaming promoters or expand our mass market segment in the Philippines, our business, financial condition and results of operations could be affected materially and adversely.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our operations in Cyprus, there are currently two licensed gaming promoters, although only one of them is currently active. </w:t>
      </w:r>
    </w:p>
    <w:p>
      <w:pPr>
        <w:pStyle w:val="TextBody"/>
        <w:spacing w:before="240" w:after="0"/>
        <w:jc w:val="left"/>
        <w:rPr>
          <w:rFonts w:ascii="Times New Roman" w:hAnsi="Times New Roman"/>
          <w:sz w:val="20"/>
        </w:rPr>
      </w:pPr>
      <w:r>
        <w:rPr>
          <w:rFonts w:ascii="Times New Roman" w:hAnsi="Times New Roman"/>
          <w:sz w:val="20"/>
        </w:rPr>
        <w:t xml:space="preserve">If we are unable to utilize, maintain, resume and/or develop relationships with gaming promoters and, in the case of Cyprus, if the number of licensed gaming promoters do not significantly increase in the future,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to gaming promoters, including extensions of credit, which may increase our overall credit exposure or, in the case of Macau and to some extent the Philippines, to find alternate ways of attracting such patrons which may not be as effective as gaming promoters or may increase our marketing expenses. </w:t>
      </w:r>
    </w:p>
    <w:p>
      <w:pPr>
        <w:pStyle w:val="TextBody"/>
        <w:spacing w:before="240" w:after="0"/>
        <w:jc w:val="left"/>
        <w:rPr>
          <w:rFonts w:ascii="Times New Roman" w:hAnsi="Times New Roman"/>
          <w:sz w:val="20"/>
        </w:rPr>
      </w:pPr>
      <w:r>
        <w:rPr>
          <w:rFonts w:ascii="Times New Roman" w:hAnsi="Times New Roman"/>
          <w:sz w:val="20"/>
        </w:rPr>
        <w:t xml:space="preserve">In addition, in markets where we use gaming promoters, such promoters may encounter difficulties in attracting patrons to come to our casinos. For example, gaming promoters may experience decreased liquidity, limiting their ability to grant credit to their patrons, resulting in decreased gaming volume in the affected casinos. Credit already extended by our gaming promoters may become increasingly difficult to collect. </w:t>
      </w:r>
    </w:p>
    <w:p>
      <w:pPr>
        <w:pStyle w:val="TextBody"/>
        <w:spacing w:before="360" w:after="0"/>
        <w:jc w:val="left"/>
        <w:rPr>
          <w:rFonts w:ascii="Times New Roman" w:hAnsi="Times New Roman"/>
          <w:b/>
          <w:i/>
          <w:sz w:val="20"/>
        </w:rPr>
      </w:pPr>
      <w:r>
        <w:rPr>
          <w:rFonts w:ascii="Times New Roman" w:hAnsi="Times New Roman"/>
          <w:b/>
          <w:i/>
          <w:sz w:val="20"/>
        </w:rPr>
        <w:t xml:space="preserve">We are impacted by the reputation and integrity of the parties with whom we engage in business activities, including gaming promoters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 relationships with, and possibly result in sanctions from, gaming regulators. </w:t>
      </w:r>
    </w:p>
    <w:p>
      <w:pPr>
        <w:pStyle w:val="TextBody"/>
        <w:spacing w:before="120" w:after="0"/>
        <w:jc w:val="left"/>
        <w:rPr>
          <w:rFonts w:ascii="Times New Roman" w:hAnsi="Times New Roman"/>
          <w:sz w:val="20"/>
        </w:rPr>
      </w:pPr>
      <w:r>
        <w:rPr>
          <w:rFonts w:ascii="Times New Roman" w:hAnsi="Times New Roman"/>
          <w:sz w:val="20"/>
        </w:rPr>
        <w:t xml:space="preserve">The reputation and integrity of the parties with whom we engage in business activities are important to our own reputation and our ability to continue to operate in compliance with the permits and licenses required for our businesses. These parties include, but are not limited to, those who are engaged in gaming-related activities, such as gaming promoters, developers and hotel, restaurant and night club operators with whom we have or may enter into services or other types of agreements. Under the Macau Gaming Operations Law and Gaming Activities Law, if we enter into new arrangements with gaming promoters in the future, Melco Resorts Macau has an obligation to supervise gaming promoters who operate at our Macau properties to ensure their compliance with applicable laws and regulations. In June 2022, PAGCOR published The Casino Guide for Fitness and Propriety Assessment for Junket Operators, under which all land-based casinos must assess the fitness and propriety nature of its junket or chip-washing operators, its associates/agents/promoters, and applicants for junket operations. To conduct any business activity in licensed casinos, all persons responsible for the operations of junkets and/or applicants for junket operations must demonstrate that they are a “fit and proper” person. </w:t>
      </w:r>
    </w:p>
    <w:p>
      <w:pPr>
        <w:pStyle w:val="TextBody"/>
        <w:spacing w:before="240" w:after="0"/>
        <w:jc w:val="left"/>
        <w:rPr>
          <w:rFonts w:ascii="Times New Roman" w:hAnsi="Times New Roman"/>
          <w:sz w:val="20"/>
        </w:rPr>
      </w:pPr>
      <w:r>
        <w:rPr>
          <w:rFonts w:ascii="Times New Roman" w:hAnsi="Times New Roman"/>
          <w:sz w:val="20"/>
        </w:rPr>
        <w:t xml:space="preserve">For parties we deal with in gaming-related activities, where relevant, the gaming regulators also undertake their own probity checks and will reach their own suitability findings in respect of the activities and parties with which we intend to associate.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In addition, if any of our gaming promoters violate applicable laws, the government may, at its discretion, take enforcement action against the gaming promoters and could also seek to impose liability on us for the conduct of the gaming promoters. Also, if a party associated with us falls below the gaming regulator’s suitability standard or if their probity is in doubt, this may be negatively perceived when assessed by the gaming regulators. As a result, we and our shareholders may suffer reputational harm, as well as impaired relationships with, and possibly sanctions or other measures or actions from, the relevant gaming regulators with authority over our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Any failure or alleged failure to comply with anti-corruption laws, including the U.S. Foreign Corrupt Practices Act (“FCPA”), could result in penalties, which could harm our reputation and have an adverse effect on our business, results of operations and financial condition. </w:t>
      </w:r>
    </w:p>
    <w:p>
      <w:pPr>
        <w:pStyle w:val="TextBody"/>
        <w:spacing w:before="120" w:after="0"/>
        <w:jc w:val="left"/>
        <w:rPr>
          <w:rFonts w:ascii="Times New Roman" w:hAnsi="Times New Roman"/>
          <w:sz w:val="20"/>
        </w:rPr>
      </w:pPr>
      <w:r>
        <w:rPr>
          <w:rFonts w:ascii="Times New Roman" w:hAnsi="Times New Roman"/>
          <w:sz w:val="20"/>
        </w:rPr>
        <w:t xml:space="preserve">We and our businesses in different jurisdictions are subject to a number of anti-corruption laws, including the U.S. Foreign Corrupt Practices Act, or FCPA. The FCPA prohibits companies and any individuals or entities acting on their behalf from offering or making improper payments or providing things of value to foreign officials for the purpose of obtaining or keeping business. The FCPA also requires companies to maintain accurate books and records and to devise and maintain a system of internal accounting controls. Breach of these anti-corruption laws carries severe criminal and civil sanctions as well as other penalties and reputational harm. There has been a general increase in FCPA enforcement activities in recent years by the SEC and the U.S. Department of Justice. Both the number of FCPA cases and sanctions imposed have risen significantly. </w:t>
      </w:r>
    </w:p>
    <w:p>
      <w:pPr>
        <w:pStyle w:val="TextBody"/>
        <w:spacing w:before="240" w:after="0"/>
        <w:jc w:val="left"/>
        <w:rPr>
          <w:rFonts w:ascii="Times New Roman" w:hAnsi="Times New Roman"/>
          <w:sz w:val="20"/>
        </w:rPr>
      </w:pPr>
      <w:r>
        <w:rPr>
          <w:rFonts w:ascii="Times New Roman" w:hAnsi="Times New Roman"/>
          <w:sz w:val="20"/>
        </w:rPr>
        <w:t xml:space="preserve">While we have adopted and implemented an anti-corruption compliance program covering both commercial bribery and public corruption which includes internal policies, procedures and training aimed to prevent and detect anti-corruption compliance issues and risks, and procedures to take remedial action when compliance issues are identified, there is no assurance that our employees, consultants, contractors and agents, and those of our affiliates, will adhere to the anti-corruption compliance programs, or that any action taken to comply with, or address compliance issues, will be considered adequate by the regulatory bodies with jurisdiction over us and our affiliates. Any violation of our compliance programs or applicable laws by us or our affiliates could subject us or our affiliates to investigations, prosecutions and other legal proceedings and actions which could result in civil penalties, administrative remedies and criminal sanctions, any of which may result in a material adverse effect on our reputation, cause us to lose customer relationships or gaming licenses, or lead to other adverse consequences on our business, prospects, financial condition and results of operations. As we are a U.S. listed company, certain U.S. laws and regulations apply to our operations and compliance with those laws and regulations increases our cost of doing business. We also deal in significant amounts of cash in our operations and are subject to various reporting and anti-money laundering regulations. Any violation of anti-money laundering laws or regulations by us could have a negative effect on our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A failure to establish and protect our intellectual property rights could have an adverse effect on our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We have registered or have the right to use the trademarks, including “Melco,” “Altira,” “Mocha Club,” “City of Dreams,” “Nüwa,” “The Countdown,” “Morpheus,” “The House of Dancing Water,” “City of Dreams Manila,” “Studio City,” “Melco Resorts Philippines,” “C2” and “Melco Resorts &amp; Entertainment” in Macau, the Philippines, Cyprus and/or other jurisdictions. We have also registered in Macau, the Philippines, Cyprus and other jurisdictions certain other trademarks and service marks used in connection with the operations of our hotel casino projects in Macau, City of Dreams Manila and Cyprus. We endeavor to establish and protect our intellectual property rights through trademarks, service marks, domain names, licenses and other contractual provisions. The brands we use in connection with our properties have gained recognition. Failure to possess, obtain or maintain adequate protection of our intellectual property rights could negatively impact our brands and could have a material adverse effect on our business, financial condition and results of operations. For example, third parties may misappropriate or infringe our intellectual property, which may include but not be limited to the use of our intellectual property by offshore gaming websites, including those that may attempt to defraud members of the public. While we may take legal or other appropriate actions against these unauthorized offshore websites, such as by reporting the sites to the appropriate governmental or regulatory authorities, such actions may not be effective or significant expenses could be incurred and such unauthorized activities may draw businesses away from our operations and/or tarnish our reputation, all of which may adversely affect our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The infringement or alleged infringement of intellectual property rights belonging to third parties could adversely affect our business. </w:t>
      </w:r>
    </w:p>
    <w:p>
      <w:pPr>
        <w:pStyle w:val="TextBody"/>
        <w:spacing w:before="120" w:after="0"/>
        <w:jc w:val="left"/>
        <w:rPr>
          <w:rFonts w:ascii="Times New Roman" w:hAnsi="Times New Roman"/>
          <w:sz w:val="20"/>
        </w:rPr>
      </w:pPr>
      <w:r>
        <w:rPr>
          <w:rFonts w:ascii="Times New Roman" w:hAnsi="Times New Roman"/>
          <w:sz w:val="20"/>
        </w:rPr>
        <w:t xml:space="preserve">We face the potential risk of claims that we have infringed upon the intellectual property rights of third parties, which could be expensive and time-consuming to defend. In addition, we may be required to cease using certain intellectual property rights or selling or providing certain products or services, pay significant damages or enter into costly royalty or licensing agreements in order to obtain the right to use a third party’s intellectual property rights (if available at all), any of which could have a negative impact on our business, financial condition and future prospects. Furthermore, if litigation were to result from such claims, our business could be interrupted. </w:t>
      </w:r>
    </w:p>
    <w:p>
      <w:pPr>
        <w:pStyle w:val="TextBody"/>
        <w:spacing w:before="360" w:after="0"/>
        <w:jc w:val="left"/>
        <w:rPr>
          <w:rFonts w:ascii="Times New Roman" w:hAnsi="Times New Roman"/>
          <w:b/>
          <w:i/>
          <w:sz w:val="20"/>
        </w:rPr>
      </w:pPr>
      <w:r>
        <w:rPr>
          <w:rFonts w:ascii="Times New Roman" w:hAnsi="Times New Roman"/>
          <w:b/>
          <w:i/>
          <w:sz w:val="20"/>
        </w:rPr>
        <w:t xml:space="preserve">We cannot assure you that anti-money laundering policies that we have implemented, and compliance with applicable anti-money laundering laws, will be effective to prevent our casino operations from being exploited for money laundering purposes. </w:t>
      </w:r>
    </w:p>
    <w:p>
      <w:pPr>
        <w:pStyle w:val="TextBody"/>
        <w:spacing w:before="120" w:after="0"/>
        <w:jc w:val="left"/>
        <w:rPr>
          <w:rFonts w:ascii="Times New Roman" w:hAnsi="Times New Roman"/>
          <w:sz w:val="20"/>
        </w:rPr>
      </w:pPr>
      <w:r>
        <w:rPr>
          <w:rFonts w:ascii="Times New Roman" w:hAnsi="Times New Roman"/>
          <w:sz w:val="20"/>
        </w:rPr>
        <w:t xml:space="preserve">The free ports, offshore financial services and free movement of capital have created an environment whereby casinos in Macau, the Philippines or Cyprus could be exploited for money laundering purposes. We also deal with significant amounts of cash in our regular casino operations in Macau, the Philippines and Cyprus. As our Macau, Philippine and Cyprus operations are subject to various reporting and anti-money laundering regulations and increased audits and inspections from regulators, we have implemented anti-money laundering policies to address those requirements. Philippine laws on anti-money laundering have been amended to include casinos as covered institutions and the Anti-Money Laundering Council and PAGCOR have also recently released corresponding regulations and guidelines on compliance. The Cyprus House of Representatives has also enacted the Prevention and Suppression of Money Laundering and Terrorist Financing Law 2007 to 2021(188(I)/2007) to transpose the European Union’s Fifth Anti-Money Laundering Directive 2018/843 into national law of Cyprus. The CGC also issued an updated anti-money laundering Direction in December 2021 which requires us to implement more compliance measures, primarily to meet additional obligations relating to our monitoring and control obligations and CGC reporting requirements. While we have adjusted our anti-money laundering policies for our Philippine and Cyprus operations to these new rules and regulations, their implementation or application, as well as any further changes to anti-money laundering laws and regulations in Macau, the Philippines and Cyprus may require us to adopt changes to our own anti-money laundering policies. </w:t>
      </w:r>
    </w:p>
    <w:p>
      <w:pPr>
        <w:pStyle w:val="TextBody"/>
        <w:spacing w:before="240" w:after="0"/>
        <w:jc w:val="left"/>
        <w:rPr>
          <w:rFonts w:ascii="Times New Roman" w:hAnsi="Times New Roman"/>
          <w:sz w:val="20"/>
        </w:rPr>
      </w:pPr>
      <w:r>
        <w:rPr>
          <w:rFonts w:ascii="Times New Roman" w:hAnsi="Times New Roman"/>
          <w:sz w:val="20"/>
        </w:rPr>
        <w:t xml:space="preserve">We cannot assure you that our contractors, agents or employees will continually adhere to any such current or future policies or these policies will be effective in preventing our casino operations from being exploited for money laundering purposes, including from jurisdictions outside of Macau, the Philippines or Cyprus.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despite the anti-money laundering measures we have adopted and undertaken, we would not be subject to any accusation or investigation related to any possible money laundering activities. In addition, we expect to be required by relevant regulatory authorities from Macau, the Philippines, Cyprus and other jurisdictions that regulate our business activities to attend meetings and interviews from time to time to discuss our operations as they relate to anti-money laundering laws and regulations during which regulatory authorities may make inquiries and take other actions such as compliance audits at their discretion. Any incident of money laundering, accusation of money laundering or regulatory investigations into possible money laundering activities involving us, our employees, our gaming promoters, our customers or others with whom we are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concession, of the Philippine License or the Cyprus License. For more information regarding anti-money laundering regulations in Macau, the Philippines and Cyprus, see “Item 4. Information on the Company — B. Business Overview — Regulations — Macau Regulations — Anti-Money Laundering and Terrorism Financing Regulations”, “Item 4. Information on the Company — B. Business Overview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Regulations — Philippines Regulations — Anti-Money Laundering Regulations in the Philippines.” and “Item 4. Information on the Company — B. Business Overview — Regulations — Cyprus Regulations — Anti-Money Laundering Law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Our information technology and other systems are subject to cybersecurity risks, including misappropriation of customer information, other breaches of information security or other cybercrimes, as well as regulatory and other risks. </w:t>
      </w:r>
    </w:p>
    <w:p>
      <w:pPr>
        <w:pStyle w:val="TextBody"/>
        <w:spacing w:before="120" w:after="0"/>
        <w:jc w:val="left"/>
        <w:rPr>
          <w:rFonts w:ascii="Times New Roman" w:hAnsi="Times New Roman"/>
          <w:sz w:val="20"/>
        </w:rPr>
      </w:pPr>
      <w:r>
        <w:rPr>
          <w:rFonts w:ascii="Times New Roman" w:hAnsi="Times New Roman"/>
          <w:sz w:val="20"/>
        </w:rPr>
        <w:t xml:space="preserve">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rapidly changing risks of compromised security and may therefore become outdated. Despite our preventive efforts, we are subject to the risks of compromised security, including cyber and physical security breaches, system failures, computer viruses, technical malfunctions, inadequate system capacities, power outages, natural disasters and inadvertent, negligent or intentional misuses, disclosure or dissemination of information or data by customers, company employees or employees of third-party vendors, ransomware attacks that encrypt, exfiltrate or otherwise render data unusable or unavailable or other forms of cybercrimes that include fraud or extortion. These risks can also be manifested in a variety of other ways, including through methods which may not yet be known to the cybersecurity community, and have become increasingly difficult to anticipate and prevent. </w:t>
      </w:r>
    </w:p>
    <w:p>
      <w:pPr>
        <w:pStyle w:val="TextBody"/>
        <w:spacing w:before="240" w:after="0"/>
        <w:jc w:val="left"/>
        <w:rPr>
          <w:rFonts w:ascii="Times New Roman" w:hAnsi="Times New Roman"/>
          <w:sz w:val="20"/>
        </w:rPr>
      </w:pPr>
      <w:r>
        <w:rPr>
          <w:rFonts w:ascii="Times New Roman" w:hAnsi="Times New Roman"/>
          <w:sz w:val="20"/>
        </w:rPr>
        <w:t xml:space="preserve">The steps we take to deter and mitigate these risks may not be successful or effective and our insurance coverage for protecting against cybersecurity risks may not be sufficient. Our third-party information system service providers face risks relating to cybersecurity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services and results of operations may be adversely affected and we may have to make significant investments to repair or replace them. Furthermore, any extended downtime from power supply disruptions or information technology system outages which may be caused by cybersecurity attacks or other reasons at our properties may lead to an adverse impact on our operating results if we are unable to deliver services to customers for an extended period of time. </w:t>
      </w:r>
    </w:p>
    <w:p>
      <w:pPr>
        <w:pStyle w:val="TextBody"/>
        <w:spacing w:before="240" w:after="0"/>
        <w:jc w:val="left"/>
        <w:rPr>
          <w:rFonts w:ascii="Times New Roman" w:hAnsi="Times New Roman"/>
          <w:sz w:val="20"/>
        </w:rPr>
      </w:pPr>
      <w:r>
        <w:rPr>
          <w:rFonts w:ascii="Times New Roman" w:hAnsi="Times New Roman"/>
          <w:sz w:val="20"/>
        </w:rPr>
        <w:t xml:space="preserve">Despite the security measures we currently have in place, our facilities and systems and those of our third-party service providers may be vulnerable to security breaches, acts of vandalism, phishing attacks, computer viruses, misplaced or lost data, programming or human errors, other cybercrimes and other events. Cyber-attacks are becoming increasingly more difficult to anticipate and prevent due to their rapidly evolving nature and, as a result, the technology we use to protect our systems could become outdated. The occurrence of any of the cyber incidents described above could cause reputational harm to us, expose us to legal proceedings and have a material adverse effect on our business, results of operations and cash flows. </w:t>
      </w:r>
    </w:p>
    <w:p>
      <w:pPr>
        <w:pStyle w:val="TextBody"/>
        <w:spacing w:before="240" w:after="0"/>
        <w:jc w:val="left"/>
        <w:rPr>
          <w:rFonts w:ascii="Times New Roman" w:hAnsi="Times New Roman"/>
          <w:sz w:val="20"/>
        </w:rPr>
      </w:pPr>
      <w:r>
        <w:rPr>
          <w:rFonts w:ascii="Times New Roman" w:hAnsi="Times New Roman"/>
          <w:sz w:val="20"/>
        </w:rPr>
        <w:t xml:space="preserve">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suppliers and employees, expose us to risks of litigation, significant fines and penalties and liability, result in the deterioration of our customers’, suppliers’ and employees’ confidence in us, and adversely affect our business, results of operations and financial condition. Any perceived or actual unauthorized disclosure of personally identifiable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information of our employees, customers, suppliers or website visitors could harm our reputation and credibility and reduce our ability to attract and retain employees, suppliers and customers. We are also subject to enactment of new laws, or amendments to existing laws with more stringent requirements, in relation to cybersecurity. For example, a new Cybersecurity Law was introduced in Macau in 2019 which also applies to our businesses in Macau. See “Item 4. Information on the Company — B. Business Overview — Regulations — Macau Regulations — Cybersecurity Regulations.” As any of the above cybersecurity threats develop and grow and our obligations under cybersecurity regulations increase,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personnel. </w:t>
      </w:r>
    </w:p>
    <w:p>
      <w:pPr>
        <w:pStyle w:val="TextBody"/>
        <w:spacing w:before="360" w:after="0"/>
        <w:jc w:val="left"/>
        <w:rPr>
          <w:rFonts w:ascii="Times New Roman" w:hAnsi="Times New Roman"/>
          <w:b/>
          <w:i/>
          <w:sz w:val="20"/>
        </w:rPr>
      </w:pPr>
      <w:r>
        <w:rPr>
          <w:rFonts w:ascii="Times New Roman" w:hAnsi="Times New Roman"/>
          <w:b/>
          <w:i/>
          <w:sz w:val="20"/>
        </w:rPr>
        <w:t xml:space="preserve">Failure to protect the integrity and security of company staff, supplier and customer information and comply with cybersecurity, data privacy, data protection or any other laws and regulations related to data may materially and adversely affect our business, financial condition and results of operations, and/or result in damage to reputation and/or subject us to fines, penalties, lawsuits, restrictions on our use or transfer of data and other risks. </w:t>
      </w:r>
    </w:p>
    <w:p>
      <w:pPr>
        <w:pStyle w:val="TextBody"/>
        <w:spacing w:before="120" w:after="0"/>
        <w:jc w:val="left"/>
        <w:rPr>
          <w:rFonts w:ascii="Times New Roman" w:hAnsi="Times New Roman"/>
          <w:sz w:val="20"/>
        </w:rPr>
      </w:pPr>
      <w:r>
        <w:rPr>
          <w:rFonts w:ascii="Times New Roman" w:hAnsi="Times New Roman"/>
          <w:sz w:val="20"/>
        </w:rPr>
        <w:t xml:space="preserve">Our businesses collect, use and transmit large volumes of data, including credit card numbers and personal data in various information systems relating to our customers, suppliers and staff, and such personal data may be collected and/or used in, and transmitted to or from, multiple jurisdictions. We may be subject to a variety of cybersecurity, data privacy, data protection and other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business activities and increase our compliance costs and efforts. Any breach or noncompliance may subject us to proceedings, damage our reputation, or result in penalties and other significant legal liabilities, and thus may materially and adversely affect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Our customers, suppliers and employees have a high expectation that we will adequately protect their personal information. Such collection, use and/or transmission of personal data is governed by privacy laws and regulations and such laws and regulations change often, vary significantly by jurisdiction and often are newly enacted. For example, the European Union (EU)’s General Data Protection Regulation (“GDPR”), which became effective in May 2018, requires companies to meet new and more stringent requirements regarding the handling of personal data. The GDPR may also capture data processing by non-EU firms with no EU establishment if, for example, they conduct direct marketing that specifically targets individuals in the EU. </w:t>
      </w:r>
    </w:p>
    <w:p>
      <w:pPr>
        <w:pStyle w:val="TextBody"/>
        <w:spacing w:before="240" w:after="0"/>
        <w:jc w:val="left"/>
        <w:rPr>
          <w:rFonts w:ascii="Times New Roman" w:hAnsi="Times New Roman"/>
          <w:sz w:val="20"/>
        </w:rPr>
      </w:pPr>
      <w:r>
        <w:rPr>
          <w:rFonts w:ascii="Times New Roman" w:hAnsi="Times New Roman"/>
          <w:sz w:val="20"/>
        </w:rPr>
        <w:t xml:space="preserve">In some jurisdictions, including the PRC where we have a wholly-owned subsidiary that hosts domain names of our PRC websites and other online platforms which promote our non-gaming amenities in the PRC, the cybersecurity, data privacy, data protection, or other data-related laws and regulations are relatively new and evolving, and their interpretation and application may be uncertain. For example, the Cybersecurity Administration of China, or CAC, issued the New Measures for Cybersecurity Review, or the New Measures, on January 4, 2022, which amended the Measures for Cybersecurity Review (Draft Revision for Comments) released on July 10, 2021 and came into effect on February 15, 2022. The New Measures extend the scope of cybersecurity review to network platform operators engaging in data processing activities that affect or may affect national security, including overseas listings. Specifically, the New Measures provide that if a network platform operator who possesses personal information of more than one million users plans to be listed in foreign countries, it must apply for cybersecurity review and, in any event, the CAC has the authority to initiate a cybersecurity review if it considers the data processing activities in connection with a proposed listing will or may affect national security. The New Measures do not specify the types of public listings that will be subject to cybersecurity review and do not give sufficient guidance on the specific types of data processing activities that may be subject to cybersecurity review. The PRC government authorities may have wide discretion in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interpretation and enforcement of the applicable laws. As such, we cannot predict the impact of the New Measures on us, if any, at this stage, and we will closely monitor and assess the developments in the rule-making process. If the practical application of the New Measures results in mandated clearance of cybersecurity reviews and other specific actions to be completed by companies operating in Macau like us, we face uncertainties as to whether such clearance can be timely obtained, or at all. As of the date of this annual report, we have not received any formal notice from any PRC cybersecurity regulator that we should apply for or otherwise be subject to a cybersecurity review, but we cannot be certain that such notifications will not occur in the future. </w:t>
      </w:r>
    </w:p>
    <w:p>
      <w:pPr>
        <w:pStyle w:val="TextBody"/>
        <w:spacing w:before="240" w:after="0"/>
        <w:jc w:val="left"/>
        <w:rPr>
          <w:rFonts w:ascii="Times New Roman" w:hAnsi="Times New Roman"/>
          <w:sz w:val="20"/>
        </w:rPr>
      </w:pPr>
      <w:r>
        <w:rPr>
          <w:rFonts w:ascii="Times New Roman" w:hAnsi="Times New Roman"/>
          <w:sz w:val="20"/>
        </w:rPr>
        <w:t xml:space="preserve">On November 14, 2021, the draft Regulations for the Administration of Cyber Data Security was published by the CAC for public comment, which provides that data processors conducting the following activities shall apply for cybersecurity review: (i) a merger, reorganization or division of online platform operators that have acquired a large number of data resources related to national security, economic development or public interests which affect or may affect national security; (ii) a listing abroad when the data processor processes over one million users’ personal information; (iii) a listing in Hong Kong which affects or may affect national security; or (iv) other data processing activities that affect or may affect national security. It also requires data processors processing important data or listed outside China to carry out a data security assessment annually by itself or through a third party data security service provider and submit an assessment report to the local agency of the CAC. As there are still uncertainties regarding the further enactment of new laws and regulations as well as the revision, interpretation and implementation of those existing laws and regulations, we cannot predict the impact of the Regulations for the Administration of Cyber Data Security on us, if any. </w:t>
      </w:r>
    </w:p>
    <w:p>
      <w:pPr>
        <w:pStyle w:val="TextBody"/>
        <w:spacing w:before="240" w:after="0"/>
        <w:jc w:val="left"/>
        <w:rPr>
          <w:rFonts w:ascii="Times New Roman" w:hAnsi="Times New Roman"/>
          <w:sz w:val="20"/>
        </w:rPr>
      </w:pPr>
      <w:r>
        <w:rPr>
          <w:rFonts w:ascii="Times New Roman" w:hAnsi="Times New Roman"/>
          <w:sz w:val="20"/>
        </w:rPr>
        <w:t xml:space="preserve">In addition, the PRC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systems for data security. Furthermore, the recently issued Opinions on Strictly Cracking Down Illegal Securities Activities requires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The PRC Personal Information Protection Law, which was promulgated by the Standing Committee of the National People’s Congress on August 20, 2021 and took effect on November 1, 2021, integrates the various rules with respect to personal information rights and privacy protection and applies to the processing of personal information within the PRC as well as certain personal information processing activities outside the PRC, including those for the provision of products and services to natural persons within the PRC or for the analysis and assessment of acts of natural persons within the PRC. Although we have not collected, stored or managed any personal information in the PRC, given that there remain uncertainties regarding the further interpretation and implementation of those laws and regulations, if they are deemed to be applicable to companies operating in Macau, like us,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Furthermore, we must also comply with other industry standards such as those for the credit card industry and other applicable data security standards. </w:t>
      </w:r>
    </w:p>
    <w:p>
      <w:pPr>
        <w:pStyle w:val="TextBody"/>
        <w:spacing w:before="240" w:after="0"/>
        <w:jc w:val="left"/>
        <w:rPr>
          <w:rFonts w:ascii="Times New Roman" w:hAnsi="Times New Roman"/>
          <w:sz w:val="20"/>
        </w:rPr>
      </w:pPr>
      <w:r>
        <w:rPr>
          <w:rFonts w:ascii="Times New Roman" w:hAnsi="Times New Roman"/>
          <w:sz w:val="20"/>
        </w:rPr>
        <w:t xml:space="preserve">Compliance with applicable privacy laws, regulations and standards may increase our operating costs and/or adversely impact our ability to market our products, properties and services to our customers and guests. For example, these laws, regulations and standards may restrict information sharing in ways that make it more difficult to obtain or share information concerning at risk individuals. In addition, non-compliance with applicable privacy laws, regulations and standards by us (or in some circumstances non-compliance by third parties engaged by us) may result in damage of reputation and/or subject us to fines, penalties, payment of damages, lawsuits, criminal liability or restrictions on our use or transfer of data. Failure to meet the GDPR requirements, for example, may result in penalties of up to four percent of worldwide revenue.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Negative press or publicity about us or our directors, officers or affiliates may lead to government investigations, result in harm to our business, brand or reputation and have a material and adverse effect on our business. </w:t>
      </w:r>
    </w:p>
    <w:p>
      <w:pPr>
        <w:pStyle w:val="TextBody"/>
        <w:spacing w:before="120" w:after="0"/>
        <w:jc w:val="left"/>
        <w:rPr>
          <w:rFonts w:ascii="Times New Roman" w:hAnsi="Times New Roman"/>
          <w:sz w:val="20"/>
        </w:rPr>
      </w:pPr>
      <w:r>
        <w:rPr>
          <w:rFonts w:ascii="Times New Roman" w:hAnsi="Times New Roman"/>
          <w:sz w:val="20"/>
        </w:rPr>
        <w:t xml:space="preserve">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financial condition, prospects and strategies.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with jurisdiction over our gaming operations in Macau, the Philippines and Cyprus to take action against us or our related licensees, including actions that could affect the ability or terms upon which our subsidiaries hold their gaming licenses and/or concession, our suitability to continue as a shareholder of those subsidiaries and/or the suitability of key personnel to remain with us. If any of these events were to occur, it could cause a material adverse effect on our business and prospects,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Our new branded products or new business lines may not be successful. </w:t>
      </w:r>
    </w:p>
    <w:p>
      <w:pPr>
        <w:pStyle w:val="TextBody"/>
        <w:spacing w:before="120" w:after="0"/>
        <w:jc w:val="left"/>
        <w:rPr>
          <w:rFonts w:ascii="Times New Roman" w:hAnsi="Times New Roman"/>
          <w:sz w:val="20"/>
        </w:rPr>
      </w:pPr>
      <w:r>
        <w:rPr>
          <w:rFonts w:ascii="Times New Roman" w:hAnsi="Times New Roman"/>
          <w:sz w:val="20"/>
        </w:rPr>
        <w:t xml:space="preserve">In 2018, we launched our new property at City of Dreams under the Morpheus brand. We have also launched the Nüwa brand in both Macau and the Philippines and the C2 brand in Cyprus and intend to rebrand The Countdown. We may continue introducing new brand names and brand identities in the future, such as City of Dreams Mediterranean in Cyprus, which may be time-consuming and expensive, or may not have the intended effect, any of which could have a material adverse effect on our business, results of operations and financial condition. We may also launch new products or enter into new business or service lines that are subject to different business or regulatory risks than our existing gaming business. These new initiatives may subject us to additional costs for complying with a new set of laws, rules, regulations and policies and/or requirements imposed by new governmental and regulatory bodies. Given our relative lack of experience in these new business ventures, there is also no assurance that they will be successful. Accordingly, the revenue streams from our new properties and casinos opening in the near future may not be stable or significant. </w:t>
      </w:r>
    </w:p>
    <w:p>
      <w:pPr>
        <w:pStyle w:val="TextBody"/>
        <w:spacing w:before="360" w:after="0"/>
        <w:jc w:val="left"/>
        <w:rPr>
          <w:rFonts w:ascii="Times New Roman" w:hAnsi="Times New Roman"/>
          <w:b/>
          <w:i/>
          <w:sz w:val="20"/>
        </w:rPr>
      </w:pPr>
      <w:r>
        <w:rPr>
          <w:rFonts w:ascii="Times New Roman" w:hAnsi="Times New Roman"/>
          <w:b/>
          <w:i/>
          <w:sz w:val="20"/>
        </w:rPr>
        <w:t xml:space="preserve">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 </w:t>
      </w:r>
    </w:p>
    <w:p>
      <w:pPr>
        <w:pStyle w:val="TextBody"/>
        <w:spacing w:before="120" w:after="0"/>
        <w:jc w:val="left"/>
        <w:rPr>
          <w:rFonts w:ascii="Times New Roman" w:hAnsi="Times New Roman"/>
          <w:sz w:val="20"/>
        </w:rPr>
      </w:pPr>
      <w:r>
        <w:rPr>
          <w:rFonts w:ascii="Times New Roman" w:hAnsi="Times New Roman"/>
          <w:sz w:val="20"/>
        </w:rPr>
        <w:t xml:space="preserve">The United Nations and a number of countries and jurisdictions, including the PRC, the United States and the EU, have adopted various economic or trade sanction regimes. In particular, economic and trade sanctions have been threatened and/or imposed by the U.S. government on a number of PRC-based technology companies, including ZTE Corporation, Huawei Technologies Co., Ltd., or Huawei, Tencent Holdings Limited, certain of their respective affiliates, and other PRC-based technology companies. These Chinese technology conglomerates manufacture and/or develop telecommunications and other equipment, software, mobile Apps and devices that are popular and widely used globally, including by us and by our customers, especially those in the PRC. The United States has also in certain circumstances imposed and threatened to impose further sanctions, trade embargoes, and other heightened regulatory requirements on the PRC and PRC-based companies. The U.S. government has brought enforcement actions against ZTE Corporation and Huawei and related persons, as well as companies who engaged in unauthorized transactions with Huawei. </w:t>
      </w:r>
    </w:p>
    <w:p>
      <w:pPr>
        <w:pStyle w:val="TextBody"/>
        <w:spacing w:before="240" w:after="0"/>
        <w:jc w:val="left"/>
        <w:rPr>
          <w:rFonts w:ascii="Times New Roman" w:hAnsi="Times New Roman"/>
          <w:sz w:val="20"/>
        </w:rPr>
      </w:pPr>
      <w:r>
        <w:rPr>
          <w:rFonts w:ascii="Times New Roman" w:hAnsi="Times New Roman"/>
          <w:sz w:val="20"/>
        </w:rPr>
        <w:t xml:space="preserve">These restrictions, and similar or more expansive restrictions that may be imposed by the U.S. or other jurisdictions in the future, though may not be directly applicable to us, may materially and adversely affect our suppliers, service providers, technology partners or other business partners’ abilities to acquire technologies, systems, devices or components that may be critical to our relationships or collaborations with them. In addition,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any of our suppliers, service providers, technology partners or other business partners that have collaborative relationships with us or our affiliates were to become subject to sanctions or other restrictions, this might restrict or negatively impact our ongoing relationships or collaborations with them, which could materially and adversely affect our competitiveness and business operations. Media reports on alleged uses of the technologies, systems or innovations developed by business partners or other parties not affiliated with or controlled by us, even on matters not involving us, could nevertheless damage our reputation and lead to regulatory investigations, fines and penalties against us. </w:t>
      </w:r>
    </w:p>
    <w:p>
      <w:pPr>
        <w:pStyle w:val="TextBody"/>
        <w:spacing w:before="240" w:after="0"/>
        <w:jc w:val="left"/>
        <w:rPr>
          <w:rFonts w:ascii="Times New Roman" w:hAnsi="Times New Roman"/>
          <w:sz w:val="20"/>
        </w:rPr>
      </w:pPr>
      <w:r>
        <w:rPr>
          <w:rFonts w:ascii="Times New Roman" w:hAnsi="Times New Roman"/>
          <w:sz w:val="20"/>
        </w:rPr>
        <w:t xml:space="preserve">In addition, the continuing military conflict between Russia and Ukraine has led to sanctions and export controls being imposed by the United States, the European Union, the United Kingdom and other countries targeting Russia, its financial systems and major financial institutions and certain Russian entities and persons. As these new and growing lists of sanctions and measures are extensive and changing, they could be difficult to comply with and could also significantly increase our business and compliance costs. Such sanctions and measures have had and may continue to have a negative impact on our business and our ability to accept certain customers, including for our business in Cyprus where historically a significant number of tourists have come from Russia. </w:t>
      </w:r>
    </w:p>
    <w:p>
      <w:pPr>
        <w:pStyle w:val="TextBody"/>
        <w:spacing w:before="360" w:after="0"/>
        <w:jc w:val="left"/>
        <w:rPr>
          <w:rFonts w:ascii="Times New Roman" w:hAnsi="Times New Roman"/>
          <w:b/>
          <w:i/>
          <w:sz w:val="20"/>
        </w:rPr>
      </w:pPr>
      <w:r>
        <w:rPr>
          <w:rFonts w:ascii="Times New Roman" w:hAnsi="Times New Roman"/>
          <w:b/>
          <w:i/>
          <w:sz w:val="20"/>
        </w:rPr>
        <w:t xml:space="preserve">Climate change, environmental, social and governance and sustainability related concerns could have a significant negative impact on our business and results of operations. </w:t>
      </w:r>
    </w:p>
    <w:p>
      <w:pPr>
        <w:pStyle w:val="TextBody"/>
        <w:spacing w:before="120" w:after="0"/>
        <w:jc w:val="left"/>
        <w:rPr>
          <w:rFonts w:ascii="Times New Roman" w:hAnsi="Times New Roman"/>
          <w:sz w:val="20"/>
        </w:rPr>
      </w:pPr>
      <w:r>
        <w:rPr>
          <w:rFonts w:ascii="Times New Roman" w:hAnsi="Times New Roman"/>
          <w:sz w:val="20"/>
        </w:rPr>
        <w:t xml:space="preserve">Governments, regulatory authorities, investors, customers, employees and other stakeholders are increasingly focusing on environmental, social and governance (“ESG”) and sustainability practices and disclosures, and expectations in this area are rapidly evolving and growing. There are also risks associated with the chronic and acute physical effects of climate change (including changes in sea levels, water shortages, droughts, typhoons and other extreme weather phenomena and natural disasters). Inability to maintain reliable energy supplies due to climate change disruptions may also impact our business continuity and an increase in frequency of extreme weather events could leave us vulnerable to increased insurance costs or limit or ability to obtain sufficient coverage. See “Item 3. Key Information — D. Risk Factors — Risks Relating to Our Business and Operations — Our business in Macau, the Philippines and Cyprus is subject to certain regional and global political, social and economic risks, as well as natural disasters, that may significantly affect visitations to our properties and have a material adverse effect on our results of operations” for a discussion of risks relating to natural disasters that could be exacerbated by climate change. </w:t>
      </w:r>
    </w:p>
    <w:p>
      <w:pPr>
        <w:pStyle w:val="TextBody"/>
        <w:spacing w:before="240" w:after="0"/>
        <w:jc w:val="left"/>
        <w:rPr>
          <w:rFonts w:ascii="Times New Roman" w:hAnsi="Times New Roman"/>
          <w:sz w:val="20"/>
        </w:rPr>
      </w:pPr>
      <w:r>
        <w:rPr>
          <w:rFonts w:ascii="Times New Roman" w:hAnsi="Times New Roman"/>
          <w:sz w:val="20"/>
        </w:rPr>
        <w:t xml:space="preserve">We are also subject to the changes in related laws and regulations and their compliance could be difficult and costly. The criteria by which our ESG and sustainability practices are assessed may also change due to the evolution of the sustainability landscape, which could result in greater expectations of us and cause us to undertake costly initiatives to satisfy such new criteria. We have potentially high exposure to net zero transition-related policies and carbon prices that could result in energy inflationary pressures. Implicit carbon costs could also affect us where investments are required to meet building efficiency requirements and emissions regulations that are introduced as part of net zero transition plans. In addition, we have exposure to potential commodity price increase pressures on energy intensive goods and construction materials procured as a result of net zero transition-related regulations. If we are unable to satisfy such new criteria, stakeholders may conclude our policies and/or actions with respect to ESG and sustainability matters are inadequate. In addition, we utilize a significant amount of energy and water and produce a substantial amount of waste in our operations and any failure in our efforts to use materials efficiently or reduce waste may not meet the expectations of our stakeholders and our own ESG objectives. Compliance with future climate-related legislation and regulation, and our efforts to achieve emissions reduction targets, could also be difficult and costly. Consumer travel and consumption preferences may also shift due to sustainability related concerns or costs. As a result of the foregoing, we may experience significant increased operating and compliance costs, operating disruptions or limitations, reduced demand, and constraints on our growth, all of which could adversely affect our profits.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Relating to Operating in the Gaming Industry in Macau </w:t>
      </w:r>
    </w:p>
    <w:p>
      <w:pPr>
        <w:pStyle w:val="TextBody"/>
        <w:spacing w:before="120" w:after="0"/>
        <w:jc w:val="left"/>
        <w:rPr>
          <w:rFonts w:ascii="Times New Roman" w:hAnsi="Times New Roman"/>
          <w:b/>
          <w:i/>
          <w:sz w:val="20"/>
        </w:rPr>
      </w:pPr>
      <w:r>
        <w:rPr>
          <w:rFonts w:ascii="Times New Roman" w:hAnsi="Times New Roman"/>
          <w:b/>
          <w:i/>
          <w:sz w:val="20"/>
        </w:rPr>
        <w:t xml:space="preserve">Our business and operations in Macau are dependent upon our concession and, if we fail to comply with the complex legal and regulatory regime in Macau, our concession may be subject to revocation. </w:t>
      </w:r>
    </w:p>
    <w:p>
      <w:pPr>
        <w:pStyle w:val="TextBody"/>
        <w:spacing w:before="120" w:after="0"/>
        <w:jc w:val="left"/>
        <w:rPr>
          <w:rFonts w:ascii="Times New Roman" w:hAnsi="Times New Roman"/>
          <w:sz w:val="20"/>
        </w:rPr>
      </w:pPr>
      <w:r>
        <w:rPr>
          <w:rFonts w:ascii="Times New Roman" w:hAnsi="Times New Roman"/>
          <w:sz w:val="20"/>
        </w:rPr>
        <w:t xml:space="preserve">Under the terms of the Concession Contract, we are obligated to comply with all laws, regulations, rulings and orders promulgated by the Macau government from time to time. In addition, we must comply with all terms of the Concession Contract which contains various general covenants and provisions, such as general and special duties of cooperation, special duties of information and obligations in relation to the execution of our investment plan, as to which the determination of compliance is subjective and depend, in part, on our ability to maintain continuing communications and good faith negotiations with the Macau government to ensure that we are performing our obligations and covenants under the concession and applicable laws and regulations in a manner that would avoid any violations. We cannot assure you that we will perform such obligations and covenants in a way that satisfies the requirements of the Macau government. </w:t>
      </w:r>
    </w:p>
    <w:p>
      <w:pPr>
        <w:pStyle w:val="TextBody"/>
        <w:spacing w:before="240" w:after="0"/>
        <w:jc w:val="left"/>
        <w:rPr>
          <w:rFonts w:ascii="Times New Roman" w:hAnsi="Times New Roman"/>
          <w:sz w:val="20"/>
        </w:rPr>
      </w:pPr>
      <w:r>
        <w:rPr>
          <w:rFonts w:ascii="Times New Roman" w:hAnsi="Times New Roman"/>
          <w:sz w:val="20"/>
        </w:rPr>
        <w:t xml:space="preserve">Melco Resorts Macau’s concession further provides that the Macau government is allowed to request various changes in our investment plan and impose business and corporate requirements that may be binding on us. Melco Resorts Macau must also first obtain the Macau government’s approval before raising certain financing and must notify the Macau government before taking certain financial decisions. As a result, we cannot assure you that we will be able to comply with these requirements or any other requirements of the Macau government or with the other requirements and obligations imposed by our concession, the gaming law or other related regulations. </w:t>
      </w:r>
    </w:p>
    <w:p>
      <w:pPr>
        <w:pStyle w:val="TextBody"/>
        <w:spacing w:before="240" w:after="0"/>
        <w:jc w:val="left"/>
        <w:rPr>
          <w:rFonts w:ascii="Times New Roman" w:hAnsi="Times New Roman"/>
          <w:sz w:val="20"/>
        </w:rPr>
      </w:pPr>
      <w:r>
        <w:rPr>
          <w:rFonts w:ascii="Times New Roman" w:hAnsi="Times New Roman"/>
          <w:sz w:val="20"/>
        </w:rPr>
        <w:t xml:space="preserve">The harshest penalty that may be imposed on us for failure to comply with the complex legal and regulatory regime in Macau and the terms of the Concession Contract is revocation of the concession. Under the concession, the Macau government has the right to unilaterally terminate the concession in the event of non-compliance by Melco Resorts Macau with its basic obligations under the concession and applicable Macau laws. If such a termination were to occur, any casino premises and gaming equipment at that time will revert or be transferred to the Macau government without compensation to us and we would be unable to operate casino gaming in Macau, which would have a material adverse effect on our financial condition, results of operations and cash flows and could result in defaults under our indebtedness agreements and a partial or complete loss of our investments in our projects. Termination events include, among others, endangerment to the national security of the PRC or Macau; the operation of gaming without permission or operation of a business which does not fall within the business scope of the concession; abandonment of approved business or suspension of operations of its gaming business in Macau without reasonable grounds; transfer of all or part of Melco Resorts Macau’s operation in Macau in violation of the relevant laws and administrative regulations governing the operation of games of fortune or chance and other casino games in Macau and without Macau government approval; failure to pay taxes, premiums, levies or other amounts payable to the Macau government; systematic non-compliance with the Macau Gaming Operations Law’s basic obligations; for reasons of public interest; and for failure to meet probity standards or failure to meet the investment amount and other criteria set in the Concession Contract within the period set by the Macau government. These events could lead to the termination of Melco Resorts Macau’s concession without compensation to Melco Resorts Macau. In many of these instances, the Concession Contract does not provide for a specific cure period within which any such events may be cured and the granting of any cure period, if at all, would be at the discretion of the Macau government. See “Item 4. Information on the Company — B. Business Overview — Regulations — Gaming Licenses — The Concession Contract in Macau.” </w:t>
      </w:r>
    </w:p>
    <w:p>
      <w:pPr>
        <w:pStyle w:val="TextBody"/>
        <w:spacing w:before="240" w:after="0"/>
        <w:jc w:val="left"/>
        <w:rPr>
          <w:rFonts w:ascii="Times New Roman" w:hAnsi="Times New Roman"/>
          <w:sz w:val="20"/>
        </w:rPr>
      </w:pPr>
      <w:r>
        <w:rPr>
          <w:rFonts w:ascii="Times New Roman" w:hAnsi="Times New Roman"/>
          <w:sz w:val="20"/>
        </w:rPr>
        <w:t xml:space="preserve">Currently, there is no precedent on how the Macau government will treat the termination of a concession and the laws and regulations relating to termination of a concession have not yet been applied by the Macau government. Accordingly, the scope and enforcement of the provisions of Macau’s gaming regulatory system cannot be fully assessed.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Studio City faces significant risks and uncertainties which may materially and adversely affect our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Studio City commenced operations in October 2015 and operates in a challenging competitive environment. For example, some of our competitors in Macau have expanded operations or have announced intentions for further expansion and developments in Cotai, where Studio City is located. See “— We face intense competition in Macau, the Philippines and elsewhere in Asia and Europe and may not be able to compete successfully.” Moreover, we face risks and uncertainties related to changes to the Chinese and Macau governments’ policies and regulations relating to gaming markets, including those affecting gaming table allocation and caps, smoking restrictions, exchange controls and repatriation of capital, measures to control inflation and monetary transfers and travel restrictions. </w:t>
      </w:r>
    </w:p>
    <w:p>
      <w:pPr>
        <w:pStyle w:val="TextBody"/>
        <w:spacing w:before="240" w:after="0"/>
        <w:jc w:val="left"/>
        <w:rPr>
          <w:rFonts w:ascii="Times New Roman" w:hAnsi="Times New Roman"/>
          <w:sz w:val="20"/>
        </w:rPr>
      </w:pPr>
      <w:r>
        <w:rPr>
          <w:rFonts w:ascii="Times New Roman" w:hAnsi="Times New Roman"/>
          <w:sz w:val="20"/>
        </w:rPr>
        <w:t xml:space="preserve">In addition, Studio City may find it challenging to comply with the terms imposed under its financing arrangements, especially during periods of challenging market conditions (including changes in the PRC’s economy). The 2028 Studio City Senior Secured Credit Facility and the indentures governing the Studio City Notes impose certain operating and financial restrictions, including limitations on the ability to pay dividends, incur additional debt, make investments, create liens on assets or issue preferred stock. If we are unable to comply with such restrictions, it could cause repayment of our debt to be accelerated. See “— 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 and “As of March 30, 2023, we are finalizing the licensing procedures for the Phase 2 project for Studio City under the terms of a land concession which currently requires us to fully develop the land on which Studio City is located by June 30, 2023. Any extension of the development period is subject to Macau government review and approval at its discretion. In the event of any failure to complete certain licensing procedures by June 30, 2023, we could be forced to forfeit all or part of our investment in Studio City, along with our interest in the land on which Studio City is located and the building and structures on such land.” </w:t>
      </w:r>
    </w:p>
    <w:p>
      <w:pPr>
        <w:pStyle w:val="TextBody"/>
        <w:spacing w:before="240" w:after="0"/>
        <w:jc w:val="left"/>
        <w:rPr>
          <w:rFonts w:ascii="Times New Roman" w:hAnsi="Times New Roman"/>
          <w:sz w:val="20"/>
        </w:rPr>
      </w:pPr>
      <w:r>
        <w:rPr>
          <w:rFonts w:ascii="Times New Roman" w:hAnsi="Times New Roman"/>
          <w:sz w:val="20"/>
        </w:rPr>
        <w:t xml:space="preserve">All of the foregoing trends, risks and uncertainties may have a material adverse impact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Our gaming operations in Macau could be adversely affected by restrictions on the export of the Renminbi and any unfavorable fluctuations in the currency exchange rates of the Renminbi. </w:t>
      </w:r>
    </w:p>
    <w:p>
      <w:pPr>
        <w:pStyle w:val="TextBody"/>
        <w:spacing w:before="120" w:after="0"/>
        <w:jc w:val="left"/>
        <w:rPr>
          <w:rFonts w:ascii="Times New Roman" w:hAnsi="Times New Roman"/>
          <w:sz w:val="20"/>
        </w:rPr>
      </w:pPr>
      <w:r>
        <w:rPr>
          <w:rFonts w:ascii="Times New Roman" w:hAnsi="Times New Roman"/>
          <w:sz w:val="20"/>
        </w:rPr>
        <w:t xml:space="preserve">Gaming operators in Macau are currently prohibited from accepting wagers in Renminbi, the currency of China. There are currently restrictions on the export of the Renminbi outside of the PRC, including to Macau. For example, a Chinese citizen traveling abroad is only allowed to take a total of RMB20,000 (equivalent to approximately US$2,889) plus the equivalent of up to US$5,000 out of China. The annual limit of RMB100,000 (equivalent to approximately US$14,443) is the aggregate amount that can be withdrawn overseas by any person from Chinese bank accounts and it was set by the Chinese government, with effect on January 1, 2018. In addition, the Chinese government’s ongoing anti-corruption campaign has led to tighter monetary transfer regulations, including real-time monitoring of certain financial channels, reducing the amount that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the PRC to Macau. Furthermore, a law also exists to control cross-border transportation of cash and other negotiable instruments to the bearer. In accordance with such law, all individuals entering Macau with an amount in cash or negotiable instrument to the bearer equal to or higher than the amount of MOP120,000 (equivalent to approximately US$14,918) as determined by the Chief Executive of Macau are required to declare such amount to the customs authorities. The adoption of digital currency by the Chinese government may also cause more restrictions on the export of the Renminbi out of the PRC, which may impede the flow of customers from the PRC to Macau, inhibit the growth of gaming in Macau and negatively impact our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the value of RMB against the U.S. dollar and other currencies may fluctuate and may be affected by, among other things, changes in political and economic conditions and the foreign exchange policies adopted by the PRC government. In 2022, the value of RMB depreciated approximately 8.6% against the U.S. dollar. It remains difficult to predict how market forces or PRC or U.S. government policy, including the ongoing trade disputes between the PRC and the U.S. governments may further exacerbate the devaluation of the RMB against the U.S. dollar and other currencies in the future. Given that we derive a significant majority of our revenues from our Macau gaming business and a significant number of our gaming customers come from, and are expected to continue to come from, the PRC, any further devaluation of the RMB against the U.S. dollar and other currencies may affect the visitation and level of spending of these gaming customers and could in turn have a material adverse effect on our revenues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Adverse changes or developments in gaming laws or other regulations in Macau that affect our operations could be difficult to comply with or may significantly increase our costs, which could cause our projects to be unsuccessful. </w:t>
      </w:r>
    </w:p>
    <w:p>
      <w:pPr>
        <w:pStyle w:val="TextBody"/>
        <w:spacing w:before="120" w:after="0"/>
        <w:jc w:val="left"/>
        <w:rPr>
          <w:rFonts w:ascii="Times New Roman" w:hAnsi="Times New Roman"/>
          <w:sz w:val="20"/>
        </w:rPr>
      </w:pPr>
      <w:r>
        <w:rPr>
          <w:rFonts w:ascii="Times New Roman" w:hAnsi="Times New Roman"/>
          <w:sz w:val="20"/>
        </w:rPr>
        <w:t xml:space="preserve">Our operations in Macau are also exposed to the risks of changes in laws and policies. Current laws in Macau, such as licensing requirements, tax rates, immigration and other regulatory obligations, including those for anti-money laundering, could change or become more stringent resulting in additional regulations being imposed upon gaming operations in Macau. See “— The gaming industries in Macau, the Philippines and Cyprus are highly regulated.” </w:t>
      </w:r>
    </w:p>
    <w:p>
      <w:pPr>
        <w:pStyle w:val="TextBody"/>
        <w:spacing w:before="240" w:after="0"/>
        <w:jc w:val="left"/>
        <w:rPr>
          <w:rFonts w:ascii="Times New Roman" w:hAnsi="Times New Roman"/>
          <w:sz w:val="20"/>
        </w:rPr>
      </w:pPr>
      <w:r>
        <w:rPr>
          <w:rFonts w:ascii="Times New Roman" w:hAnsi="Times New Roman"/>
          <w:sz w:val="20"/>
        </w:rPr>
        <w:t xml:space="preserve">On June 22, 2022, Law no. 7/2022, which amends Law no. 16/2001, or the Macau Gaming Operations Law, was published and on December 19, 2022, Law no. 16/2022, the new Gaming Activities Law, which replaces Administrative Regulation no. 6/2022, or the Gaming Promoter Regulation was published. These laws set additional requirements applicable to our operations. See “Item 4. Information on the Company — B. Business Overview — Regulations — Macau Regulations.” In addition, the Macau government imposed regulations and restrictions that affect the minimum age required for entrance into casinos in Macau, entry into casinos by off-duty gaming related employees, location requirements for sites with gaming machine lounges, data privacy and other matters. Any such legislation, regulation or restriction which is being or may in the future be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Macau Regulations.” </w:t>
      </w:r>
    </w:p>
    <w:p>
      <w:pPr>
        <w:pStyle w:val="TextBody"/>
        <w:spacing w:before="240" w:after="0"/>
        <w:jc w:val="left"/>
        <w:rPr>
          <w:rFonts w:ascii="Times New Roman" w:hAnsi="Times New Roman"/>
          <w:sz w:val="20"/>
        </w:rPr>
      </w:pPr>
      <w:r>
        <w:rPr>
          <w:rFonts w:ascii="Times New Roman" w:hAnsi="Times New Roman"/>
          <w:sz w:val="20"/>
        </w:rPr>
        <w:t xml:space="preserve">Also, smoking on the premises of casinos is only permitted in authorized segregated smoking lounges with no gaming activities, and such segregated smoking lounges are required to meet certain standards determined by the Macau government. Our properties currently have a number of segregated smoking lounges. We cannot assure you that the Macau government will not enact more stringent smoking control legislation. Such limitations imposed on smoking have and may deter potential gaming patrons who are smokers from visiting casinos in Macau, which could adversely affect our business, results of operations and financial condition. See “Item 4. Information on the Company — B. Business Overview — Regulations — Macau Regulations — Smoking Regulations.” </w:t>
      </w:r>
    </w:p>
    <w:p>
      <w:pPr>
        <w:pStyle w:val="TextBody"/>
        <w:spacing w:before="240" w:after="0"/>
        <w:jc w:val="left"/>
        <w:rPr>
          <w:rFonts w:ascii="Times New Roman" w:hAnsi="Times New Roman"/>
          <w:sz w:val="20"/>
        </w:rPr>
      </w:pPr>
      <w:r>
        <w:rPr>
          <w:rFonts w:ascii="Times New Roman" w:hAnsi="Times New Roman"/>
          <w:sz w:val="20"/>
        </w:rPr>
        <w:t xml:space="preserve">Current Macau laws and regulations concerning gaming and gaming concessions and matters such as prevention of money laundering are fairly recent or there is little precedent on the interpretation of these laws and regulations. These laws and regulations are complex and a court or an administrative or regulatory body may in the future render an interpretation of these laws and regulations or issue new or modified regulations that differ from our interpretation, which could have a material adverse effect on the operation of our properties and on our financial condition, results of operations, cash flows and prospects. </w:t>
      </w:r>
    </w:p>
    <w:p>
      <w:pPr>
        <w:pStyle w:val="TextBody"/>
        <w:spacing w:before="240" w:after="0"/>
        <w:jc w:val="left"/>
        <w:rPr>
          <w:rFonts w:ascii="Times New Roman" w:hAnsi="Times New Roman"/>
          <w:sz w:val="20"/>
        </w:rPr>
      </w:pPr>
      <w:r>
        <w:rPr>
          <w:rFonts w:ascii="Times New Roman" w:hAnsi="Times New Roman"/>
          <w:sz w:val="20"/>
        </w:rPr>
        <w:t xml:space="preserve">Our activities in Macau are subject to administrative review and approval by various departments of the Macau government. For example, our business activities are subject to the administrative review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approval by the DICJ, Macau health department, Macau labor bureau, Macau construction works bureau, Macau fire department, Macau finance department and Macau Government Tourism Office. We cannot assure you that we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 </w:t>
      </w:r>
    </w:p>
    <w:p>
      <w:pPr>
        <w:pStyle w:val="TextBody"/>
        <w:spacing w:before="360" w:after="0"/>
        <w:jc w:val="left"/>
        <w:rPr>
          <w:rFonts w:ascii="Times New Roman" w:hAnsi="Times New Roman"/>
          <w:b/>
          <w:i/>
          <w:sz w:val="20"/>
        </w:rPr>
      </w:pPr>
      <w:r>
        <w:rPr>
          <w:rFonts w:ascii="Times New Roman" w:hAnsi="Times New Roman"/>
          <w:b/>
          <w:i/>
          <w:sz w:val="20"/>
        </w:rPr>
        <w:t xml:space="preserve">The Macau government has established a maximum number of gaming tables and gaming machines that may be operated in Macau and has set a minimum average annual gross gaming revenue on gaming tables and gaming machines. </w:t>
      </w:r>
    </w:p>
    <w:p>
      <w:pPr>
        <w:pStyle w:val="TextBody"/>
        <w:spacing w:before="120" w:after="0"/>
        <w:jc w:val="left"/>
        <w:rPr>
          <w:rFonts w:ascii="Times New Roman" w:hAnsi="Times New Roman"/>
          <w:sz w:val="20"/>
        </w:rPr>
      </w:pPr>
      <w:r>
        <w:rPr>
          <w:rFonts w:ascii="Times New Roman" w:hAnsi="Times New Roman"/>
          <w:sz w:val="20"/>
        </w:rPr>
        <w:t xml:space="preserve">The Macau government has set a cap on gaming tables and gaming machines that may be operated in Macau at 6,000 gaming tables and 12,000 gaming machines. In addition, gaming tables and gaming machines previously allocated to a concessionaire may also be revoked if the minimum average annual gross gaming revenue of MOP7 million for gaming tables and MOP300,000 for gaming machines are not met for two consecutive years or the tables or gaming machines are not fully utilized without reason within a certain period. Current and future restrictions on gaming tables and gaming machines may have a material impact on our gaming revenues and overall business and operations. </w:t>
      </w:r>
    </w:p>
    <w:p>
      <w:pPr>
        <w:pStyle w:val="TextBody"/>
        <w:spacing w:before="360" w:after="0"/>
        <w:jc w:val="left"/>
        <w:rPr>
          <w:rFonts w:ascii="Times New Roman" w:hAnsi="Times New Roman"/>
          <w:b/>
          <w:i/>
          <w:sz w:val="20"/>
        </w:rPr>
      </w:pPr>
      <w:r>
        <w:rPr>
          <w:rFonts w:ascii="Times New Roman" w:hAnsi="Times New Roman"/>
          <w:b/>
          <w:i/>
          <w:sz w:val="20"/>
        </w:rPr>
        <w:t xml:space="preserve">Melco Resorts Macau’s tax exemption from Complementary tax on income from gaming operations under the subconcession tax expired on December 31, 2022, and we may not be able to extend it. </w:t>
      </w:r>
    </w:p>
    <w:p>
      <w:pPr>
        <w:pStyle w:val="TextBody"/>
        <w:spacing w:before="120" w:after="0"/>
        <w:jc w:val="left"/>
        <w:rPr>
          <w:rFonts w:ascii="Times New Roman" w:hAnsi="Times New Roman"/>
          <w:sz w:val="20"/>
        </w:rPr>
      </w:pPr>
      <w:r>
        <w:rPr>
          <w:rFonts w:ascii="Times New Roman" w:hAnsi="Times New Roman"/>
          <w:sz w:val="20"/>
        </w:rPr>
        <w:t xml:space="preserve">Companies in Macau are subject to Complementary tax of up to 12% of taxable income, as defined in relevant tax laws. We are also subject to a 35% special gaming tax on our gaming revenues as well as contributions of 2% and 3% of gross gaming revenue to a public fund, and to urban development, touristic promotion and social security, respectively. Such contributions may be waived or reduced with respect to gross gaming revenue generated by foreign patrons under certain circumstances. The Macau government granted to Melco Resorts Macau the benefit of a corporate tax holiday on gaming profits in Macau until 2021, which was extended until December 31, 2022 by dispatch of the Chief Executive. We have applied for an extension of the corporate tax holiday of Melco Resorts Macau for the period from January 1, 2023 to December 31, 2027 and such application is pending approval by the Macau government. In addition, the Macau government has granted to one of our subsidiaries in Macau the Complementary tax exemption until 2021 on profits generated from income received from Melco Resorts Macau, to the extent that such income is derived from Studio City gaming operations and has been subject to gaming tax. The dividend distributions of such subsidiary to its shareholders continue to be subject to Complementary tax. We have applied for an extension of such Complementary tax exemption for the period from January 1, 2022 to December 31, 2022 and further for the period from January 1, 2023 to December 31, 2027 and such application is pending approval by the Macau government. We cannot assure you that the corporate tax holiday benefits will be extended beyond their expiration dates. </w:t>
      </w:r>
    </w:p>
    <w:p>
      <w:pPr>
        <w:pStyle w:val="TextBody"/>
        <w:spacing w:before="240" w:after="0"/>
        <w:jc w:val="left"/>
        <w:rPr>
          <w:rFonts w:ascii="Times New Roman" w:hAnsi="Times New Roman"/>
          <w:sz w:val="20"/>
        </w:rPr>
      </w:pPr>
      <w:r>
        <w:rPr>
          <w:rFonts w:ascii="Times New Roman" w:hAnsi="Times New Roman"/>
          <w:sz w:val="20"/>
        </w:rPr>
        <w:t xml:space="preserve">During the five-year period from 2017 through 2021, an annual payment of MOP18.9 million (equivalent to approximately US$2.3 million) was payable by Melco Resorts Macau with respect to tax due for dividend distributions to the shareholders of Melco Resorts Macau from gaming profits, whether such dividends are actually distributed by Melco Resorts Macau or not, or whether Melco Resorts Macau has distributable profits in the relevant year. For the period from January 1, 2022 to June 26, 2022, a payment of MOP4 million (equivalent to approximately US$0.5 million) was paid by Melco Resorts Macau. In March 2023, Melco Resorts Macau received an extension of the agreement with the Macau government for an amount of MOP4.2 million (equivalent to approximately US$0.5 million) as payment for the period from June 27, 2022 to December 31, 2022. Upon the payment of such amount, the shareholders of Melco Resorts Macau will not be liable to pay any other tax in Macau for dividend distributions received from gaming profits. We have applied for an extension of such arrangement for the period from January 1, 2023 to December 31, 2027 at an amount to be set by the Macau government but we cannot assure you that the same arrangement will be applied during such period or beyond or that, in the event a similar arrangement is adopted, whether we will be required to pay a higher annual sum.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Risks Relating to Operating in the Gaming Industry in the Philippines </w:t>
      </w:r>
    </w:p>
    <w:p>
      <w:pPr>
        <w:pStyle w:val="TextBody"/>
        <w:spacing w:before="120" w:after="0"/>
        <w:jc w:val="left"/>
        <w:rPr>
          <w:rFonts w:ascii="Times New Roman" w:hAnsi="Times New Roman"/>
          <w:b/>
          <w:i/>
          <w:sz w:val="20"/>
        </w:rPr>
      </w:pPr>
      <w:r>
        <w:rPr>
          <w:rFonts w:ascii="Times New Roman" w:hAnsi="Times New Roman"/>
          <w:b/>
          <w:i/>
          <w:sz w:val="20"/>
        </w:rPr>
        <w:t xml:space="preserve">The land and buildings comprising the site occupied by City of Dreams Manila is leased by Melco Resorts Leisure and thus subject to risks associated with tenancy relationships. </w:t>
      </w:r>
    </w:p>
    <w:p>
      <w:pPr>
        <w:pStyle w:val="TextBody"/>
        <w:spacing w:before="120" w:after="0"/>
        <w:jc w:val="left"/>
        <w:rPr>
          <w:rFonts w:ascii="Times New Roman" w:hAnsi="Times New Roman"/>
          <w:sz w:val="20"/>
        </w:rPr>
      </w:pPr>
      <w:r>
        <w:rPr>
          <w:rFonts w:ascii="Times New Roman" w:hAnsi="Times New Roman"/>
          <w:sz w:val="20"/>
        </w:rPr>
        <w:t xml:space="preserve">Melco Resorts Leisure entered into a lease agreement on October 25, 2012, which became effective on March 13, 2013 (as amended or supplemented, the “Lease Agreement”), pursuant to which it leases from Belle Corporation the land and buildings occupied by City of Dreams Manila, which, in turn, leases part of the land from the Philippine government’s social security system (the “Social Security System”). Numerous potential issues or causes for disputes may arise from a tenancy relationship, such as with respect to the provision of utilities on the premises, rental lease payments, or any adjustments thereto, and the maintenance and normal repair of the buildings, any of which could result in an arbitrable dispute between Belle Corporation and Melco Resorts Leisure. There can be no assurance that any such dispute would be resolved or settled amicably or expediently or that Melco Resorts Leisure will not encounter any material issues with respect to its tenancy relationship with Belle Corporation. In August 2022 and October 2022, we entered into amendment agreements to the Lease Agreement with Belle Corporation, under which the parties revised the rent payable (i) for the year ended December 31, 2022; and (ii) for the year ended December 31, 2022 through the year ending December 31, 2033, respectively, subject to adjustments based on the annual headline inflation and bonus rent pursuant to the terms thereof. There can be no assurance that any material issue arising out of the tenancy relationship can always be resolved swiftly and on terms acceptable to us. Furthermore, if any dispute arises, Belle Corporation, as lessor, could discontinue essential services necessary for the operation of City of Dreams Manila, or seek relief to oust Melco Resorts Leisure from possession of the leased premises. Any prolonged or substantial dispute between Belle Corporation and Melco Resorts Leisure, or any dispute arising under the lease agreement between Belle Corporation and the Social Security System, could have a material adverse effect on the operations of City of Dreams Manila, which could in turn adversely affect our business, financial condition and results of operations. In addition, any negative publicity arising from disputes with, or non-compliance by, Belle Corporation with the Lease Agreement could have a material adverse effect on our business and prospects,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Furthermore, the Lease Agreement may be terminated under certain circumstances, including Melco Resorts Leisure’s non-payment of rent, or if either party fails to substantially perform any material covenants under the Lease Agreement and fails to remedy such non-performance in a timely manner, which could cause a material adverse effect on our business and prospects, financial condition, results of operations and cash flows. </w:t>
      </w:r>
    </w:p>
    <w:p>
      <w:pPr>
        <w:pStyle w:val="TextBody"/>
        <w:spacing w:before="360" w:after="0"/>
        <w:jc w:val="left"/>
        <w:rPr>
          <w:rFonts w:ascii="Times New Roman" w:hAnsi="Times New Roman"/>
          <w:b/>
          <w:i/>
          <w:sz w:val="20"/>
        </w:rPr>
      </w:pPr>
      <w:r>
        <w:rPr>
          <w:rFonts w:ascii="Times New Roman" w:hAnsi="Times New Roman"/>
          <w:b/>
          <w:i/>
          <w:sz w:val="20"/>
        </w:rPr>
        <w:t xml:space="preserve">If the termination of certain agreements which Belle Corporation previously entered into with another casino operator and other third parties is not effective, such operator and third parties may seek to enforce these agreements against Belle Corporation or MRP as a co-licensee of Belle Corporation, which could adversely impact City of Dreams Manila and MRP. </w:t>
      </w:r>
    </w:p>
    <w:p>
      <w:pPr>
        <w:pStyle w:val="TextBody"/>
        <w:spacing w:before="120" w:after="0"/>
        <w:jc w:val="left"/>
        <w:rPr>
          <w:rFonts w:ascii="Times New Roman" w:hAnsi="Times New Roman"/>
          <w:sz w:val="20"/>
        </w:rPr>
      </w:pPr>
      <w:r>
        <w:rPr>
          <w:rFonts w:ascii="Times New Roman" w:hAnsi="Times New Roman"/>
          <w:sz w:val="20"/>
        </w:rPr>
        <w:t xml:space="preserve">Melco Resorts Leisure is designated as the sole operator under the provisional gaming license issued by PAGCOR on December 12, 2008 for the development of an integrated tourism resort and to establish and operate a casino within Entertainment City in Manila, the Philippines, under which the Melco Philippine Parties and the Philippine Parties are co-licensees pursuant to the Amended Certificate of Affiliation and Provisional License dated January 28, 2013 (the “Provisional License”). Prior to this, Belle Corporation and the other Philippine Parties elected to terminate such contracts and the operator with whom Belle Corporation previously contracted, on behalf of itself and such third-party contractors, signed a waiver releasing the Philippine Parties from all obligations thereunder. Although Belle Corporation agreed to indemnify the Melco Philippine Parties from any loss suffered in connection with the termination of such contracts, there can be no assurance that Belle Corporation will honor such agreement. Any issues which may arise from such contracts and their counterparties, or any attempt by another operator or any other third party contractor to enforce provisions under such contracts, could interfere with MRP’s operations or cause reputational damage, which could materially and adversely affect our business,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Compliance with the terms of the Philippine License, MRP’s ability to operate City of Dreams Manila and the success of City of Dreams Manila as a whole are dependent on the actions of the other Philippine Licensees over which MRP has no control. </w:t>
      </w:r>
    </w:p>
    <w:p>
      <w:pPr>
        <w:pStyle w:val="TextBody"/>
        <w:spacing w:before="120" w:after="0"/>
        <w:jc w:val="left"/>
        <w:rPr>
          <w:rFonts w:ascii="Times New Roman" w:hAnsi="Times New Roman"/>
          <w:sz w:val="20"/>
        </w:rPr>
      </w:pPr>
      <w:r>
        <w:rPr>
          <w:rFonts w:ascii="Times New Roman" w:hAnsi="Times New Roman"/>
          <w:sz w:val="20"/>
        </w:rPr>
        <w:t xml:space="preserve">Although Melco Resorts Leisure is the sole operator of City of Dreams Manila, the ability of the Melco Philippine Parties to operate City of Dreams Manila, as well as the fulfillment of the terms of the Philippine License granted by PAGCOR in relation to City of Dreams Manila, depends to a certain degree on the actions of the Philippine Parties. For example, the Philippine Parties, as well as the Melco Philippine Parties, are responsible for meeting a certain debt to equity ratio as specified in the Philippine License. The failure of any of the Philippine Parties to comply with these conditions would constitute a breach of the Philippine License. As the Philippine Parties are separate corporate entities over which MRP has no control, there can be no assurance that the Philippine Parties will remain in compliance with the terms of the Philippine License of their obligations and responsibilities under cooperation agreement (as amended) entered into between the Philippine Parties and the Melco Philippine Parties on October 25, 2012, which became effective on March 13, 2013. In the event of any non-compliance, there can be no assurance that the Philippine License will not be suspended or revoked. In addition, if any of the Philippine Parties fails to comply with any of the conditions to the Philippine License, MRP may be forced to take action against the Philippine Parties under the cooperation agreement between the Philippine Parties and the Melco Philippine Parties or to enter into negotiations with PAGCOR for amendments to the Philippine License. There can be no assurance that any attempt to amend the Philippine License would be successful. Any of the foregoing could materially and adversely affect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Furthermore, under the cooperation agreement between the Philippine Parties and the Melco Philippine Parties, the Philippine Parties are required to contribute the land and building structures for City of Dreams Manila. There can be no assurance that the title to the land and building structures for City of Dreams Manila will not be challenged by third parties or the Philippine government in the future. Any such event, each of which is beyond MRP’s control, may curtail the ability of MRP to operate City of Dreams Manila in an efficient manner or at all and could have a material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Melco Resorts Leisure’s right to operate City of Dreams Manila is subject to certain limitations. </w:t>
      </w:r>
    </w:p>
    <w:p>
      <w:pPr>
        <w:pStyle w:val="TextBody"/>
        <w:spacing w:before="120" w:after="0"/>
        <w:jc w:val="left"/>
        <w:rPr>
          <w:rFonts w:ascii="Times New Roman" w:hAnsi="Times New Roman"/>
          <w:sz w:val="20"/>
        </w:rPr>
      </w:pPr>
      <w:r>
        <w:rPr>
          <w:rFonts w:ascii="Times New Roman" w:hAnsi="Times New Roman"/>
          <w:sz w:val="20"/>
        </w:rPr>
        <w:t xml:space="preserve">Melco Resorts Leisure’s right to operate City of Dreams Manila is subject to certain limitations under the operating agreement for the management and operation of City of Dreams Manila, entered into among Melco Resorts Leisure and the Philippine Parties. For example, Melco Resorts Leisure is prohibited from entering into any contract for City of Dreams Manila outside the ordinary course of the operation and management of City of Dreams Manila with an aggregate contract value exceeding US$3.0 million (such contract value to be increased by 5.0% each year on each anniversary date of the operating agreement, with the threshold at approximately US$4.7 million for the year ended December 31, 2022) without the consent of the other Philippine Licensees. In addition, Melco Resorts Leisure is required to remit specified percentages of the mass market and VIP gaming earnings before interest, tax, depreciation and amortization and other defined adjustments or net revenues derived from City of Dreams Manila to PremiumLeisure and Amusement Inc. </w:t>
      </w:r>
    </w:p>
    <w:p>
      <w:pPr>
        <w:pStyle w:val="TextBody"/>
        <w:spacing w:before="240" w:after="0"/>
        <w:jc w:val="left"/>
        <w:rPr>
          <w:rFonts w:ascii="Times New Roman" w:hAnsi="Times New Roman"/>
          <w:sz w:val="20"/>
        </w:rPr>
      </w:pPr>
      <w:r>
        <w:rPr>
          <w:rFonts w:ascii="Times New Roman" w:hAnsi="Times New Roman"/>
          <w:sz w:val="20"/>
        </w:rPr>
        <w:t xml:space="preserve">If Melco Resorts Leisure is unable to comply with any of the provisions of the operating agreement, the other parties to the operating agreement may bring lawsuits and seek to suspend or replace Melco Resorts Leisure as the sole operator of City of Dreams Manila, or terminate the operating agreement. Moreover, the Philippine Parties may terminate the operating agreement if Melco Resorts Leisure materially breaches the operating agreement. Termination of the operating agreement, whether resulting from Melco Resorts Leisure’s or the Philippine Parties’ non-compliance with the operating agreement, could cause a material adverse effect on our business and prospects, financial condition, results of operations and cash flows.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Melco Resorts Leisure may be forced to suspend VIP gaming operations at City of Dreams Manila under certain circumstances. </w:t>
      </w:r>
    </w:p>
    <w:p>
      <w:pPr>
        <w:pStyle w:val="TextBody"/>
        <w:spacing w:before="120" w:after="0"/>
        <w:jc w:val="left"/>
        <w:rPr>
          <w:rFonts w:ascii="Times New Roman" w:hAnsi="Times New Roman"/>
          <w:sz w:val="20"/>
        </w:rPr>
      </w:pPr>
      <w:r>
        <w:rPr>
          <w:rFonts w:ascii="Times New Roman" w:hAnsi="Times New Roman"/>
          <w:sz w:val="20"/>
        </w:rPr>
        <w:t xml:space="preserve">Under the operating agreement for City of Dreams Manila, Melco Resorts Leisure must periodically calculate, on a 24-month basis, the respective amounts of VIP gaming earnings before interest, tax, depreciation and amortization and other defined adjustments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ten business days to discuss and review City of Dreams Manila’s financial performance and agree on any changes to be made to the business operations of City of Dreams Manila and/or to the payment terms under the operating agreement. If such an agreement cannot be reached within 90 business days, Melco Resorts Leisure must suspend VIP gaming operations at City of Dreams Manila. </w:t>
      </w:r>
    </w:p>
    <w:p>
      <w:pPr>
        <w:pStyle w:val="TextBody"/>
        <w:spacing w:before="240" w:after="0"/>
        <w:jc w:val="left"/>
        <w:rPr>
          <w:rFonts w:ascii="Times New Roman" w:hAnsi="Times New Roman"/>
          <w:sz w:val="20"/>
        </w:rPr>
      </w:pPr>
      <w:r>
        <w:rPr>
          <w:rFonts w:ascii="Times New Roman" w:hAnsi="Times New Roman"/>
          <w:sz w:val="20"/>
        </w:rPr>
        <w:t xml:space="preserve">Any suspension of VIP gaming operations at City of Dreams Manila could materially and adversely impact gaming revenues from City of Dreams Manila. Moreover, suspension of VIP gaming operations could effectively lead Melco Resorts Leisure to limit or suspend certain non-gaming operations focusing on VIP players, such as the VIP hotel and VIP lounge, which would further reduce revenues from City of Dreams Manila. Any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MRP’s strategy to attract Premium Market customers to City of Dreams Manila may not be effective. </w:t>
      </w:r>
    </w:p>
    <w:p>
      <w:pPr>
        <w:pStyle w:val="TextBody"/>
        <w:spacing w:before="120" w:after="0"/>
        <w:jc w:val="left"/>
        <w:rPr>
          <w:rFonts w:ascii="Times New Roman" w:hAnsi="Times New Roman"/>
          <w:sz w:val="20"/>
        </w:rPr>
      </w:pPr>
      <w:r>
        <w:rPr>
          <w:rFonts w:ascii="Times New Roman" w:hAnsi="Times New Roman"/>
          <w:sz w:val="20"/>
        </w:rPr>
        <w:t xml:space="preserve">A part of MRP’s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or elsewhere in the region, as these players may be unfamiliar with the Philippines or refuse to change their normal gaming destination. If MRP is unable to expand in the premium market as it intends, this would adversely affect its and/or our business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Changes in public acceptance of gaming in the Philippines may adversely affect City of Dreams Manila. </w:t>
      </w:r>
    </w:p>
    <w:p>
      <w:pPr>
        <w:pStyle w:val="TextBody"/>
        <w:spacing w:before="120" w:after="0"/>
        <w:jc w:val="left"/>
        <w:rPr>
          <w:rFonts w:ascii="Times New Roman" w:hAnsi="Times New Roman"/>
          <w:sz w:val="20"/>
        </w:rPr>
      </w:pPr>
      <w:r>
        <w:rPr>
          <w:rFonts w:ascii="Times New Roman" w:hAnsi="Times New Roman"/>
          <w:sz w:val="20"/>
        </w:rPr>
        <w:t xml:space="preserve">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may materially and adversely affect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MRP may be unable to successfully register City of Dreams Manila as a tourism enterprise zone with the Philippine Tourism Infrastructure and Enterprise Zone Authority, an agency of the Philippine Department of Tourism (“TIEZA”). </w:t>
      </w:r>
    </w:p>
    <w:p>
      <w:pPr>
        <w:pStyle w:val="TextBody"/>
        <w:spacing w:before="120" w:after="0"/>
        <w:jc w:val="left"/>
        <w:rPr>
          <w:rFonts w:ascii="Times New Roman" w:hAnsi="Times New Roman"/>
          <w:sz w:val="20"/>
        </w:rPr>
      </w:pPr>
      <w:r>
        <w:rPr>
          <w:rFonts w:ascii="Times New Roman" w:hAnsi="Times New Roman"/>
          <w:sz w:val="20"/>
        </w:rPr>
        <w:t xml:space="preserve">While Melco Resorts Leisure intends to apply for a designation as a tourism enterprise with TIEZA, there can be no assurance that TIEZA will approve the designation of Melco Resorts Leisure as a tourism enterprise. If Melco Resorts Leisure is unable to register as a tourism enterprise with TIEZA, it will not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entitled to certain fiscal incentives provided to some of Melco Resorts Leisure’s competitors that are registered as tourism enterprises under TIEZA. For example, MRP’s liability for value added tax (“VAT”) on its sales largely depends on whether it may avail itself of tax incentives under TIEZA. If tax incentives under TIEZA are not available to MRP, it will be liable for VAT, which may result in a material adverse effect on our business and prospects, financial condition, results of operations and cash flows. </w:t>
      </w:r>
    </w:p>
    <w:p>
      <w:pPr>
        <w:pStyle w:val="TextBody"/>
        <w:spacing w:before="240" w:after="0"/>
        <w:jc w:val="left"/>
        <w:rPr>
          <w:rFonts w:ascii="Times New Roman" w:hAnsi="Times New Roman"/>
          <w:sz w:val="20"/>
        </w:rPr>
      </w:pPr>
      <w:r>
        <w:rPr>
          <w:rFonts w:ascii="Times New Roman" w:hAnsi="Times New Roman"/>
          <w:sz w:val="20"/>
        </w:rPr>
        <w:t xml:space="preserve">In addition, if Melco Resorts Leisure is able to register as a tourism enterprise with TIEZA, it will then be required to withdraw its current registration as a tourism economic zone enterprise with the Philippine Economic Zone Authority. The process of shifting from a tourism economic zone enterprise under the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However, several legislative bills were previously passed and are currently pending in the Philippine legislature with a view towards rationalizing fiscal incentives currently granted to certain enterprises and activities, including tourism enterprises. It is uncertain whether these bills will be passed into law, or what the effect, if any, will be on the incentives currently granted to qualified tourism enterprises under the Republic Act No. 9593, of the Philippines, or the Tourism Act of 2009. </w:t>
      </w:r>
    </w:p>
    <w:p>
      <w:pPr>
        <w:pStyle w:val="TextBody"/>
        <w:spacing w:before="360" w:after="0"/>
        <w:jc w:val="left"/>
        <w:rPr>
          <w:rFonts w:ascii="Times New Roman" w:hAnsi="Times New Roman"/>
          <w:b/>
          <w:i/>
          <w:sz w:val="20"/>
        </w:rPr>
      </w:pPr>
      <w:r>
        <w:rPr>
          <w:rFonts w:ascii="Times New Roman" w:hAnsi="Times New Roman"/>
          <w:b/>
          <w:i/>
          <w:sz w:val="20"/>
        </w:rPr>
        <w:t xml:space="preserve">MRP’s gaming operations are dependent on the Philippine License issued by PAGCOR. </w:t>
      </w:r>
    </w:p>
    <w:p>
      <w:pPr>
        <w:pStyle w:val="TextBody"/>
        <w:spacing w:before="120" w:after="0"/>
        <w:jc w:val="left"/>
        <w:rPr>
          <w:rFonts w:ascii="Times New Roman" w:hAnsi="Times New Roman"/>
          <w:sz w:val="20"/>
        </w:rPr>
      </w:pPr>
      <w:r>
        <w:rPr>
          <w:rFonts w:ascii="Times New Roman" w:hAnsi="Times New Roman"/>
          <w:sz w:val="20"/>
        </w:rPr>
        <w:t xml:space="preserve">PAGCOR regulates all gaming activities in the Philippines except for lottery, sweepstakes, jueteng, horse racing and gaming inside the Cagayan Export Zone. City of Dreams Manila’s gaming areas may only legally operate under the Philippine License granted by PAGCOR, which imposes certain requirements on the Melco Philippine Parties and their service providers. </w:t>
      </w:r>
    </w:p>
    <w:p>
      <w:pPr>
        <w:pStyle w:val="TextBody"/>
        <w:spacing w:before="240" w:after="0"/>
        <w:jc w:val="left"/>
        <w:rPr>
          <w:rFonts w:ascii="Times New Roman" w:hAnsi="Times New Roman"/>
          <w:sz w:val="20"/>
        </w:rPr>
      </w:pPr>
      <w:r>
        <w:rPr>
          <w:rFonts w:ascii="Times New Roman" w:hAnsi="Times New Roman"/>
          <w:sz w:val="20"/>
        </w:rPr>
        <w:t xml:space="preserve">The Philippine License is also subject to suspension or termination upon the occurrence of certain events. The requirements imposed by the Philippine License include, among others: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75"/>
        <w:gridCol w:w="110"/>
        <w:gridCol w:w="60"/>
        <w:gridCol w:w="3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payment of monthly license fees to PAGCOR;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maintenance of a debt-to-equity ratio (based on calculation as agreed with PAGCOR) for each of the Philippine Licensees of no greater than 70:30; </w:t>
            </w:r>
          </w:p>
        </w:tc>
      </w:tr>
    </w:tbl>
    <w:p>
      <w:pPr>
        <w:pStyle w:val="TextBody"/>
        <w:spacing w:before="0" w:after="0"/>
        <w:jc w:val="left"/>
        <w:rPr/>
      </w:pPr>
      <w:r>
        <w:rPr/>
        <w:t> </w:t>
      </w:r>
    </w:p>
    <w:tbl>
      <w:tblPr>
        <w:tblW w:w="7720" w:type="dxa"/>
        <w:jc w:val="left"/>
        <w:tblInd w:w="0" w:type="dxa"/>
        <w:tblCellMar>
          <w:top w:w="0" w:type="dxa"/>
          <w:left w:w="0" w:type="dxa"/>
          <w:bottom w:w="0" w:type="dxa"/>
          <w:right w:w="0" w:type="dxa"/>
        </w:tblCellMar>
      </w:tblPr>
      <w:tblGrid>
        <w:gridCol w:w="75"/>
        <w:gridCol w:w="110"/>
        <w:gridCol w:w="60"/>
        <w:gridCol w:w="7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95.0% of the total employees of City of Dreams Manila must be Philippine citizens; </w:t>
            </w:r>
          </w:p>
        </w:tc>
      </w:tr>
    </w:tbl>
    <w:p>
      <w:pPr>
        <w:pStyle w:val="TextBody"/>
        <w:spacing w:before="0" w:after="0"/>
        <w:jc w:val="left"/>
        <w:rPr/>
      </w:pPr>
      <w:r>
        <w:rPr/>
        <w:t> </w:t>
      </w:r>
    </w:p>
    <w:tbl>
      <w:tblPr>
        <w:tblW w:w="7585" w:type="dxa"/>
        <w:jc w:val="left"/>
        <w:tblInd w:w="0" w:type="dxa"/>
        <w:tblCellMar>
          <w:top w:w="0" w:type="dxa"/>
          <w:left w:w="0" w:type="dxa"/>
          <w:bottom w:w="0" w:type="dxa"/>
          <w:right w:w="0" w:type="dxa"/>
        </w:tblCellMar>
      </w:tblPr>
      <w:tblGrid>
        <w:gridCol w:w="75"/>
        <w:gridCol w:w="110"/>
        <w:gridCol w:w="60"/>
        <w:gridCol w:w="7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Philippine Licensees shall demonstrate the fitness and propriety of gaming promoters;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2.0% of certain casino revenues must be remitted to a foundation devoted to the restoration of cultural heritage and 5.0% of certain non-gaming revenues to PAGCOR; and </w:t>
            </w:r>
          </w:p>
        </w:tc>
      </w:tr>
    </w:tbl>
    <w:p>
      <w:pPr>
        <w:pStyle w:val="TextBody"/>
        <w:spacing w:before="0" w:after="0"/>
        <w:jc w:val="left"/>
        <w:rPr/>
      </w:pPr>
      <w:r>
        <w:rPr/>
        <w:t> </w:t>
      </w:r>
    </w:p>
    <w:tbl>
      <w:tblPr>
        <w:tblW w:w="6010" w:type="dxa"/>
        <w:jc w:val="left"/>
        <w:tblInd w:w="0" w:type="dxa"/>
        <w:tblCellMar>
          <w:top w:w="0" w:type="dxa"/>
          <w:left w:w="0" w:type="dxa"/>
          <w:bottom w:w="0" w:type="dxa"/>
          <w:right w:w="0" w:type="dxa"/>
        </w:tblCellMar>
      </w:tblPr>
      <w:tblGrid>
        <w:gridCol w:w="75"/>
        <w:gridCol w:w="110"/>
        <w:gridCol w:w="60"/>
        <w:gridCol w:w="5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operation of only the authorized casino games approved by PAGCOR. </w:t>
            </w:r>
          </w:p>
        </w:tc>
      </w:tr>
    </w:tbl>
    <w:p>
      <w:pPr>
        <w:pStyle w:val="TextBody"/>
        <w:spacing w:before="240" w:after="0"/>
        <w:jc w:val="left"/>
        <w:rPr>
          <w:rFonts w:ascii="Times New Roman" w:hAnsi="Times New Roman"/>
          <w:sz w:val="20"/>
        </w:rPr>
      </w:pPr>
      <w:r>
        <w:rPr>
          <w:rFonts w:ascii="Times New Roman" w:hAnsi="Times New Roman"/>
          <w:sz w:val="20"/>
        </w:rPr>
        <w:t xml:space="preserve">Moreover, certain provisions and requirements of the Philippine License are open to different interpretations and have not been interpreted by Philippine courts or made subject to more detailed interpretative rules. There is no guarantee that the Melco Philippine Parties’ proposed mode of compliance with these or other requirements of the Philippine License will be free from administrative or judicial scrutiny in the future. Any difference in interpretation between PAGCOR and MRP with respect to the Philippine License could result in sanctions against the Melco Philippine Parties, including fines or other penalties, such as suspension or termination of the Philippine License. There can be no assurance that the Philippine Licensees will be able to continuously comply with all of the Philippine License’s requirements, or that the Philippine License will not be modified to contain more onerous terms or amended in such a manner that would cause the Philippine Licensees to lose interest in the operation of City of Dreams Manila. If the Philippine License is materially altered or revoked for any reason, including the failure by any of the Philippine Licensees to comply with its terms, MRP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be required to cease City of Dreams Manila’s gaming operations, which could have a material adverse effect on our business, financial condition and results of operations. In addition, a failure in the internal control systems of MRP may cause PAGCOR to adversely modify or revoke the Philippine License. Finally, the Philippine License will terminate in 2033, coinciding with the PAGCOR Charter’s termination, and there is no guarantee that the PAGCOR Charter or the Philippine License will be renewed. </w:t>
      </w:r>
    </w:p>
    <w:p>
      <w:pPr>
        <w:pStyle w:val="TextBody"/>
        <w:spacing w:before="240" w:after="0"/>
        <w:jc w:val="left"/>
        <w:rPr>
          <w:rFonts w:ascii="Times New Roman" w:hAnsi="Times New Roman"/>
          <w:sz w:val="20"/>
        </w:rPr>
      </w:pPr>
      <w:r>
        <w:rPr>
          <w:rFonts w:ascii="Times New Roman" w:hAnsi="Times New Roman"/>
          <w:sz w:val="20"/>
        </w:rPr>
        <w:t xml:space="preserve">In addition, City of Dreams Manila’s gaming operation is highly regulated in the Philippines. As PAGCOR is also a gaming operator, there can be no assurance that PAGCOR will not withhold certain approvals from the Melco Philippine Parties in order to favor its own gaming operations. PAGCOR may also modify or impose additional conditions on its licensees or impose restrictions or limitations on Melco Resorts Leisure’s casino operations that would interfere with Melco Resorts Leisure’s ability to provide VIP services, which could adversely affect MRP’s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City of Dreams Manila may be required to obtain an additional legislative franchise, in addition to its Philippine License. </w:t>
      </w:r>
    </w:p>
    <w:p>
      <w:pPr>
        <w:pStyle w:val="TextBody"/>
        <w:spacing w:before="120" w:after="0"/>
        <w:jc w:val="left"/>
        <w:rPr>
          <w:rFonts w:ascii="Times New Roman" w:hAnsi="Times New Roman"/>
          <w:sz w:val="20"/>
        </w:rPr>
      </w:pPr>
      <w:r>
        <w:rPr>
          <w:rFonts w:ascii="Times New Roman" w:hAnsi="Times New Roman"/>
          <w:sz w:val="20"/>
        </w:rPr>
        <w:t xml:space="preserve">On August 2, 2017, House Bill No. 6111 was filed which proposed the creation of the Philippine Amusements and Gaming Authority, or PAGA, which, if adopted, would replace PAGCOR as the regulatory agency of gaming activities in the Philippines. Also under House Bill No. 6111, the holders of gaming licenses in the Philippines, including the Philippine Licensees, would be required to obtain from the Philippine Congress a legislative franchise to operate gambling casinos, gaming clubs and other similar gambling enterprises within one year from the date of the proposed law’s effectiveness. Non-compliance would result in the operations of holders of gaming licenses in the Philippines, including the Philippine Licensees, to be considered as illegal. On October 2, 2017, House Bill No. 6514 was filed whose provisions are essentially similar to House Bill No. 6111, particularly on the need for holders of gaming licenses in the Philippines, including the Philippine Licensees, to obtain from the Philippine Congress a legislative franchise within one year from the date of the proposed law’s effectiveness. </w:t>
      </w:r>
    </w:p>
    <w:p>
      <w:pPr>
        <w:pStyle w:val="TextBody"/>
        <w:spacing w:before="240" w:after="0"/>
        <w:jc w:val="left"/>
        <w:rPr>
          <w:rFonts w:ascii="Times New Roman" w:hAnsi="Times New Roman"/>
          <w:sz w:val="20"/>
        </w:rPr>
      </w:pPr>
      <w:r>
        <w:rPr>
          <w:rFonts w:ascii="Times New Roman" w:hAnsi="Times New Roman"/>
          <w:sz w:val="20"/>
        </w:rPr>
        <w:t xml:space="preserve">In the event that House Bills 6111 and 6514 are signed into law, City of Dreams Manila may be required to obtain an additional legislative franchise in addition to its Philippine License and there can be no assurance that such a franchise, which requires legislative approval, will be granted. In addition, the Philippine License may be subject to amendment or repeal by the Philippine Congress. In the event City of Dreams Manila is not granted any required franchise, or the Philippine License is materially amended or repealed, the operation of City of Dreams Manila may cease, which could, in turn, have a material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Changes to fiscal incentives and other forms of taxes that may be implemented by the Philippines government from time to time may have a material adverse effect on our Philippine subsidiaries. </w:t>
      </w:r>
    </w:p>
    <w:p>
      <w:pPr>
        <w:pStyle w:val="TextBody"/>
        <w:spacing w:before="120" w:after="0"/>
        <w:jc w:val="left"/>
        <w:rPr>
          <w:rFonts w:ascii="Times New Roman" w:hAnsi="Times New Roman"/>
          <w:sz w:val="20"/>
        </w:rPr>
      </w:pPr>
      <w:r>
        <w:rPr>
          <w:rFonts w:ascii="Times New Roman" w:hAnsi="Times New Roman"/>
          <w:sz w:val="20"/>
        </w:rPr>
        <w:t xml:space="preserve">For the gaming-related transactions in our Philippines operations, Melco Resorts Leisure currently enjoys exemptions from national, local, direct and indirect taxes, including VAT, in the Philippines pursuant to the PAGCOR charter and is subject to license fees which are inclusive of the 5% franchise tax payable to PAGCOR based on gross gaming revenue in the Philippines, in lieu of all other taxes. In 2022, the Philippine Bureau of Internal Revenue (“BIR”) issued Revenue Memorandum Circular No. 32-2022, which sought to impose 12% VAT on gaming revenue. While Melco Resorts Leisure and the other integrated resorts submitted a joint letter to BIR challenging the imposition of VAT on gaming transactions, there is no assurance that we will prevail on any challenge and any assessment of VAT on our gaming revenue could have a material adverse effect on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 Our Philippines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subsidiaries are also liable for VAT on certain transactions. On March 26, 2021, the Corporate Recovery and Tax Incentives for Enterprises (“CREATE”) was signed and took effect on April 11, 2021 and is applicable to income derived from our non-gaming operations in the Philippines. CREATE reduced the minimum corporate income tax from 2% to 1% from July 1, 2020 to June 30, 2023 and the corporate income tax rate from 30% to 25% starting July 1, 2020. </w:t>
      </w:r>
    </w:p>
    <w:p>
      <w:pPr>
        <w:pStyle w:val="TextBody"/>
        <w:spacing w:before="240" w:after="0"/>
        <w:jc w:val="left"/>
        <w:rPr>
          <w:rFonts w:ascii="Times New Roman" w:hAnsi="Times New Roman"/>
          <w:sz w:val="20"/>
        </w:rPr>
      </w:pPr>
      <w:r>
        <w:rPr>
          <w:rFonts w:ascii="Times New Roman" w:hAnsi="Times New Roman"/>
          <w:sz w:val="20"/>
        </w:rPr>
        <w:t xml:space="preserve">Any future amendments of CREATE, such as changes on the application of value-added and corporate income taxes and tax rates or changes to the fiscal incentives provided to Melco Resorts Leisure pursuant to its registration with the Philippine Economic Zone Authority as a Tourism Economic Zone Enterprise, may have significant negative impact on our Philippines business. Our Philippine subsidiaries may also be subject to other forms of taxes that may be implemented by the Philippine government from time to time, which could have a material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MRP is exposed to risks in relation to MRP’s previous business activities and industry. </w:t>
      </w:r>
    </w:p>
    <w:p>
      <w:pPr>
        <w:pStyle w:val="TextBody"/>
        <w:spacing w:before="120" w:after="0"/>
        <w:jc w:val="left"/>
        <w:rPr>
          <w:rFonts w:ascii="Times New Roman" w:hAnsi="Times New Roman"/>
          <w:sz w:val="20"/>
        </w:rPr>
      </w:pPr>
      <w:r>
        <w:rPr>
          <w:rFonts w:ascii="Times New Roman" w:hAnsi="Times New Roman"/>
          <w:sz w:val="20"/>
        </w:rPr>
        <w:t xml:space="preserve">Prior to our acquisition of MRP, MRP’s primary business was the manufacture and processing of pharmaceutical products. The pharmaceuticals industry is highly regulated in the Philippines and abroad. There can be no assurance that MRP will not be involved in or subject to claims, allegations or suits with respect to its previous activities in the pharmaceutical industry for which MRP may not be insured fully or at all. Although MRP has indemnities as to certain liabilities or claims or other protections put in place, any adverse claim or liability imputed to MRP with respect to its previous business activities could have a material adverse effect on its business and prospects, financial condition, results of operations and cash flow. </w:t>
      </w:r>
    </w:p>
    <w:p>
      <w:pPr>
        <w:pStyle w:val="TextBody"/>
        <w:spacing w:before="360" w:after="0"/>
        <w:jc w:val="left"/>
        <w:rPr>
          <w:rFonts w:ascii="Times New Roman" w:hAnsi="Times New Roman"/>
          <w:b/>
          <w:i/>
          <w:sz w:val="20"/>
        </w:rPr>
      </w:pPr>
      <w:r>
        <w:rPr>
          <w:rFonts w:ascii="Times New Roman" w:hAnsi="Times New Roman"/>
          <w:b/>
          <w:i/>
          <w:sz w:val="20"/>
        </w:rPr>
        <w:t xml:space="preserve">Our Philippine operations may be adversely affected by policy changes in the Philippines. </w:t>
      </w:r>
    </w:p>
    <w:p>
      <w:pPr>
        <w:pStyle w:val="TextBody"/>
        <w:spacing w:before="120" w:after="0"/>
        <w:jc w:val="left"/>
        <w:rPr>
          <w:rFonts w:ascii="Times New Roman" w:hAnsi="Times New Roman"/>
          <w:sz w:val="20"/>
        </w:rPr>
      </w:pPr>
      <w:r>
        <w:rPr>
          <w:rFonts w:ascii="Times New Roman" w:hAnsi="Times New Roman"/>
          <w:sz w:val="20"/>
        </w:rPr>
        <w:t xml:space="preserve">Our Philippine operations may be adversely affected by changes in policies due to changes in government personnel in the Philippines, including but not limited to any changes following elections in the Philippines. There can be no assurance that newly elected or appointed officials will not modify previous policies in relation to the development and operation of integrated tourism resorts in the Philippines, tax incentives extended to their developers or operators or policies on gaming and tourism in the Philippines in general. Newly elected or appointed officials may also impose more stringent or additional conditions on gaming licenses or seek to discourage Philippine citizens from gambling by imposing restrictions. We are unable to predict whether new officials will seek to further alter or impose stricter conditions relating to gaming in the Philippines. Adverse changes in policies and regulations by the current administration or any officials elected or appointed in the future in the Philippines could disrupt the operations of our Philippine subsidiaries and materially and adversely affect our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Relating to Operating in the Gaming Industry in Cyprus </w:t>
      </w:r>
    </w:p>
    <w:p>
      <w:pPr>
        <w:pStyle w:val="TextBody"/>
        <w:spacing w:before="120" w:after="0"/>
        <w:jc w:val="left"/>
        <w:rPr>
          <w:rFonts w:ascii="Times New Roman" w:hAnsi="Times New Roman"/>
          <w:b/>
          <w:i/>
          <w:sz w:val="20"/>
        </w:rPr>
      </w:pPr>
      <w:r>
        <w:rPr>
          <w:rFonts w:ascii="Times New Roman" w:hAnsi="Times New Roman"/>
          <w:b/>
          <w:i/>
          <w:sz w:val="20"/>
        </w:rPr>
        <w:t xml:space="preserve">Our operations in Cyprus, particularly the development of City of Dreams Mediterranean, face significant risks and uncertainties which may materially and adversely affect our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Our operations in Cyprus include a temporary casino in Limassol and the license to operate four satellite casinos and the development of City of Dreams Mediterranean. In July 2019, we acquired a 75% equity interest in ICR Cyprus from Melco International, our controlling shareholder, while the remaining 25% equity interest in ICR Cyprus is held by The Cyprus Phassouri (Zakaki) Limited. We have entered into a shareholders’ agreement with The Cyprus Phassouri (Zakaki) Limited regarding certain commercial and financial arrangements pursuant to which we will, as more fully set out in additional management and service contracts, (i) provide certain corporate-level management services to ICR Cyprus and its subsidiaries for a fixed amount of EUR2 million (equivalent to approximately US$2.1 million) per annum and (ii) have the right to receive an allotment of preference shares in the gaming license-holding subsidiary of ICR Cyprus, which will provide the right to a preferential dividend, among other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will require the continued partnership and cooperation of The Cyprus Phassouri (Zakaki) Limited for the operation of our Cyprus casinos. The temporary casino in Limassol and two satellite casinos in Nicosia and Larnaca opened in 2018 (the Larnaca satellite casino ceased operations in June 2020), the third satellite casino opened in 2019 in Ayia Napa and our fourth satellite casino in Paphos opened in February 2020. In addition, our City of Dreams Mediterranean project, which requires significant investment of capital and other resources, is still under development. We have been informed that the Council of Ministers of Cyprus has approved an extension of the deadline to open the City of Dreams Mediterranean by June 30, 2023 under the terms of the Cyprus License. The City of Dreams Mediterranean is targeted to open in the second quarter of 2023, subject to regulatory approvals. Our operations in Cyprus are also subject to ongoing compliance with various laws, regulations, licenses, permits and renewals of those licenses and permits. Given our relatively short operating history and limited experience in Cyprus, which also represents our first significant business venture outside of Asia, it may be difficult for us to comply with the applicable laws and regulations or to secure all necessary licenses and permits in Cyprus, which could be time-consuming and significantly increase our costs. In addition, Cyprus is a new gaming market and we may not achieve the intended results or return through our operations in Cyprus. </w:t>
      </w:r>
    </w:p>
    <w:p>
      <w:pPr>
        <w:pStyle w:val="TextBody"/>
        <w:spacing w:before="240" w:after="0"/>
        <w:jc w:val="left"/>
        <w:rPr>
          <w:rFonts w:ascii="Times New Roman" w:hAnsi="Times New Roman"/>
          <w:sz w:val="20"/>
        </w:rPr>
      </w:pPr>
      <w:r>
        <w:rPr>
          <w:rFonts w:ascii="Times New Roman" w:hAnsi="Times New Roman"/>
          <w:sz w:val="20"/>
        </w:rPr>
        <w:t xml:space="preserve">While we have already made significant capital investments for the development and operation of our operations in Cyprus, the ongoing development of City of Dreams Mediterranean requires further significant additional capital investments. Based on our current plan for the development of City of Dreams Mediterranean integrated resorts project, we currently expect a project budget of approximately US$575 million to US$600 million (inclusive of the land cost but exclusive of any pre-opening costs and financing costs). The development of City of Dreams Mediterranean may be funded through various sources, including equity, cash on hand, operating free cash flow as well as other financing, including by way of shareholder loans and external debt financing. We will be required to obtain approval from, or the consent of, or notify relevant government authorities, including the CGC, in order to enter into such debt financing. Given that this is the first significant integrated casino resort project to be developed in Cyprus, we may face difficulty in obtaining the necessary approvals or consents in a timely manner or at all. Our ability to obtain such debt financing also depends on a number of factors beyond our control, including rising interest rates, market volatility, and a contraction of liquidity in the global credit markets caused by COVID-19 outbreaks and lenders’ perceptions of, and demand for, the debt financing for our City of Dreams Mediterranean project. Under the shareholders’ agreement entered into between us and The Cyprus Phassouri (Zakaki) Limited regarding ICR Cyprus, the shareholders are obligated to use all commercially reasonable endeavors, subject to certain terms and conditions, to source debt financing of up to EUR437 million (equivalent to approximately US$468 million) for the development of City of Dreams Mediterranean. To the extent there is a shortfall in the amount of third-party debt available (or available on commercially-acceptable terms), we are obligated to fund the shortfall up to the full amount of EUR437 million (equivalent to approximately US$468 million) on terms which are, subject to certain terms and conditions, no less favorable to the project than any commercially-acceptable terms available in the commercial lending market. In connection therewith, a shareholder loan agreement for up to EUR275 million (equivalent to approximately US$294 million) was entered into by a subsidiary of the Company as lender, and Integrated Casino Resorts as borrower in March 2020. In addition, a further shareholder loan agreement for up to EUR250 million (equivalent to approximately US$268 million) was entered into by a subsidiary of the Company as lender, and Integrated Casino Resorts as borrower in May 2022, along with a subordination agreement pursuant to which the March 2020 shareholder loan was subordinated to the May 2022 shareholder loan. There is no guarantee that we can secure the necessary additional capital investments, including any debt financing, required for the ongoing development of the City of Dreams Mediterranean project in a timely manner or at all. In addition, our plan for the City of Dreams Mediterranean project may be subject to additional risks, particularly labor shortages and disruptions to global supply chains exacerbated by COVID-19 outbreaks, the military conflict between Russia and Ukraine, and resulting disruptions as well as further revisions and changes to certain design elements which remain subject to further refinement and development. For example, construction work at our City of Dreams Mediterranean project was suspended from March 24, 2020 to May 3, 2020 as required by the Cyprus government under the restrictions imposed to restrict non-essential business activities due to COVID-19 outbreaks and following the suspension, construction work at the site was also subject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additional health and safety requirements imposed by the Cyprus government. There is also no assurance that the Cyprus government will not impose additional restrictions due to COVID-19 outbreaks, which could cause further disruptions to the construction work at City of Dreams Mediterranean. In addition, the City of Dreams Mediterranean has experienced delays due to some difficulties that we have encountered with our contractors in relation to meeting labor resourcing plans and maintaining progress. </w:t>
      </w:r>
    </w:p>
    <w:p>
      <w:pPr>
        <w:pStyle w:val="TextBody"/>
        <w:spacing w:before="240" w:after="0"/>
        <w:jc w:val="left"/>
        <w:rPr>
          <w:rFonts w:ascii="Times New Roman" w:hAnsi="Times New Roman"/>
          <w:sz w:val="20"/>
        </w:rPr>
      </w:pPr>
      <w:r>
        <w:rPr>
          <w:rFonts w:ascii="Times New Roman" w:hAnsi="Times New Roman"/>
          <w:sz w:val="20"/>
        </w:rPr>
        <w:t xml:space="preserve">All of these uncertainties increase the risk that construction in Cyprus will not be completed on time and that our construction costs will increase. We were granted a nine-month extension of the deadline for commencement of operations at the City of Dreams Mediterranean by the CGC from the original deadline of December 31, 2021 to September 30, 2022, and we have been informed by the Council of Ministers of Cyprus that such deadline was further extended to June 30, 2023. If we fail to commence operations of City of Dreams Mediterranean by June 30, 2023 and are not granted any further extension by the CGC and the government of Cyprus chooses to exercise its right to terminate the Cyprus License, we could lose all or substantially all of our investment in Cyprus and may not be able to continue our Cyprus operations as planned. See “— Economic or trade sanctions and a heightened trend towards trade and technology “de-coupling” could negatively affect the relationships and collaborations with our suppliers, service providers, technology partners and other business partners and our ability to accept certain customers, which could materially and adversely affect our competitiveness and business operations” for discussions of events relating to Cyprus. </w:t>
      </w:r>
    </w:p>
    <w:p>
      <w:pPr>
        <w:pStyle w:val="TextBody"/>
        <w:spacing w:before="240" w:after="0"/>
        <w:jc w:val="left"/>
        <w:rPr>
          <w:rFonts w:ascii="Times New Roman" w:hAnsi="Times New Roman"/>
          <w:sz w:val="20"/>
        </w:rPr>
      </w:pPr>
      <w:r>
        <w:rPr>
          <w:rFonts w:ascii="Times New Roman" w:hAnsi="Times New Roman"/>
          <w:sz w:val="20"/>
        </w:rPr>
        <w:t xml:space="preserve">All of the foregoing trends, risks and uncertainties may have a material adverse impact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Cyprus’ gaming operations are dependent on the Cyprus License issued by CGC and any failure to comply with the terms of the Cyprus License could have a material adverse effect on our business, financial condition and results of operations. </w:t>
      </w:r>
    </w:p>
    <w:p>
      <w:pPr>
        <w:pStyle w:val="TextBody"/>
        <w:spacing w:before="120" w:after="0"/>
        <w:jc w:val="left"/>
        <w:rPr>
          <w:rFonts w:ascii="Times New Roman" w:hAnsi="Times New Roman"/>
          <w:sz w:val="20"/>
        </w:rPr>
      </w:pPr>
      <w:r>
        <w:rPr>
          <w:rFonts w:ascii="Times New Roman" w:hAnsi="Times New Roman"/>
          <w:sz w:val="20"/>
        </w:rPr>
        <w:t xml:space="preserve">Our current operations in Cyprus, including a temporary casino in Limassol and three satellite casinos in Nicosia, Ayia Napa and Paphos and the development of City of Dreams Mediterranean, are dependent on the Cyprus License granted by the government of Cyprus to Integrated Casino Resorts on June 26, 2017. Under the Cyprus License, Integrated Casino Resorts has been granted the right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with the right for exclusivity in Cyprus for the first 15 years of the term. The Cyprus License imposes certain requirements and conditions on Integrated Casino Resorts and its service providers, including the threat of suspension or termination of the Cyprus License upon the occurrence of certain events. Such requirements include, among others: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operation of the temporary casino and City of Dreams Mediterranean, payment to the government of Cyprus of an annual license fee of EUR2.5 million (equivalent to approximately US$2.7 million) per year for the first four-year period commencing from June 26, 2017, the grant date of the Cyprus License, and an annual license fee of EUR5.0 million (equivalent to approximately US$5.4 million) per year for the second four-year period. Upon completion of the above eight-year period and for each four-year period thereafter, the government of Cyprus may review the annual license fee payable for each four-year term, provided that the annual license fee payable per year shall be no less than EUR 5.0 million (equivalent to approximately US$5.4 million) and subject to a maximum percentage increase;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operation of the satellite casino in Nicosia, payment to the government of Cyprus of an annual license fee of EUR1.0 million (equivalent to approximately US$1.1 million) per year since its commencement of operations;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connection with the operation of each of the satellite casinos in Larnaca (which ceased operation in June 2020), Ayia Napa and Paphos, payment to the government of Cyprus of an annual license fee of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rPr/>
      </w:pPr>
      <w:r>
        <w:rPr/>
      </w:r>
    </w:p>
    <w:p>
      <w:pPr>
        <w:pStyle w:val="Heading5"/>
        <w:rPr/>
      </w:pPr>
      <w:hyperlink w:anchor="toc">
        <w:r>
          <w:rPr>
            <w:rStyle w:val="InternetLink"/>
          </w:rPr>
          <w:t>Table of Contents</w:t>
        </w:r>
      </w:hyperlink>
    </w:p>
    <w:tbl>
      <w:tblPr>
        <w:tblW w:w="9110" w:type="dxa"/>
        <w:jc w:val="left"/>
        <w:tblInd w:w="0" w:type="dxa"/>
        <w:tblCellMar>
          <w:top w:w="0" w:type="dxa"/>
          <w:left w:w="0" w:type="dxa"/>
          <w:bottom w:w="0" w:type="dxa"/>
          <w:right w:w="0" w:type="dxa"/>
        </w:tblCellMar>
      </w:tblPr>
      <w:tblGrid>
        <w:gridCol w:w="75"/>
        <w:gridCol w:w="9035"/>
      </w:tblGrid>
      <w:tr>
        <w:trPr/>
        <w:tc>
          <w:tcPr>
            <w:tcW w:w="75" w:type="dxa"/>
            <w:tcBorders/>
            <w:shd w:fill="auto" w:val="clear"/>
            <w:vAlign w:val="center"/>
          </w:tcPr>
          <w:p>
            <w:pPr>
              <w:pStyle w:val="TableContents"/>
              <w:spacing w:before="0" w:after="283"/>
              <w:rPr/>
            </w:pPr>
            <w:r>
              <w:rPr/>
              <w:t> </w:t>
            </w:r>
          </w:p>
        </w:tc>
        <w:tc>
          <w:tcPr>
            <w:tcW w:w="90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EUR0.5 million (equivalent to approximately US$0.5 million) per year since their operations commenced;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payment to the government of Cyprus of a monthly casino tax of an amount equal to 15% of the gross gaming revenue, such casino tax not to be increased during the initial 15-year exclusivity period under the Cyprus License. </w:t>
            </w:r>
          </w:p>
        </w:tc>
      </w:tr>
    </w:tbl>
    <w:p>
      <w:pPr>
        <w:pStyle w:val="TextBody"/>
        <w:spacing w:before="240" w:after="0"/>
        <w:jc w:val="left"/>
        <w:rPr>
          <w:rFonts w:ascii="Times New Roman" w:hAnsi="Times New Roman"/>
          <w:sz w:val="20"/>
        </w:rPr>
      </w:pPr>
      <w:r>
        <w:rPr>
          <w:rFonts w:ascii="Times New Roman" w:hAnsi="Times New Roman"/>
          <w:sz w:val="20"/>
        </w:rPr>
        <w:t xml:space="preserve">Following the extension granted by the government of Cyprus, we were required under the Cyprus License to complete the City of Dreams Mediterranean project and commence operations by September 30, 2022, and we have been informed by the Council of Ministers of Cyprus that such deadline was further extended to June 30, 2023. If we fail to commence operations of City of Dreams Mediterranean by June 30, 2023 and are not granted any further extension by the CGC and the government of Cyprus chooses to exercise its right to terminate the Cyprus License, we could lose all or substantially all of our investment in Cyprus and may not be able to continue our Cyprus operations as planned. </w:t>
      </w:r>
    </w:p>
    <w:p>
      <w:pPr>
        <w:pStyle w:val="TextBody"/>
        <w:spacing w:before="240" w:after="0"/>
        <w:jc w:val="left"/>
        <w:rPr>
          <w:rFonts w:ascii="Times New Roman" w:hAnsi="Times New Roman"/>
          <w:sz w:val="20"/>
        </w:rPr>
      </w:pPr>
      <w:r>
        <w:rPr>
          <w:rFonts w:ascii="Times New Roman" w:hAnsi="Times New Roman"/>
          <w:sz w:val="20"/>
        </w:rPr>
        <w:t xml:space="preserve">Moreover, given that the Cyprus License is the first casino license granted in Cyprus, certain provisions and requirements of the Cyprus License have not yet been interpreted by Cyprus courts and may thereby be subject to different interpretations. There is no guarantee that Integrated Casino Resorts’ proposed mode of compliance with these or other requirements of the Cyprus License will be free from administrative or judicial scrutiny in the future. Any difference in interpretation of such Cyprus License requirements between the CGC and/or the government of Cyprus on the one hand and Integrated Casino Resorts on the other could result in sanctions against Integrated Casino Resorts, including fines or other penalties such as suspension or even termination of the Cyprus License.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we will be able to continuously comply with all of the requirements under the Cyprus License, or that the Cyprus License will not be modified to contain more onerous terms or in such other manner that would cause us to lose our interest in our Cyprus operations, particularly when the initial 15-year exclusivity period expires in 2032. If the Cyprus License is materially altered or revoked for any reason, including due to any failure by us to comply with its terms, we may be required to cease our gaming operations in Cyprus, which could have a material adverse effect on our business,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Risks Relating to Our Corporate Structure and Ownership </w:t>
      </w:r>
    </w:p>
    <w:p>
      <w:pPr>
        <w:pStyle w:val="TextBody"/>
        <w:spacing w:before="120" w:after="0"/>
        <w:jc w:val="left"/>
        <w:rPr>
          <w:rFonts w:ascii="Times New Roman" w:hAnsi="Times New Roman"/>
          <w:b/>
          <w:i/>
          <w:sz w:val="20"/>
        </w:rPr>
      </w:pPr>
      <w:r>
        <w:rPr>
          <w:rFonts w:ascii="Times New Roman" w:hAnsi="Times New Roman"/>
          <w:b/>
          <w:i/>
          <w:sz w:val="20"/>
        </w:rPr>
        <w:t xml:space="preserve">Our controlling shareholder has a substantial influence over us, and its interests in our business may be different than yours. We have had, and may continue to have, transactions with our controlling shareholder and its affiliates and such transactions may create conflicts of interest between us and our controlling shareholder. </w:t>
      </w:r>
    </w:p>
    <w:p>
      <w:pPr>
        <w:pStyle w:val="TextBody"/>
        <w:spacing w:before="120" w:after="0"/>
        <w:jc w:val="left"/>
        <w:rPr>
          <w:rFonts w:ascii="Times New Roman" w:hAnsi="Times New Roman"/>
          <w:sz w:val="20"/>
        </w:rPr>
      </w:pPr>
      <w:r>
        <w:rPr>
          <w:rFonts w:ascii="Times New Roman" w:hAnsi="Times New Roman"/>
          <w:sz w:val="20"/>
        </w:rPr>
        <w:t xml:space="preserve">As of March 24, 2023, Melco International’s beneficial ownership in our Company was approximately 51.7%. There are risks associated with the possibility that Melco International may: (i) have economic or business interests or goals that are inconsistent with ours; (ii) have operations and projects elsewhere in Asia or elsewhere in the world that compete with our businesses in Macau, the Philippines, Cyprus and in other countries and for available resources and management attention; (iii) take actions contrary to our policies or objectives; or (iv) have financial difficulties. In addition, there is no assurance that the laws and regulations relating to foreign investment in Melco International’s governing jurisdictions will not be altered in such a manner as to result in a material adverse effect on our business and operating results. </w:t>
      </w:r>
    </w:p>
    <w:p>
      <w:pPr>
        <w:pStyle w:val="TextBody"/>
        <w:spacing w:before="240" w:after="0"/>
        <w:jc w:val="left"/>
        <w:rPr>
          <w:rFonts w:ascii="Times New Roman" w:hAnsi="Times New Roman"/>
          <w:sz w:val="20"/>
        </w:rPr>
      </w:pPr>
      <w:r>
        <w:rPr>
          <w:rFonts w:ascii="Times New Roman" w:hAnsi="Times New Roman"/>
          <w:sz w:val="20"/>
        </w:rPr>
        <w:t xml:space="preserve">In addition, Melco International has the power, among other things, to elect or appoint all of the directors to our board, including our independent directors, appoint and change our management, affect our legal and capital structure and our day-to-day operations, approve material mergers, acquisitions, dispositions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other business combinations and approve any other material transactions and financings. These actions may be taken in many cases without the approval of other shareholders and the interests of Melco International may conflict with your interests as minority shareholders. </w:t>
      </w:r>
    </w:p>
    <w:p>
      <w:pPr>
        <w:pStyle w:val="TextBody"/>
        <w:spacing w:before="240" w:after="0"/>
        <w:jc w:val="left"/>
        <w:rPr>
          <w:rFonts w:ascii="Times New Roman" w:hAnsi="Times New Roman"/>
          <w:sz w:val="20"/>
        </w:rPr>
      </w:pPr>
      <w:r>
        <w:rPr>
          <w:rFonts w:ascii="Times New Roman" w:hAnsi="Times New Roman"/>
          <w:sz w:val="20"/>
        </w:rPr>
        <w:t xml:space="preserve">We have entered into various related party transactions with Melco International and its affiliates and subsidiaries. For example, we acquired a 75% equity interest in ICR Cyprus from Melco International on July 31, 2019. Prior to this acquisition, we had entered into arrangements with Melco International to provide planning, design, construction and other services to Melco International and its subsidiaries in connection with the City of Dreams Mediterranean project. In August 2022, we repurchased 9,995,799 ordinary shares and 25,000,000 ADSs, collectively representing approximately 5.5% of our Company’s outstanding shares at that time, from Melco Leisure. In March 2023, we repurchased 40,373,076 ordinary shares, representing approximately 3% of our Company’s outstanding shares at that time, from Melco Leisure. We may, from time to time, enter into additional agreements and arrangements with Melco International or its affiliates or subsidiaries in connection with other projects. We may, from time to time, purchase, acquire or invest in other assets, companies or projects held or sponsored by Melco International or its affiliates or subsidiaries or Melco International may make such purchases, acquisitions or investments in assets, companies or projects that our Company holds. The consideration or amount of such purchase, acquisition or investment may be material or significant. While we believe the terms of agreements and arrangements we have with Melco International or its affiliates or subsidiaries are commercially reasonable, the determination of such commercial terms are subject to judgment and estimates and we may have obtained different terms had we entered into such agreements or arrangements with independent third parties. </w:t>
      </w:r>
    </w:p>
    <w:p>
      <w:pPr>
        <w:pStyle w:val="TextBody"/>
        <w:spacing w:before="360" w:after="0"/>
        <w:jc w:val="left"/>
        <w:rPr>
          <w:rFonts w:ascii="Times New Roman" w:hAnsi="Times New Roman"/>
          <w:b/>
          <w:i/>
          <w:sz w:val="20"/>
        </w:rPr>
      </w:pPr>
      <w:r>
        <w:rPr>
          <w:rFonts w:ascii="Times New Roman" w:hAnsi="Times New Roman"/>
          <w:b/>
          <w:i/>
          <w:sz w:val="20"/>
        </w:rPr>
        <w:t xml:space="preserve">Melco International may pursue additional casino projects in Asia, Europe or elsewhere, which, along with its current operations, may compete with our projects in Macau, the Philippines and Cyprus, which could have material adverse consequences to us and the interests of our minority shareholders. </w:t>
      </w:r>
    </w:p>
    <w:p>
      <w:pPr>
        <w:pStyle w:val="TextBody"/>
        <w:spacing w:before="120" w:after="0"/>
        <w:jc w:val="left"/>
        <w:rPr>
          <w:rFonts w:ascii="Times New Roman" w:hAnsi="Times New Roman"/>
          <w:sz w:val="20"/>
        </w:rPr>
      </w:pPr>
      <w:r>
        <w:rPr>
          <w:rFonts w:ascii="Times New Roman" w:hAnsi="Times New Roman"/>
          <w:sz w:val="20"/>
        </w:rPr>
        <w:t xml:space="preserve">Melco International may take action to construct and operate new gaming projects located in other countries in the Asian region, Europe or elsewhere, which, along with its current operations, may compete with our projects in Macau, the Philippines and Cyprus and could have adverse consequences to us and the interests of our minority shareholders. We could face competition from these other gaming projects as well as competition from regional competitors. We expect to continue to receive significant support from Melco International in terms of its local experience, operating skills, international experience and high standards. Should Melco International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the Philippines and/or Cyprus, Melco International may make strategic decisions to focus on their other projects rather than us, which could adversely affect our growth. </w:t>
      </w:r>
    </w:p>
    <w:p>
      <w:pPr>
        <w:pStyle w:val="TextBody"/>
        <w:spacing w:before="240" w:after="0"/>
        <w:jc w:val="left"/>
        <w:rPr>
          <w:rFonts w:ascii="Times New Roman" w:hAnsi="Times New Roman"/>
          <w:sz w:val="20"/>
        </w:rPr>
      </w:pPr>
      <w:r>
        <w:rPr>
          <w:rFonts w:ascii="Times New Roman" w:hAnsi="Times New Roman"/>
          <w:sz w:val="20"/>
        </w:rPr>
        <w:t xml:space="preserve">Casinos and integrated gaming resorts are becoming increasingly popular in Asia, giving rise to more opportunities for industry participants and increasing regional competition. We cannot guarantee you that Melco International will make strategic and other decisions which do not adversely affect our business. </w:t>
      </w:r>
    </w:p>
    <w:p>
      <w:pPr>
        <w:pStyle w:val="TextBody"/>
        <w:spacing w:before="360" w:after="0"/>
        <w:jc w:val="left"/>
        <w:rPr>
          <w:rFonts w:ascii="Times New Roman" w:hAnsi="Times New Roman"/>
          <w:b/>
          <w:i/>
          <w:sz w:val="20"/>
        </w:rPr>
      </w:pPr>
      <w:r>
        <w:rPr>
          <w:rFonts w:ascii="Times New Roman" w:hAnsi="Times New Roman"/>
          <w:b/>
          <w:i/>
          <w:sz w:val="20"/>
        </w:rPr>
        <w:t xml:space="preserve">Changes in our share ownership, including a change of control of our shares or our subsidiaries’ shares, could result in our subsidiaries’ inability to draw loans or cause events of default under our subsidiaries’ indebtedness, or could require our subsidiaries to prepay or make offers to repurchase certain indebtedness, as well as potentially negatively affect our ability to retain our concession in Macau. </w:t>
      </w:r>
    </w:p>
    <w:p>
      <w:pPr>
        <w:pStyle w:val="TextBody"/>
        <w:spacing w:before="120" w:after="0"/>
        <w:jc w:val="left"/>
        <w:rPr>
          <w:rFonts w:ascii="Times New Roman" w:hAnsi="Times New Roman"/>
          <w:sz w:val="20"/>
        </w:rPr>
      </w:pPr>
      <w:r>
        <w:rPr>
          <w:rFonts w:ascii="Times New Roman" w:hAnsi="Times New Roman"/>
          <w:sz w:val="20"/>
        </w:rPr>
        <w:t xml:space="preserve">Credit facility agreements relating to certain of our indebtedness contain change of control provisions, including in respect of ownership over our shares as well as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us held by Melco International and the aggregate direct or indirect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shareholdings of certain of our subsidiaries held by us or certain of our subsidiaries (as the case may be) may result in an event of default and/or a cancellation of committed amounts as well as a requirement to prepay the credit facilities in relation to such indebtedness in full. Other applicable change of control events under the credit facility agreements include steps being taken in connection with the liquidation or dissolution of certain of our subsidiaries. </w:t>
      </w:r>
    </w:p>
    <w:p>
      <w:pPr>
        <w:pStyle w:val="TextBody"/>
        <w:spacing w:before="240" w:after="0"/>
        <w:jc w:val="left"/>
        <w:rPr>
          <w:rFonts w:ascii="Times New Roman" w:hAnsi="Times New Roman"/>
          <w:sz w:val="20"/>
        </w:rPr>
      </w:pPr>
      <w:r>
        <w:rPr>
          <w:rFonts w:ascii="Times New Roman" w:hAnsi="Times New Roman"/>
          <w:sz w:val="20"/>
        </w:rPr>
        <w:t xml:space="preserve">The terms of the Studio City Notes and the Melco Resorts Finance Notes also contain change of control provisions whereby the occurrence of a relevant change of control event will require us to offer to repurchase the Studio City Notes or the Melco Resorts Finance Notes (as the case may be) (and, in the case of a change of control event under the Melco Resorts Finance Notes, which is accompanied by a ratings decline) at a price equal to 101% of their principal amount, plus accrued and unpaid interest and, if any, additional amounts and other amounts specified under such indebtedness to the date of repurchase. </w:t>
      </w:r>
    </w:p>
    <w:p>
      <w:pPr>
        <w:pStyle w:val="TextBody"/>
        <w:spacing w:before="240" w:after="0"/>
        <w:jc w:val="left"/>
        <w:rPr>
          <w:rFonts w:ascii="Times New Roman" w:hAnsi="Times New Roman"/>
          <w:sz w:val="20"/>
        </w:rPr>
      </w:pPr>
      <w:r>
        <w:rPr>
          <w:rFonts w:ascii="Times New Roman" w:hAnsi="Times New Roman"/>
          <w:sz w:val="20"/>
        </w:rPr>
        <w:t xml:space="preserve">Any occurrence of these events could be outside our control and could result in events of default and cross-defaults which may cause the termination and acceleration of our credit facilities, the Studio City Notes and Melco Resorts Finance Notes and potential enforcement of remedies by our lenders or note holders (as the case may be), which would have a material adverse effect on our financial condition and results of operations. For example, Melco Leisure has pledged 677,360,904 ordinary shares of our Company held by it in connection with a credit facility entered into by it and Melco International. If they are unable to comply with certain covenants under such credit facility, it could result in the relevant lenders enforcing the pledge, which could result in a change of control in our Company that would trigger the above provisions under our credit facilities, the Studio City Notes and Melco Resorts Finance Notes. </w:t>
      </w:r>
    </w:p>
    <w:p>
      <w:pPr>
        <w:pStyle w:val="TextBody"/>
        <w:spacing w:before="240" w:after="0"/>
        <w:jc w:val="left"/>
        <w:rPr>
          <w:rFonts w:ascii="Times New Roman" w:hAnsi="Times New Roman"/>
          <w:sz w:val="20"/>
        </w:rPr>
      </w:pPr>
      <w:r>
        <w:rPr>
          <w:rFonts w:ascii="Times New Roman" w:hAnsi="Times New Roman"/>
          <w:sz w:val="20"/>
        </w:rPr>
        <w:t xml:space="preserve">Such a change of control would also potentially adversely affect our ability to retain our concession in Macau. In the event we are unable to retain our concession in Macau, our business, financial condition, cash flows and prospects may be materially and adversely affected, including as a result of the fact that, in such case, an event of default or a mandatory prepayment obligation would arise under our credit facilities and result in the cancellation of committed amounts as well as a requirement to prepay the credit facilities in relation to such indebtedness in full. Furthermore, under the terms of the Studio City Notes and the Melco Resorts Finance Notes, we would also be required to offer to repurchase the Studio City Notes and the Melco Resorts Finance Notes at a price equal to 100% of their principal amount, plus accrued and unpaid interest and, if any, additional amounts and other amounts specified under such indebtedness to the date of repurchase. We may not have sufficient funds to make such payments or be able to refinance such indebtedness or obtain additional debt to satisfy these obligations on acceptable terms, or at all. See also “— We may not be able to generate sufficient cash flow to meet our debt service obligations.” </w:t>
      </w:r>
    </w:p>
    <w:p>
      <w:pPr>
        <w:pStyle w:val="TextBody"/>
        <w:spacing w:before="360" w:after="0"/>
        <w:jc w:val="left"/>
        <w:rPr>
          <w:rFonts w:ascii="Times New Roman" w:hAnsi="Times New Roman"/>
          <w:b/>
          <w:i/>
          <w:sz w:val="20"/>
        </w:rPr>
      </w:pPr>
      <w:r>
        <w:rPr>
          <w:rFonts w:ascii="Times New Roman" w:hAnsi="Times New Roman"/>
          <w:b/>
          <w:i/>
          <w:sz w:val="20"/>
        </w:rPr>
        <w:t xml:space="preserve">Studio City International may be unable to remain in compliance with the New York Stock Exchange (“NYSE”) requirements for its continued listing and as a result the SC ADSs may be delisted from trading on the New York Stock Exchange, which could have a material effect on us and the liquidity of the SC ADSs and its Class A ordinary shares. </w:t>
      </w:r>
    </w:p>
    <w:p>
      <w:pPr>
        <w:pStyle w:val="TextBody"/>
        <w:spacing w:before="120" w:after="0"/>
        <w:jc w:val="left"/>
        <w:rPr>
          <w:rFonts w:ascii="Times New Roman" w:hAnsi="Times New Roman"/>
          <w:sz w:val="20"/>
        </w:rPr>
      </w:pPr>
      <w:r>
        <w:rPr>
          <w:rFonts w:ascii="Times New Roman" w:hAnsi="Times New Roman"/>
          <w:sz w:val="20"/>
        </w:rPr>
        <w:t xml:space="preserve">Our subsidiary, Studio City International, completed the Studio City IPO in 2018 and its SC ADSs have been listed on the New York Stock Exchange since then. In February 2020, Studio City International received a notice from the New York Stock Exchange notifying it that it was not in compliance with Section 802.01A of the New York Stock Exchange Listed Company Manual or the NYSE Manual, which requires the number of total shareholders of Studio City International’s capital stock be no less than 400 shareholders, or the NYSE Notice. Pursuant to the NYSE Notice, Studio City International became subject to the procedures set forth in Sections 801 and 802 of the NYSE Manual and was requested to submit a business plan within 90 days of receipt of the NYSE Notice that demonstrated how it expected to return to compliance with the minimum total shareholder requirement within a maximum period of 18 months of receipt of the notice. </w:t>
      </w:r>
    </w:p>
    <w:p>
      <w:pPr>
        <w:pStyle w:val="TextBody"/>
        <w:spacing w:before="240" w:after="0"/>
        <w:jc w:val="left"/>
        <w:rPr>
          <w:rFonts w:ascii="Times New Roman" w:hAnsi="Times New Roman"/>
          <w:sz w:val="20"/>
        </w:rPr>
      </w:pPr>
      <w:r>
        <w:rPr>
          <w:rFonts w:ascii="Times New Roman" w:hAnsi="Times New Roman"/>
          <w:sz w:val="20"/>
        </w:rPr>
        <w:t xml:space="preserve">In accordance with the timing requirement under the NYSE Notice, Studio City International submitted a business plan in May 2020, or the NYSE Business Plan. On July 2, 2020, Studio City International was notified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NYSE Business Plan was accepted by the New York Stock Exchange. In such notification, the New York Stock Exchange also notified it that it was not in compliance with the requirement under Section 802.01A of the NYSE Manual which requires the number of total shareholders of Studio City International’s capital stock to be no less than 1,200 shareholders if the average monthly volume of its ADSs is less than 100,000 for the most recent 12 months, or the Additional NYSE Non-Compliance Event, and subject to the procedures set forth in Sections 801 and 802 of the NYSE Manual for the Additional NYSE Non-Compliance Event. </w:t>
      </w:r>
    </w:p>
    <w:p>
      <w:pPr>
        <w:pStyle w:val="TextBody"/>
        <w:spacing w:before="240" w:after="0"/>
        <w:jc w:val="left"/>
        <w:rPr>
          <w:rFonts w:ascii="Times New Roman" w:hAnsi="Times New Roman"/>
          <w:sz w:val="20"/>
        </w:rPr>
      </w:pPr>
      <w:r>
        <w:rPr>
          <w:rFonts w:ascii="Times New Roman" w:hAnsi="Times New Roman"/>
          <w:sz w:val="20"/>
        </w:rPr>
        <w:t xml:space="preserve">On May 7, 2021, the NYSE notified Studio City International that it had regained compliance with the continued listing requirement contained in the initial NYSE Notice. Subsequently on July 30, 2021, the NYSE further notified Studio City International that it had regained compliance with the Additional NYSE Non-Compliance Event. </w:t>
      </w:r>
    </w:p>
    <w:p>
      <w:pPr>
        <w:pStyle w:val="TextBody"/>
        <w:spacing w:before="240" w:after="0"/>
        <w:jc w:val="left"/>
        <w:rPr>
          <w:rFonts w:ascii="Times New Roman" w:hAnsi="Times New Roman"/>
          <w:sz w:val="20"/>
        </w:rPr>
      </w:pPr>
      <w:r>
        <w:rPr>
          <w:rFonts w:ascii="Times New Roman" w:hAnsi="Times New Roman"/>
          <w:sz w:val="20"/>
        </w:rPr>
        <w:t xml:space="preserve">We cannot assure you that Studio City International can or will continually adhere to all of the continued listing requirements of the New York Stock Exchange, including those required to maintain our listing on the New York Stock Exchange, or that the New York Stock Exchange will not take any other action in the course of monitoring its compliance with the continued listing requirements of the New York Stock Exchange. If Studio City International is delisted from the New York Stock Exchange, the SC ADSs or its ordinary shares may be eligible for trading on an over-the-counter market in the United States. In the event that Studio City International is not able to obtain a listing on another U.S. stock exchange or quotation service for its ADSs, it may be extremely difficult for holders of the SC ADSs and its shareholders to sell their SC ADSs or ordinary shares in Studio City International. Moreover, if the SC ADSs are delisted from the New York Stock Exchange but listed elsewhere, it will likely be on a market with less liquidity and more price volatility than experienced on the New York Stock Exchange. Holders of the SC ADSs and its shareholders may not be able to sell their SC ADSs or ordinary shares in Studio City International on any such substitute market in the quantities, at the times or at the prices that could potentially be available on a more liquid trading market. In addition, following a delisting from the New York Stock Exchange, as direct or indirect holders of 5% or more of Studio City International’s shares are subject to suitability and financial capacity reviews by the DICJ, any direct or indirect sales of SC ADSs or ordinary shares in Studio City International representing 5% or more of its outstanding share capital may require prior approval by the Macau government. </w:t>
      </w:r>
    </w:p>
    <w:p>
      <w:pPr>
        <w:pStyle w:val="TextBody"/>
        <w:spacing w:before="360" w:after="0"/>
        <w:jc w:val="left"/>
        <w:rPr>
          <w:rFonts w:ascii="Times New Roman" w:hAnsi="Times New Roman"/>
          <w:b/>
          <w:sz w:val="20"/>
        </w:rPr>
      </w:pPr>
      <w:r>
        <w:rPr>
          <w:rFonts w:ascii="Times New Roman" w:hAnsi="Times New Roman"/>
          <w:b/>
          <w:sz w:val="20"/>
        </w:rPr>
        <w:t xml:space="preserve">Risks Relating to Our Financing and Indebtedness </w:t>
      </w:r>
    </w:p>
    <w:p>
      <w:pPr>
        <w:pStyle w:val="TextBody"/>
        <w:spacing w:before="120" w:after="0"/>
        <w:jc w:val="left"/>
        <w:rPr>
          <w:rFonts w:ascii="Times New Roman" w:hAnsi="Times New Roman"/>
          <w:b/>
          <w:i/>
          <w:sz w:val="20"/>
        </w:rPr>
      </w:pPr>
      <w:r>
        <w:rPr>
          <w:rFonts w:ascii="Times New Roman" w:hAnsi="Times New Roman"/>
          <w:b/>
          <w:i/>
          <w:sz w:val="20"/>
        </w:rPr>
        <w:t xml:space="preserve">Our current, projected and potential future indebtedness could impair our financial condition, which could further exacerbate the risks associated with our significant leverage. </w:t>
      </w:r>
    </w:p>
    <w:p>
      <w:pPr>
        <w:pStyle w:val="TextBody"/>
        <w:spacing w:before="120" w:after="0"/>
        <w:jc w:val="left"/>
        <w:rPr>
          <w:rFonts w:ascii="Times New Roman" w:hAnsi="Times New Roman"/>
          <w:sz w:val="20"/>
        </w:rPr>
      </w:pPr>
      <w:r>
        <w:rPr>
          <w:rFonts w:ascii="Times New Roman" w:hAnsi="Times New Roman"/>
          <w:sz w:val="20"/>
        </w:rPr>
        <w:t xml:space="preserve">We have incurred and expect to incur, based on current budgets and estimates, secured and unsecured long-term indebtedness. </w:t>
      </w:r>
    </w:p>
    <w:p>
      <w:pPr>
        <w:pStyle w:val="TextBody"/>
        <w:spacing w:before="240" w:after="0"/>
        <w:jc w:val="left"/>
        <w:rPr>
          <w:rFonts w:ascii="Times New Roman" w:hAnsi="Times New Roman"/>
          <w:sz w:val="20"/>
        </w:rPr>
      </w:pPr>
      <w:r>
        <w:rPr>
          <w:rFonts w:ascii="Times New Roman" w:hAnsi="Times New Roman"/>
          <w:sz w:val="20"/>
        </w:rPr>
        <w:t xml:space="preserve">Our outstanding indebtedness as of December 31, 2022 includes: </w:t>
      </w:r>
    </w:p>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75"/>
        <w:gridCol w:w="110"/>
        <w:gridCol w:w="60"/>
        <w:gridCol w:w="8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HK$14.83 billion (equivalent to approximately US$1.90 billion) under the 2020 Credit Facilities; </w:t>
            </w:r>
          </w:p>
        </w:tc>
      </w:tr>
    </w:tbl>
    <w:p>
      <w:pPr>
        <w:pStyle w:val="TextBody"/>
        <w:spacing w:before="0" w:after="0"/>
        <w:jc w:val="left"/>
        <w:rPr/>
      </w:pPr>
      <w:r>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HK$1.0 million (equivalent to approximately US$0.1 million) under the 2015 Credit Facilities; </w:t>
            </w:r>
          </w:p>
        </w:tc>
      </w:tr>
    </w:tbl>
    <w:p>
      <w:pPr>
        <w:pStyle w:val="TextBody"/>
        <w:spacing w:before="0" w:after="0"/>
        <w:jc w:val="left"/>
        <w:rPr/>
      </w:pPr>
      <w:r>
        <w:rPr/>
        <w:t> </w:t>
      </w:r>
    </w:p>
    <w:tbl>
      <w:tblPr>
        <w:tblW w:w="10180" w:type="dxa"/>
        <w:jc w:val="left"/>
        <w:tblInd w:w="0" w:type="dxa"/>
        <w:tblCellMar>
          <w:top w:w="0" w:type="dxa"/>
          <w:left w:w="0" w:type="dxa"/>
          <w:bottom w:w="0" w:type="dxa"/>
          <w:right w:w="0" w:type="dxa"/>
        </w:tblCellMar>
      </w:tblPr>
      <w:tblGrid>
        <w:gridCol w:w="75"/>
        <w:gridCol w:w="110"/>
        <w:gridCol w:w="60"/>
        <w:gridCol w:w="9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HK$1.0 million (equivalent to approximately US$0.1 million) under the 2028 Studio City Senior Secured Credit Facility; </w:t>
            </w:r>
          </w:p>
        </w:tc>
      </w:tr>
    </w:tbl>
    <w:p>
      <w:pPr>
        <w:pStyle w:val="TextBody"/>
        <w:spacing w:before="0" w:after="0"/>
        <w:jc w:val="left"/>
        <w:rPr/>
      </w:pPr>
      <w:r>
        <w:rPr/>
        <w:t> </w:t>
      </w:r>
    </w:p>
    <w:tbl>
      <w:tblPr>
        <w:tblW w:w="6940" w:type="dxa"/>
        <w:jc w:val="left"/>
        <w:tblInd w:w="0" w:type="dxa"/>
        <w:tblCellMar>
          <w:top w:w="0" w:type="dxa"/>
          <w:left w:w="0" w:type="dxa"/>
          <w:bottom w:w="0" w:type="dxa"/>
          <w:right w:w="0" w:type="dxa"/>
        </w:tblCellMar>
      </w:tblPr>
      <w:tblGrid>
        <w:gridCol w:w="75"/>
        <w:gridCol w:w="110"/>
        <w:gridCol w:w="60"/>
        <w:gridCol w:w="6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US$1.00 billion from Melco Resorts Finance’s issuance of the 2025 Senior Notes; </w:t>
            </w:r>
          </w:p>
        </w:tc>
      </w:tr>
    </w:tbl>
    <w:p>
      <w:pPr>
        <w:pStyle w:val="TextBody"/>
        <w:spacing w:before="0" w:after="0"/>
        <w:jc w:val="left"/>
        <w:rPr/>
      </w:pPr>
      <w:r>
        <w:rPr/>
        <w:t> </w:t>
      </w:r>
    </w:p>
    <w:tbl>
      <w:tblPr>
        <w:tblW w:w="6940" w:type="dxa"/>
        <w:jc w:val="left"/>
        <w:tblInd w:w="0" w:type="dxa"/>
        <w:tblCellMar>
          <w:top w:w="0" w:type="dxa"/>
          <w:left w:w="0" w:type="dxa"/>
          <w:bottom w:w="0" w:type="dxa"/>
          <w:right w:w="0" w:type="dxa"/>
        </w:tblCellMar>
      </w:tblPr>
      <w:tblGrid>
        <w:gridCol w:w="75"/>
        <w:gridCol w:w="110"/>
        <w:gridCol w:w="60"/>
        <w:gridCol w:w="6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US$1.15 billion from Melco Resorts Finance’s issuance of the 2029 Senior Notes; </w:t>
            </w:r>
          </w:p>
        </w:tc>
      </w:tr>
    </w:tbl>
    <w:p>
      <w:pPr>
        <w:pStyle w:val="TextBody"/>
        <w:spacing w:before="0" w:after="0"/>
        <w:jc w:val="left"/>
        <w:rPr/>
      </w:pPr>
      <w:r>
        <w:rPr/>
        <w:t> </w:t>
      </w:r>
    </w:p>
    <w:tbl>
      <w:tblPr>
        <w:tblW w:w="7135" w:type="dxa"/>
        <w:jc w:val="left"/>
        <w:tblInd w:w="0" w:type="dxa"/>
        <w:tblCellMar>
          <w:top w:w="0" w:type="dxa"/>
          <w:left w:w="0" w:type="dxa"/>
          <w:bottom w:w="0" w:type="dxa"/>
          <w:right w:w="0" w:type="dxa"/>
        </w:tblCellMar>
      </w:tblPr>
      <w:tblGrid>
        <w:gridCol w:w="75"/>
        <w:gridCol w:w="110"/>
        <w:gridCol w:w="60"/>
        <w:gridCol w:w="68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US$1.10 billion from Studio City Finance’s issuance of the 2029 Studio City Notes; </w:t>
            </w:r>
          </w:p>
        </w:tc>
      </w:tr>
    </w:tbl>
    <w:p>
      <w:pPr>
        <w:pStyle w:val="TextBody"/>
        <w:spacing w:before="0" w:after="0"/>
        <w:jc w:val="left"/>
        <w:rPr/>
      </w:pPr>
      <w:r>
        <w:rPr/>
        <w:t> </w:t>
      </w:r>
    </w:p>
    <w:tbl>
      <w:tblPr>
        <w:tblW w:w="7285" w:type="dxa"/>
        <w:jc w:val="left"/>
        <w:tblInd w:w="0" w:type="dxa"/>
        <w:tblCellMar>
          <w:top w:w="0" w:type="dxa"/>
          <w:left w:w="0" w:type="dxa"/>
          <w:bottom w:w="0" w:type="dxa"/>
          <w:right w:w="0" w:type="dxa"/>
        </w:tblCellMar>
      </w:tblPr>
      <w:tblGrid>
        <w:gridCol w:w="75"/>
        <w:gridCol w:w="110"/>
        <w:gridCol w:w="60"/>
        <w:gridCol w:w="7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US$500.0 million from Studio City Finance’s issuance of the 2025 Studio City Notes; </w:t>
            </w:r>
          </w:p>
        </w:tc>
      </w:tr>
    </w:tbl>
    <w:p>
      <w:pPr>
        <w:pStyle w:val="TextBody"/>
        <w:spacing w:before="0" w:after="0"/>
        <w:jc w:val="left"/>
        <w:rPr/>
      </w:pPr>
      <w:r>
        <w:rPr/>
        <w:t> </w:t>
      </w:r>
    </w:p>
    <w:tbl>
      <w:tblPr>
        <w:tblW w:w="7285" w:type="dxa"/>
        <w:jc w:val="left"/>
        <w:tblInd w:w="0" w:type="dxa"/>
        <w:tblCellMar>
          <w:top w:w="0" w:type="dxa"/>
          <w:left w:w="0" w:type="dxa"/>
          <w:bottom w:w="0" w:type="dxa"/>
          <w:right w:w="0" w:type="dxa"/>
        </w:tblCellMar>
      </w:tblPr>
      <w:tblGrid>
        <w:gridCol w:w="75"/>
        <w:gridCol w:w="110"/>
        <w:gridCol w:w="60"/>
        <w:gridCol w:w="7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US$500.0 million from Studio City Finance’s issuance of the 2028 Studio City Notes;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rPr/>
      </w:pPr>
      <w:r>
        <w:rPr/>
      </w:r>
    </w:p>
    <w:p>
      <w:pPr>
        <w:pStyle w:val="Heading5"/>
        <w:rPr/>
      </w:pPr>
      <w:hyperlink w:anchor="toc">
        <w:r>
          <w:rPr>
            <w:rStyle w:val="InternetLink"/>
          </w:rPr>
          <w:t>Table of Contents</w:t>
        </w:r>
      </w:hyperlink>
    </w:p>
    <w:tbl>
      <w:tblPr>
        <w:tblW w:w="7090" w:type="dxa"/>
        <w:jc w:val="left"/>
        <w:tblInd w:w="0" w:type="dxa"/>
        <w:tblCellMar>
          <w:top w:w="0" w:type="dxa"/>
          <w:left w:w="0" w:type="dxa"/>
          <w:bottom w:w="0" w:type="dxa"/>
          <w:right w:w="0" w:type="dxa"/>
        </w:tblCellMar>
      </w:tblPr>
      <w:tblGrid>
        <w:gridCol w:w="75"/>
        <w:gridCol w:w="110"/>
        <w:gridCol w:w="60"/>
        <w:gridCol w:w="6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US$500.0 million from Melco Resorts Finance’s issuance of the 2026 Senior Notes; </w:t>
            </w:r>
          </w:p>
        </w:tc>
      </w:tr>
    </w:tbl>
    <w:p>
      <w:pPr>
        <w:pStyle w:val="TextBody"/>
        <w:spacing w:before="0" w:after="0"/>
        <w:jc w:val="left"/>
        <w:rPr/>
      </w:pPr>
      <w:r>
        <w:rPr/>
        <w:t> </w:t>
      </w:r>
    </w:p>
    <w:tbl>
      <w:tblPr>
        <w:tblW w:w="7090" w:type="dxa"/>
        <w:jc w:val="left"/>
        <w:tblInd w:w="0" w:type="dxa"/>
        <w:tblCellMar>
          <w:top w:w="0" w:type="dxa"/>
          <w:left w:w="0" w:type="dxa"/>
          <w:bottom w:w="0" w:type="dxa"/>
          <w:right w:w="0" w:type="dxa"/>
        </w:tblCellMar>
      </w:tblPr>
      <w:tblGrid>
        <w:gridCol w:w="75"/>
        <w:gridCol w:w="110"/>
        <w:gridCol w:w="60"/>
        <w:gridCol w:w="6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8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US$600.0 million from Melco Resorts Finance’s issuance of the 2027 Senior Notes; </w:t>
            </w:r>
          </w:p>
        </w:tc>
      </w:tr>
    </w:tbl>
    <w:p>
      <w:pPr>
        <w:pStyle w:val="TextBody"/>
        <w:spacing w:before="0" w:after="0"/>
        <w:jc w:val="left"/>
        <w:rPr/>
      </w:pPr>
      <w:r>
        <w:rPr/>
        <w:t> </w:t>
      </w:r>
    </w:p>
    <w:tbl>
      <w:tblPr>
        <w:tblW w:w="7435" w:type="dxa"/>
        <w:jc w:val="left"/>
        <w:tblInd w:w="0" w:type="dxa"/>
        <w:tblCellMar>
          <w:top w:w="0" w:type="dxa"/>
          <w:left w:w="0" w:type="dxa"/>
          <w:bottom w:w="0" w:type="dxa"/>
          <w:right w:w="0" w:type="dxa"/>
        </w:tblCellMar>
      </w:tblPr>
      <w:tblGrid>
        <w:gridCol w:w="75"/>
        <w:gridCol w:w="110"/>
        <w:gridCol w:w="60"/>
        <w:gridCol w:w="7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US$850.0 million from Melco Resorts Finance’s issuance of the 2028 Senior Notes; and </w:t>
            </w:r>
          </w:p>
        </w:tc>
      </w:tr>
    </w:tbl>
    <w:p>
      <w:pPr>
        <w:pStyle w:val="TextBody"/>
        <w:spacing w:before="0" w:after="0"/>
        <w:jc w:val="left"/>
        <w:rPr/>
      </w:pPr>
      <w:r>
        <w:rPr/>
        <w:t> </w:t>
      </w:r>
    </w:p>
    <w:tbl>
      <w:tblPr>
        <w:tblW w:w="7420" w:type="dxa"/>
        <w:jc w:val="left"/>
        <w:tblInd w:w="0" w:type="dxa"/>
        <w:tblCellMar>
          <w:top w:w="0" w:type="dxa"/>
          <w:left w:w="0" w:type="dxa"/>
          <w:bottom w:w="0" w:type="dxa"/>
          <w:right w:w="0" w:type="dxa"/>
        </w:tblCellMar>
      </w:tblPr>
      <w:tblGrid>
        <w:gridCol w:w="75"/>
        <w:gridCol w:w="110"/>
        <w:gridCol w:w="60"/>
        <w:gridCol w:w="71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US$350.0 million from Studio City Company’s issuance of the 2027 Studio City Notes. </w:t>
            </w:r>
          </w:p>
        </w:tc>
      </w:tr>
    </w:tbl>
    <w:p>
      <w:pPr>
        <w:pStyle w:val="TextBody"/>
        <w:spacing w:before="240" w:after="0"/>
        <w:jc w:val="left"/>
        <w:rPr>
          <w:rFonts w:ascii="Times New Roman" w:hAnsi="Times New Roman"/>
          <w:sz w:val="20"/>
        </w:rPr>
      </w:pPr>
      <w:r>
        <w:rPr>
          <w:rFonts w:ascii="Times New Roman" w:hAnsi="Times New Roman"/>
          <w:sz w:val="20"/>
        </w:rPr>
        <w:t xml:space="preserve">We may incur further indebtedness to finance any future projects or phases of projects, or for general corporate purposes. </w:t>
      </w:r>
    </w:p>
    <w:p>
      <w:pPr>
        <w:pStyle w:val="TextBody"/>
        <w:spacing w:before="240" w:after="0"/>
        <w:jc w:val="left"/>
        <w:rPr>
          <w:rFonts w:ascii="Times New Roman" w:hAnsi="Times New Roman"/>
          <w:sz w:val="20"/>
        </w:rPr>
      </w:pPr>
      <w:r>
        <w:rPr>
          <w:rFonts w:ascii="Times New Roman" w:hAnsi="Times New Roman"/>
          <w:sz w:val="20"/>
        </w:rPr>
        <w:t xml:space="preserve">Our significant indebtedness could have material consequences. For example, it could: </w:t>
      </w:r>
    </w:p>
    <w:p>
      <w:pPr>
        <w:pStyle w:val="TextBody"/>
        <w:spacing w:before="0" w:after="0"/>
        <w:jc w:val="left"/>
        <w:rPr/>
      </w:pPr>
      <w:r>
        <w:rPr/>
        <w:t> </w:t>
      </w:r>
    </w:p>
    <w:tbl>
      <w:tblPr>
        <w:tblW w:w="4660" w:type="dxa"/>
        <w:jc w:val="left"/>
        <w:tblInd w:w="0" w:type="dxa"/>
        <w:tblCellMar>
          <w:top w:w="0" w:type="dxa"/>
          <w:left w:w="0" w:type="dxa"/>
          <w:bottom w:w="0" w:type="dxa"/>
          <w:right w:w="0" w:type="dxa"/>
        </w:tblCellMar>
      </w:tblPr>
      <w:tblGrid>
        <w:gridCol w:w="75"/>
        <w:gridCol w:w="110"/>
        <w:gridCol w:w="60"/>
        <w:gridCol w:w="44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make it difficult for us to satisfy our debt obligations;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 our vulnerability to general adverse economic and industry conditions, including disruptions to global economic conditions as a result of global COVID-19 outbreaks;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impair our ability to obtain additional financing in the future for working capital needs, capital expenditures, acquisitions or general corporate purposes;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require us to dedicate a significant portion of our cash flow from operations to the payment of principal and interest on our debt, which would reduce the funds available to us for our operations or expansion of our existing operations; </w:t>
            </w:r>
          </w:p>
        </w:tc>
      </w:tr>
    </w:tbl>
    <w:p>
      <w:pPr>
        <w:pStyle w:val="TextBody"/>
        <w:spacing w:before="0" w:after="0"/>
        <w:jc w:val="left"/>
        <w:rPr/>
      </w:pPr>
      <w:r>
        <w:rPr/>
        <w:t> </w:t>
      </w:r>
    </w:p>
    <w:tbl>
      <w:tblPr>
        <w:tblW w:w="9430" w:type="dxa"/>
        <w:jc w:val="left"/>
        <w:tblInd w:w="0" w:type="dxa"/>
        <w:tblCellMar>
          <w:top w:w="0" w:type="dxa"/>
          <w:left w:w="0" w:type="dxa"/>
          <w:bottom w:w="0" w:type="dxa"/>
          <w:right w:w="0" w:type="dxa"/>
        </w:tblCellMar>
      </w:tblPr>
      <w:tblGrid>
        <w:gridCol w:w="75"/>
        <w:gridCol w:w="110"/>
        <w:gridCol w:w="60"/>
        <w:gridCol w:w="9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the industry in which we operate; </w:t>
            </w:r>
          </w:p>
        </w:tc>
      </w:tr>
    </w:tbl>
    <w:p>
      <w:pPr>
        <w:pStyle w:val="TextBody"/>
        <w:spacing w:before="0" w:after="0"/>
        <w:jc w:val="left"/>
        <w:rPr/>
      </w:pPr>
      <w:r>
        <w:rPr/>
        <w:t> </w:t>
      </w:r>
    </w:p>
    <w:tbl>
      <w:tblPr>
        <w:tblW w:w="9625" w:type="dxa"/>
        <w:jc w:val="left"/>
        <w:tblInd w:w="0" w:type="dxa"/>
        <w:tblCellMar>
          <w:top w:w="0" w:type="dxa"/>
          <w:left w:w="0" w:type="dxa"/>
          <w:bottom w:w="0" w:type="dxa"/>
          <w:right w:w="0" w:type="dxa"/>
        </w:tblCellMar>
      </w:tblPr>
      <w:tblGrid>
        <w:gridCol w:w="75"/>
        <w:gridCol w:w="110"/>
        <w:gridCol w:w="60"/>
        <w:gridCol w:w="9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place us at a competitive disadvantage as compared to our competitors, to the extent that they are not as leveraged;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subject us to higher interest expenses in the event of increases in interest rates to the extent a portion of our indebtedness bears interest at variable rates;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cause us to incur additional expenses by hedging interest rate exposures of our indebtedness and exposure to hedging counterparty failures to pay under such hedging arrangements, which would reduce the funds available to us to fund our operations;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event we or one of our subsidiaries were to default, result in the loss of all or a substantial portion of our and/or our subsidiaries’ assets over which our creditors have taken or will take security. </w:t>
            </w:r>
          </w:p>
        </w:tc>
      </w:tr>
    </w:tbl>
    <w:p>
      <w:pPr>
        <w:pStyle w:val="TextBody"/>
        <w:spacing w:before="240" w:after="0"/>
        <w:jc w:val="left"/>
        <w:rPr>
          <w:rFonts w:ascii="Times New Roman" w:hAnsi="Times New Roman"/>
          <w:sz w:val="20"/>
        </w:rPr>
      </w:pPr>
      <w:r>
        <w:rPr>
          <w:rFonts w:ascii="Times New Roman" w:hAnsi="Times New Roman"/>
          <w:sz w:val="20"/>
        </w:rPr>
        <w:t xml:space="preserve">Any of the above or other consequences or events could have a material adverse effects on our ability to satisfy our other obligations. </w:t>
      </w:r>
    </w:p>
    <w:p>
      <w:pPr>
        <w:pStyle w:val="TextBody"/>
        <w:spacing w:before="360" w:after="0"/>
        <w:jc w:val="left"/>
        <w:rPr>
          <w:rFonts w:ascii="Times New Roman" w:hAnsi="Times New Roman"/>
          <w:b/>
          <w:i/>
          <w:sz w:val="20"/>
        </w:rPr>
      </w:pPr>
      <w:r>
        <w:rPr>
          <w:rFonts w:ascii="Times New Roman" w:hAnsi="Times New Roman"/>
          <w:b/>
          <w:i/>
          <w:sz w:val="20"/>
        </w:rPr>
        <w:t xml:space="preserve">We may require additional financing to complete our investment projects or in our business operations, which may not be available on satisfactory terms or at all. </w:t>
      </w:r>
    </w:p>
    <w:p>
      <w:pPr>
        <w:pStyle w:val="TextBody"/>
        <w:spacing w:before="120" w:after="0"/>
        <w:jc w:val="left"/>
        <w:rPr>
          <w:rFonts w:ascii="Times New Roman" w:hAnsi="Times New Roman"/>
          <w:sz w:val="20"/>
        </w:rPr>
      </w:pPr>
      <w:r>
        <w:rPr>
          <w:rFonts w:ascii="Times New Roman" w:hAnsi="Times New Roman"/>
          <w:sz w:val="20"/>
        </w:rPr>
        <w:t xml:space="preserve">We have funded our capital investment projects through, among others, cash generated from our operations, credit facilities, issuance of debt securities and other debt and equity financings. For example, we used such capital resources to fund the development of the remaining land for our Studio City development project, and we may require additional financing in the future for our capital investment projects, which we may raise through debt or equity financing. In connection with the Concession Contract, Melco Resorts Macau committed to an overall investment of MOP11,823,700,000 (equivalent to approximately US$1.5 billion) and incremental additional non-gaming investment in the amount of approximately 20% of its initial non-gaming investment, or MOP2,003,000,000 (equivalent to approximately US$249.0 million), in the event Macau’s annual gross gaming revenue reaches MOP180,000,000,000 (equivalent to approximately US$22.4 billion) (“Incremental Investment Trigger”), which incremental investment amount is reduced to 16%, 12%, 8%, 4% of the initial non-gaming investment amount or nil, if the Incremental Investment Trigger occurs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year 6, year 7, year 8, year 9 or year 10 of the Concession Contract, respectively. We may also require additional financing in the future to fund our business operations. We may be required to obtain approval from, or consent of, or notify relevant government authorities or third parties in order to enter into such financings. There are no assurances that we would be able to obtain any required approval or consent from the relevant government authorities or third parties with respect to such financing in a timely manner or at all. </w:t>
      </w:r>
    </w:p>
    <w:p>
      <w:pPr>
        <w:pStyle w:val="TextBody"/>
        <w:spacing w:before="240" w:after="0"/>
        <w:jc w:val="left"/>
        <w:rPr>
          <w:rFonts w:ascii="Times New Roman" w:hAnsi="Times New Roman"/>
          <w:sz w:val="20"/>
        </w:rPr>
      </w:pPr>
      <w:r>
        <w:rPr>
          <w:rFonts w:ascii="Times New Roman" w:hAnsi="Times New Roman"/>
          <w:sz w:val="20"/>
        </w:rPr>
        <w:t xml:space="preserve">Any financing related to the above may also be subject to, among others, the terms of credit facilities, the Melco Resorts Finance Notes and the Studio City Notes and any future financings. In addition, our ability to obtain debt or equity financing on acceptable terms depends on a variety of factors that are beyond our control, including market conditions such as the economic disruptions as a result of global COVID-19 outbreaks, investors’ and lenders’ perceptions of, and demand for, debt and equity securities of gaming companies and interest rates. For example, changes in rating outlooks may subject us to rating agency downgrades, which could make it more difficult for us to obtain financing on acceptable terms. Central banks across the world have been increasing interest rates at an accelerated pace in 2022 which in turn could increase our borrowing costs. The sell-off in Chinese property bonds in 2022 also negatively impacted the market for high yield bonds of issuers in other sectors connected with the PRC, including those issued by Macau gaming operators. As a result, we cannot assure you that we will be able to obtain sufficient financing on terms satisfactory to us, or at all, to finance our capital investment projects. If we are unable to obtain such funding, our business, cash flow, financial condition, results of operations and prospects could be materially and adversely affected. We may, from time to time, seek to obtain new financings or refinance our outstanding debt through international markets. Any such financing or refinancing, and our evaluation thereof, will depend on the prevailing market conditions, our liquidity requirements, contractual restrictions and other factors. The amounts involved may be material. See “Item 3. Key Information — D. Risk Factors — Risks Relating to Operating in the Gaming Industry in Macau — Our business and operations in Macau are dependent upon our concession and, if we fail to comply with the complex legal and regulatory regime in Macau, our concession may be subject to revocation,” “Item 3. Key Information — D. Risk Factors — Risks Relating to Our Financing and Indebtedness — Any inability to maintain current financing or obtain future financing could result in delays in our project development schedule and could impact our ability to comply with the terms of the Concession Contract and generate revenues from operations at our present and future projects” and “Item 4. Information on the Company — B. Business Overview — Regulations — Gaming Licenses — The Concession Contract in Macau.” </w:t>
      </w:r>
    </w:p>
    <w:p>
      <w:pPr>
        <w:pStyle w:val="TextBody"/>
        <w:spacing w:before="360" w:after="0"/>
        <w:jc w:val="left"/>
        <w:rPr>
          <w:rFonts w:ascii="Times New Roman" w:hAnsi="Times New Roman"/>
          <w:b/>
          <w:i/>
          <w:sz w:val="20"/>
        </w:rPr>
      </w:pPr>
      <w:r>
        <w:rPr>
          <w:rFonts w:ascii="Times New Roman" w:hAnsi="Times New Roman"/>
          <w:b/>
          <w:i/>
          <w:sz w:val="20"/>
        </w:rPr>
        <w:t xml:space="preserve">We may not be able to generate sufficient cash flow to meet our debt service obligations. </w:t>
      </w:r>
    </w:p>
    <w:p>
      <w:pPr>
        <w:pStyle w:val="TextBody"/>
        <w:spacing w:before="120" w:after="0"/>
        <w:jc w:val="left"/>
        <w:rPr>
          <w:rFonts w:ascii="Times New Roman" w:hAnsi="Times New Roman"/>
          <w:sz w:val="20"/>
        </w:rPr>
      </w:pPr>
      <w:r>
        <w:rPr>
          <w:rFonts w:ascii="Times New Roman" w:hAnsi="Times New Roman"/>
          <w:sz w:val="20"/>
        </w:rPr>
        <w:t xml:space="preserve">Our ability to make scheduled payments due on our existing and anticipated indebtedness obligations, including our credit facilities, the Melco Resorts Finance Notes and Studio City Notes, to refinance and to fund working capital needs, planned capital expenditures and development efforts will depend on our ability to generate cash. We will require generation of sufficient operating cash flow from our projects to service our current and future projected indebtedness. Our ability to obtain cash to service our existing and projected debt is subject to a range of economic, financial, competitive, legislative, regulatory, business and other factors, many of which are beyond our control, including: </w:t>
      </w:r>
    </w:p>
    <w:p>
      <w:pPr>
        <w:pStyle w:val="TextBody"/>
        <w:spacing w:before="0" w:after="0"/>
        <w:jc w:val="left"/>
        <w:rPr/>
      </w:pPr>
      <w:r>
        <w:rPr/>
        <w:t> </w:t>
      </w:r>
    </w:p>
    <w:tbl>
      <w:tblPr>
        <w:tblW w:w="3055" w:type="dxa"/>
        <w:jc w:val="left"/>
        <w:tblInd w:w="0" w:type="dxa"/>
        <w:tblCellMar>
          <w:top w:w="0" w:type="dxa"/>
          <w:left w:w="0" w:type="dxa"/>
          <w:bottom w:w="0" w:type="dxa"/>
          <w:right w:w="0" w:type="dxa"/>
        </w:tblCellMar>
      </w:tblPr>
      <w:tblGrid>
        <w:gridCol w:w="75"/>
        <w:gridCol w:w="110"/>
        <w:gridCol w:w="60"/>
        <w:gridCol w:w="2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future operating performance; </w:t>
            </w:r>
          </w:p>
        </w:tc>
      </w:tr>
    </w:tbl>
    <w:p>
      <w:pPr>
        <w:pStyle w:val="TextBody"/>
        <w:spacing w:before="0" w:after="0"/>
        <w:jc w:val="left"/>
        <w:rPr/>
      </w:pPr>
      <w:r>
        <w:rPr/>
        <w:t> </w:t>
      </w:r>
    </w:p>
    <w:tbl>
      <w:tblPr>
        <w:tblW w:w="3595" w:type="dxa"/>
        <w:jc w:val="left"/>
        <w:tblInd w:w="0" w:type="dxa"/>
        <w:tblCellMar>
          <w:top w:w="0" w:type="dxa"/>
          <w:left w:w="0" w:type="dxa"/>
          <w:bottom w:w="0" w:type="dxa"/>
          <w:right w:w="0" w:type="dxa"/>
        </w:tblCellMar>
      </w:tblPr>
      <w:tblGrid>
        <w:gridCol w:w="75"/>
        <w:gridCol w:w="110"/>
        <w:gridCol w:w="60"/>
        <w:gridCol w:w="3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demand for services that we provide;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economic conditions and economic conditions affecting the PRC, Macau, the Philippines, Cyprus or the gaming industry in particular, including market conditions such as the economic disruptions as a result of global COVID-19 outbreaks and increases in inflation; </w:t>
            </w:r>
          </w:p>
        </w:tc>
      </w:tr>
    </w:tbl>
    <w:p>
      <w:pPr>
        <w:pStyle w:val="TextBody"/>
        <w:spacing w:before="0" w:after="0"/>
        <w:jc w:val="left"/>
        <w:rPr/>
      </w:pPr>
      <w:r>
        <w:rPr/>
        <w:t> </w:t>
      </w:r>
    </w:p>
    <w:tbl>
      <w:tblPr>
        <w:tblW w:w="6625" w:type="dxa"/>
        <w:jc w:val="left"/>
        <w:tblInd w:w="0" w:type="dxa"/>
        <w:tblCellMar>
          <w:top w:w="0" w:type="dxa"/>
          <w:left w:w="0" w:type="dxa"/>
          <w:bottom w:w="0" w:type="dxa"/>
          <w:right w:w="0" w:type="dxa"/>
        </w:tblCellMar>
      </w:tblPr>
      <w:tblGrid>
        <w:gridCol w:w="75"/>
        <w:gridCol w:w="110"/>
        <w:gridCol w:w="60"/>
        <w:gridCol w:w="63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our ability to hire and retain employees and management at a reasonable cost; </w:t>
            </w:r>
          </w:p>
        </w:tc>
      </w:tr>
    </w:tbl>
    <w:p>
      <w:pPr>
        <w:pStyle w:val="TextBody"/>
        <w:spacing w:before="0" w:after="0"/>
        <w:jc w:val="left"/>
        <w:rPr/>
      </w:pPr>
      <w:r>
        <w:rPr/>
        <w:t> </w:t>
      </w:r>
    </w:p>
    <w:tbl>
      <w:tblPr>
        <w:tblW w:w="1720" w:type="dxa"/>
        <w:jc w:val="left"/>
        <w:tblInd w:w="0" w:type="dxa"/>
        <w:tblCellMar>
          <w:top w:w="0" w:type="dxa"/>
          <w:left w:w="0" w:type="dxa"/>
          <w:bottom w:w="0" w:type="dxa"/>
          <w:right w:w="0" w:type="dxa"/>
        </w:tblCellMar>
      </w:tblPr>
      <w:tblGrid>
        <w:gridCol w:w="75"/>
        <w:gridCol w:w="110"/>
        <w:gridCol w:w="60"/>
        <w:gridCol w:w="1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competition; and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legislative and regulatory factors affecting our operations and business.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may not be able to generate sufficient cash flow from operations to satisfy our existing and projected indebtedness obligations or our other liquidity needs, in which case we may have to seek additional borrowings or undertake alternative financing plans, such as refinancing or restructuring our indebtedness, selling assets, reducing or delaying capital investments or seek to raise additional capital on terms that may be onerous or highly dilutive, any of which could have a material adverse effect on our operations. </w:t>
      </w:r>
    </w:p>
    <w:p>
      <w:pPr>
        <w:pStyle w:val="TextBody"/>
        <w:spacing w:before="240" w:after="0"/>
        <w:jc w:val="left"/>
        <w:rPr>
          <w:rFonts w:ascii="Times New Roman" w:hAnsi="Times New Roman"/>
          <w:sz w:val="20"/>
        </w:rPr>
      </w:pPr>
      <w:r>
        <w:rPr>
          <w:rFonts w:ascii="Times New Roman" w:hAnsi="Times New Roman"/>
          <w:sz w:val="20"/>
        </w:rPr>
        <w:t xml:space="preserve">Our ability to incur additional borrowings or refinance our indebtedness, including our credit facilities, the Melco Resorts Finance Notes and Studio City Notes, will depend on the condition of the financing and capital markets, our financial condition at such time and potentially governmental approval. We cannot assure you that any additional borrowing, refinancing or restructuring would be possible or that any assets could be sold or, if sold, the timing of any sale or the amount of proceeds that would be realized from any such sale. We cannot assure you that additional financing could be obtained on acceptable terms, if at all, or would be permitted under the terms of our various debt instruments then in effect, including the indentures governing the Melco Resorts Finance Notes and Studio City Notes. </w:t>
      </w:r>
    </w:p>
    <w:p>
      <w:pPr>
        <w:pStyle w:val="TextBody"/>
        <w:spacing w:before="240" w:after="0"/>
        <w:jc w:val="left"/>
        <w:rPr>
          <w:rFonts w:ascii="Times New Roman" w:hAnsi="Times New Roman"/>
          <w:sz w:val="20"/>
        </w:rPr>
      </w:pPr>
      <w:r>
        <w:rPr>
          <w:rFonts w:ascii="Times New Roman" w:hAnsi="Times New Roman"/>
          <w:sz w:val="20"/>
        </w:rPr>
        <w:t xml:space="preserve">In addition, any failure to make scheduled payments of interest or principal on our outstanding indebtedness would likely result in a reduction of our credit rating and constitute an event of default, which would harm our ability to incur additional indebtedness on commercially reasonable terms or at all. Our failure to generate sufficient cash flow to satisfy our existing and projected indebtedness obligations or other liquidity needs, or to refinance our obligations on commercially acceptable terms or at all, could have a material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 </w:t>
      </w:r>
    </w:p>
    <w:p>
      <w:pPr>
        <w:pStyle w:val="TextBody"/>
        <w:spacing w:before="120" w:after="0"/>
        <w:jc w:val="left"/>
        <w:rPr>
          <w:rFonts w:ascii="Times New Roman" w:hAnsi="Times New Roman"/>
          <w:sz w:val="20"/>
        </w:rPr>
      </w:pPr>
      <w:r>
        <w:rPr>
          <w:rFonts w:ascii="Times New Roman" w:hAnsi="Times New Roman"/>
          <w:sz w:val="20"/>
        </w:rPr>
        <w:t xml:space="preserve">The agreements governing our credit facilities and debt instruments contain restrictions on our ability to engage in certain transactions and may limit our ability to respond to changing business and economic conditions, including regulatory changes, or otherwise take actions that may be in our best interests. Certain of these agreements have restrictions that include, among other things, limitations on our ability and the ability of our restricted subsidiaries or other members of our obligor group to do some or all of the following: </w:t>
      </w:r>
    </w:p>
    <w:p>
      <w:pPr>
        <w:pStyle w:val="TextBody"/>
        <w:spacing w:before="0" w:after="0"/>
        <w:jc w:val="left"/>
        <w:rPr/>
      </w:pPr>
      <w:r>
        <w:rPr/>
        <w:t> </w:t>
      </w:r>
    </w:p>
    <w:tbl>
      <w:tblPr>
        <w:tblW w:w="4525" w:type="dxa"/>
        <w:jc w:val="left"/>
        <w:tblInd w:w="0" w:type="dxa"/>
        <w:tblCellMar>
          <w:top w:w="0" w:type="dxa"/>
          <w:left w:w="0" w:type="dxa"/>
          <w:bottom w:w="0" w:type="dxa"/>
          <w:right w:w="0" w:type="dxa"/>
        </w:tblCellMar>
      </w:tblPr>
      <w:tblGrid>
        <w:gridCol w:w="75"/>
        <w:gridCol w:w="110"/>
        <w:gridCol w:w="60"/>
        <w:gridCol w:w="42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 dividends or distributions or repurchase equity;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make loans, payments on certain indebtedness, distributions and other restricted payments or apply revenues earned in one part of our operations to fund development costs or cover operating losses in another part of our operations; </w:t>
            </w:r>
          </w:p>
        </w:tc>
      </w:tr>
    </w:tbl>
    <w:p>
      <w:pPr>
        <w:pStyle w:val="TextBody"/>
        <w:spacing w:before="0" w:after="0"/>
        <w:jc w:val="left"/>
        <w:rPr/>
      </w:pPr>
      <w:r>
        <w:rPr/>
        <w:t> </w:t>
      </w:r>
    </w:p>
    <w:tbl>
      <w:tblPr>
        <w:tblW w:w="3895" w:type="dxa"/>
        <w:jc w:val="left"/>
        <w:tblInd w:w="0" w:type="dxa"/>
        <w:tblCellMar>
          <w:top w:w="0" w:type="dxa"/>
          <w:left w:w="0" w:type="dxa"/>
          <w:bottom w:w="0" w:type="dxa"/>
          <w:right w:w="0" w:type="dxa"/>
        </w:tblCellMar>
      </w:tblPr>
      <w:tblGrid>
        <w:gridCol w:w="75"/>
        <w:gridCol w:w="110"/>
        <w:gridCol w:w="60"/>
        <w:gridCol w:w="3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incur additional debt, including guarantees; </w:t>
            </w:r>
          </w:p>
        </w:tc>
      </w:tr>
    </w:tbl>
    <w:p>
      <w:pPr>
        <w:pStyle w:val="TextBody"/>
        <w:spacing w:before="0" w:after="0"/>
        <w:jc w:val="left"/>
        <w:rPr/>
      </w:pPr>
      <w:r>
        <w:rPr/>
        <w:t> </w:t>
      </w:r>
    </w:p>
    <w:tbl>
      <w:tblPr>
        <w:tblW w:w="2440" w:type="dxa"/>
        <w:jc w:val="left"/>
        <w:tblInd w:w="0" w:type="dxa"/>
        <w:tblCellMar>
          <w:top w:w="0" w:type="dxa"/>
          <w:left w:w="0" w:type="dxa"/>
          <w:bottom w:w="0" w:type="dxa"/>
          <w:right w:w="0" w:type="dxa"/>
        </w:tblCellMar>
      </w:tblPr>
      <w:tblGrid>
        <w:gridCol w:w="75"/>
        <w:gridCol w:w="110"/>
        <w:gridCol w:w="60"/>
        <w:gridCol w:w="2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make certain investments; </w:t>
            </w:r>
          </w:p>
        </w:tc>
      </w:tr>
    </w:tbl>
    <w:p>
      <w:pPr>
        <w:pStyle w:val="TextBody"/>
        <w:spacing w:before="0" w:after="0"/>
        <w:jc w:val="left"/>
        <w:rPr/>
      </w:pPr>
      <w:r>
        <w:rPr/>
        <w:t> </w:t>
      </w:r>
    </w:p>
    <w:tbl>
      <w:tblPr>
        <w:tblW w:w="3235" w:type="dxa"/>
        <w:jc w:val="left"/>
        <w:tblInd w:w="0" w:type="dxa"/>
        <w:tblCellMar>
          <w:top w:w="0" w:type="dxa"/>
          <w:left w:w="0" w:type="dxa"/>
          <w:bottom w:w="0" w:type="dxa"/>
          <w:right w:w="0" w:type="dxa"/>
        </w:tblCellMar>
      </w:tblPr>
      <w:tblGrid>
        <w:gridCol w:w="75"/>
        <w:gridCol w:w="110"/>
        <w:gridCol w:w="60"/>
        <w:gridCol w:w="2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create liens on assets to secure debt; </w:t>
            </w:r>
          </w:p>
        </w:tc>
      </w:tr>
    </w:tbl>
    <w:p>
      <w:pPr>
        <w:pStyle w:val="TextBody"/>
        <w:spacing w:before="0" w:after="0"/>
        <w:jc w:val="left"/>
        <w:rPr/>
      </w:pPr>
      <w:r>
        <w:rPr/>
        <w:t> </w:t>
      </w:r>
    </w:p>
    <w:tbl>
      <w:tblPr>
        <w:tblW w:w="3340" w:type="dxa"/>
        <w:jc w:val="left"/>
        <w:tblInd w:w="0" w:type="dxa"/>
        <w:tblCellMar>
          <w:top w:w="0" w:type="dxa"/>
          <w:left w:w="0" w:type="dxa"/>
          <w:bottom w:w="0" w:type="dxa"/>
          <w:right w:w="0" w:type="dxa"/>
        </w:tblCellMar>
      </w:tblPr>
      <w:tblGrid>
        <w:gridCol w:w="75"/>
        <w:gridCol w:w="110"/>
        <w:gridCol w:w="60"/>
        <w:gridCol w:w="30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spacing w:before="0" w:after="0"/>
        <w:jc w:val="left"/>
        <w:rPr/>
      </w:pPr>
      <w:r>
        <w:rPr/>
        <w:t> </w:t>
      </w:r>
    </w:p>
    <w:tbl>
      <w:tblPr>
        <w:tblW w:w="2545" w:type="dxa"/>
        <w:jc w:val="left"/>
        <w:tblInd w:w="0" w:type="dxa"/>
        <w:tblCellMar>
          <w:top w:w="0" w:type="dxa"/>
          <w:left w:w="0" w:type="dxa"/>
          <w:bottom w:w="0" w:type="dxa"/>
          <w:right w:w="0" w:type="dxa"/>
        </w:tblCellMar>
      </w:tblPr>
      <w:tblGrid>
        <w:gridCol w:w="75"/>
        <w:gridCol w:w="110"/>
        <w:gridCol w:w="60"/>
        <w:gridCol w:w="2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issue shares of subsidiaries; </w:t>
            </w:r>
          </w:p>
        </w:tc>
      </w:tr>
    </w:tbl>
    <w:p>
      <w:pPr>
        <w:pStyle w:val="TextBody"/>
        <w:spacing w:before="0" w:after="0"/>
        <w:jc w:val="left"/>
        <w:rPr/>
      </w:pPr>
      <w:r>
        <w:rPr/>
        <w:t> </w:t>
      </w:r>
    </w:p>
    <w:tbl>
      <w:tblPr>
        <w:tblW w:w="3400" w:type="dxa"/>
        <w:jc w:val="left"/>
        <w:tblInd w:w="0" w:type="dxa"/>
        <w:tblCellMar>
          <w:top w:w="0" w:type="dxa"/>
          <w:left w:w="0" w:type="dxa"/>
          <w:bottom w:w="0" w:type="dxa"/>
          <w:right w:w="0" w:type="dxa"/>
        </w:tblCellMar>
      </w:tblPr>
      <w:tblGrid>
        <w:gridCol w:w="75"/>
        <w:gridCol w:w="110"/>
        <w:gridCol w:w="60"/>
        <w:gridCol w:w="3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spacing w:before="0" w:after="0"/>
        <w:jc w:val="left"/>
        <w:rPr/>
      </w:pPr>
      <w:r>
        <w:rPr/>
        <w:t> </w:t>
      </w:r>
    </w:p>
    <w:tbl>
      <w:tblPr>
        <w:tblW w:w="2545" w:type="dxa"/>
        <w:jc w:val="left"/>
        <w:tblInd w:w="0" w:type="dxa"/>
        <w:tblCellMar>
          <w:top w:w="0" w:type="dxa"/>
          <w:left w:w="0" w:type="dxa"/>
          <w:bottom w:w="0" w:type="dxa"/>
          <w:right w:w="0" w:type="dxa"/>
        </w:tblCellMar>
      </w:tblPr>
      <w:tblGrid>
        <w:gridCol w:w="75"/>
        <w:gridCol w:w="110"/>
        <w:gridCol w:w="60"/>
        <w:gridCol w:w="23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engage in other businesses; </w:t>
            </w:r>
          </w:p>
        </w:tc>
      </w:tr>
    </w:tbl>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75"/>
        <w:gridCol w:w="110"/>
        <w:gridCol w:w="60"/>
        <w:gridCol w:w="36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merge or consolidate with another company; </w:t>
            </w:r>
          </w:p>
        </w:tc>
      </w:tr>
    </w:tbl>
    <w:p>
      <w:pPr>
        <w:pStyle w:val="TextBody"/>
        <w:spacing w:before="0" w:after="0"/>
        <w:jc w:val="left"/>
        <w:rPr/>
      </w:pPr>
      <w:r>
        <w:rPr/>
        <w:t> </w:t>
      </w:r>
    </w:p>
    <w:tbl>
      <w:tblPr>
        <w:tblW w:w="2665" w:type="dxa"/>
        <w:jc w:val="left"/>
        <w:tblInd w:w="0" w:type="dxa"/>
        <w:tblCellMar>
          <w:top w:w="0" w:type="dxa"/>
          <w:left w:w="0" w:type="dxa"/>
          <w:bottom w:w="0" w:type="dxa"/>
          <w:right w:w="0" w:type="dxa"/>
        </w:tblCellMar>
      </w:tblPr>
      <w:tblGrid>
        <w:gridCol w:w="75"/>
        <w:gridCol w:w="110"/>
        <w:gridCol w:w="60"/>
        <w:gridCol w:w="24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undergo a change of control; </w:t>
            </w:r>
          </w:p>
        </w:tc>
      </w:tr>
    </w:tbl>
    <w:p>
      <w:pPr>
        <w:pStyle w:val="TextBody"/>
        <w:spacing w:before="0" w:after="0"/>
        <w:jc w:val="left"/>
        <w:rPr/>
      </w:pPr>
      <w:r>
        <w:rPr/>
        <w:t> </w:t>
      </w:r>
    </w:p>
    <w:tbl>
      <w:tblPr>
        <w:tblW w:w="3775" w:type="dxa"/>
        <w:jc w:val="left"/>
        <w:tblInd w:w="0" w:type="dxa"/>
        <w:tblCellMar>
          <w:top w:w="0" w:type="dxa"/>
          <w:left w:w="0" w:type="dxa"/>
          <w:bottom w:w="0" w:type="dxa"/>
          <w:right w:w="0" w:type="dxa"/>
        </w:tblCellMar>
      </w:tblPr>
      <w:tblGrid>
        <w:gridCol w:w="75"/>
        <w:gridCol w:w="110"/>
        <w:gridCol w:w="60"/>
        <w:gridCol w:w="3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transfer, sell or otherwise dispose of assets; </w:t>
            </w:r>
          </w:p>
        </w:tc>
      </w:tr>
    </w:tbl>
    <w:p>
      <w:pPr>
        <w:pStyle w:val="TextBody"/>
        <w:spacing w:before="0" w:after="0"/>
        <w:jc w:val="left"/>
        <w:rPr/>
      </w:pPr>
      <w:r>
        <w:rPr/>
        <w:t> </w:t>
      </w:r>
    </w:p>
    <w:tbl>
      <w:tblPr>
        <w:tblW w:w="2290" w:type="dxa"/>
        <w:jc w:val="left"/>
        <w:tblInd w:w="0" w:type="dxa"/>
        <w:tblCellMar>
          <w:top w:w="0" w:type="dxa"/>
          <w:left w:w="0" w:type="dxa"/>
          <w:bottom w:w="0" w:type="dxa"/>
          <w:right w:w="0" w:type="dxa"/>
        </w:tblCellMar>
      </w:tblPr>
      <w:tblGrid>
        <w:gridCol w:w="75"/>
        <w:gridCol w:w="110"/>
        <w:gridCol w:w="60"/>
        <w:gridCol w:w="2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0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issue disqualified stock;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rPr/>
      </w:pPr>
      <w:r>
        <w:rPr/>
      </w:r>
    </w:p>
    <w:p>
      <w:pPr>
        <w:pStyle w:val="Heading5"/>
        <w:rPr/>
      </w:pPr>
      <w:hyperlink w:anchor="toc">
        <w:r>
          <w:rPr>
            <w:rStyle w:val="InternetLink"/>
          </w:rPr>
          <w:t>Table of Contents</w:t>
        </w:r>
      </w:hyperlink>
    </w:p>
    <w:tbl>
      <w:tblPr>
        <w:tblW w:w="5920" w:type="dxa"/>
        <w:jc w:val="left"/>
        <w:tblInd w:w="0" w:type="dxa"/>
        <w:tblCellMar>
          <w:top w:w="0" w:type="dxa"/>
          <w:left w:w="0" w:type="dxa"/>
          <w:bottom w:w="0" w:type="dxa"/>
          <w:right w:w="0" w:type="dxa"/>
        </w:tblCellMar>
      </w:tblPr>
      <w:tblGrid>
        <w:gridCol w:w="75"/>
        <w:gridCol w:w="110"/>
        <w:gridCol w:w="60"/>
        <w:gridCol w:w="5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create dividend and other payment restrictions affecting subsidiaries; </w:t>
            </w:r>
          </w:p>
        </w:tc>
      </w:tr>
    </w:tbl>
    <w:p>
      <w:pPr>
        <w:pStyle w:val="TextBody"/>
        <w:spacing w:before="0" w:after="0"/>
        <w:jc w:val="left"/>
        <w:rPr/>
      </w:pPr>
      <w:r>
        <w:rPr/>
        <w:t> </w:t>
      </w:r>
    </w:p>
    <w:tbl>
      <w:tblPr>
        <w:tblW w:w="4660" w:type="dxa"/>
        <w:jc w:val="left"/>
        <w:tblInd w:w="0" w:type="dxa"/>
        <w:tblCellMar>
          <w:top w:w="0" w:type="dxa"/>
          <w:left w:w="0" w:type="dxa"/>
          <w:bottom w:w="0" w:type="dxa"/>
          <w:right w:w="0" w:type="dxa"/>
        </w:tblCellMar>
      </w:tblPr>
      <w:tblGrid>
        <w:gridCol w:w="75"/>
        <w:gridCol w:w="110"/>
        <w:gridCol w:w="60"/>
        <w:gridCol w:w="44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designate restricted and unrestricted subsidiaries;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vary Melco Resorts Macau’s Concession Contract or Melco Resorts Macau’s and certain of its subsidiaries’ land concessions and certain other contracts. </w:t>
            </w:r>
          </w:p>
        </w:tc>
      </w:tr>
    </w:tbl>
    <w:p>
      <w:pPr>
        <w:pStyle w:val="TextBody"/>
        <w:spacing w:before="240" w:after="0"/>
        <w:jc w:val="left"/>
        <w:rPr>
          <w:rFonts w:ascii="Times New Roman" w:hAnsi="Times New Roman"/>
          <w:sz w:val="20"/>
        </w:rPr>
      </w:pPr>
      <w:r>
        <w:rPr>
          <w:rFonts w:ascii="Times New Roman" w:hAnsi="Times New Roman"/>
          <w:sz w:val="20"/>
        </w:rPr>
        <w:t xml:space="preserve">Certain of our credit facilities and debt instruments also require us to satisfy various financial covenants, which include requirements for minimum interest coverage ratio and leverage ratios. For more information on financial covenants we are subject to under our credit facilities and debt instruments, see note 13 to the consolidated financial statements included elsewhere in this annual report. Future indebtedness or other agreements may contain covenants more restrictive than those contained in our existing credit facilities and debt instruments. In addition, we may also rely on waivers given by lenders in respect of certain terms and covenants under the facilities from time to time. For example, on August 16, 2022, MCO Nominee One received confirmation that the majority of lenders of the 2020 Credit Facilities have consented and agreed to a waiver extension of certain financial condition covenants contained in the facility agreement under the 2020 Credit Facilities such as (i) to meet or exceed the interest cover ratio, (ii) not to exceed the senior leverage ratio, and (iii) not to exceed the total leverage ratio. MCO Nominee One paid a customary fee to all consenting lenders in relation to such consent. There is no assurance that we will be successful in any future attempts to obtain consents or waivers of terms and conditions under any of the facilities from any lender on terms that are acceptable to us or at all. </w:t>
      </w:r>
    </w:p>
    <w:p>
      <w:pPr>
        <w:pStyle w:val="TextBody"/>
        <w:spacing w:before="240" w:after="0"/>
        <w:jc w:val="left"/>
        <w:rPr>
          <w:rFonts w:ascii="Times New Roman" w:hAnsi="Times New Roman"/>
          <w:sz w:val="20"/>
        </w:rPr>
      </w:pPr>
      <w:r>
        <w:rPr>
          <w:rFonts w:ascii="Times New Roman" w:hAnsi="Times New Roman"/>
          <w:sz w:val="20"/>
        </w:rPr>
        <w:t xml:space="preserve">In addition, certain of our indebtedness is secured by mortgages, assignment of land use rights, leases or equivalents, security over shares, charges over bank accounts, security over assets and other customary security over the assets of our Macau subsidiaries. In the event of a default under such agreements governing our existing indebtedness, the holders of such secured indebtedness would first be entitled to payment from their collateral security, and only then would holders of our Macau subsidiaries’ unsecured debt be entitled to payment from their remaining assets. </w:t>
      </w:r>
    </w:p>
    <w:p>
      <w:pPr>
        <w:pStyle w:val="TextBody"/>
        <w:spacing w:before="240" w:after="0"/>
        <w:jc w:val="left"/>
        <w:rPr>
          <w:rFonts w:ascii="Times New Roman" w:hAnsi="Times New Roman"/>
          <w:sz w:val="20"/>
        </w:rPr>
      </w:pPr>
      <w:r>
        <w:rPr>
          <w:rFonts w:ascii="Times New Roman" w:hAnsi="Times New Roman"/>
          <w:sz w:val="20"/>
        </w:rPr>
        <w:t xml:space="preserve">Our ability to comply with the terms of our outstanding credit facilities and debt instruments may be affected by general economic conditions, industry conditions and other events outside of our control. As a result, we may not be able to maintain compliance with these covenants. In addition, if our properties’ operations fail to generate adequate cash flow, we may breach these covenants, causing a default under our agreements, upon which creditors could terminate their commitments to lend to us, accelerate repayment of the debt and declare all amounts borrowed due and payable or terminate the agreements, as the case may be. Furthermore, our credit facilities and debt instruments contain cross-acceleration or cross-default provisions, as a result of which our default under one facility or instrument may cause the acceleration of repayment of debt or result in a default under our other facilities or instruments. If any of these events occur, we cannot assure you that our assets and cash flow would be sufficient to repay in full all of our indebtedness, or that we would be able to find alternative financing. Even if we do obtain alternative financing, we cannot assure you that it would be on terms that are favorable or acceptable to us. </w:t>
      </w:r>
    </w:p>
    <w:p>
      <w:pPr>
        <w:pStyle w:val="TextBody"/>
        <w:spacing w:before="360" w:after="0"/>
        <w:jc w:val="left"/>
        <w:rPr>
          <w:rFonts w:ascii="Times New Roman" w:hAnsi="Times New Roman"/>
          <w:b/>
          <w:i/>
          <w:sz w:val="20"/>
        </w:rPr>
      </w:pPr>
      <w:r>
        <w:rPr>
          <w:rFonts w:ascii="Times New Roman" w:hAnsi="Times New Roman"/>
          <w:b/>
          <w:i/>
          <w:sz w:val="20"/>
        </w:rPr>
        <w:t xml:space="preserve">Drawdown or rollover of advances under our credit facilities involve satisfaction of extensive conditions precedent and our failure to satisfy such conditions precedent will result in our inability to utilize or roll over loan advances under such facilities. There is no assurance that we will be able to satisfy all conditions precedent under our current or future credit facilities. </w:t>
      </w:r>
    </w:p>
    <w:p>
      <w:pPr>
        <w:pStyle w:val="TextBody"/>
        <w:spacing w:before="120" w:after="0"/>
        <w:jc w:val="left"/>
        <w:rPr>
          <w:rFonts w:ascii="Times New Roman" w:hAnsi="Times New Roman"/>
          <w:sz w:val="20"/>
        </w:rPr>
      </w:pPr>
      <w:r>
        <w:rPr>
          <w:rFonts w:ascii="Times New Roman" w:hAnsi="Times New Roman"/>
          <w:sz w:val="20"/>
        </w:rPr>
        <w:t>Our current and future credit facilities, including the 2015 Credit Facilities, the 2020 Credit Facilities and the 2028 Studio City Senior Secured Credit Facility, require and will require satisfaction of extensive conditions precedent prior to the advance or rollover of loans under such facilities. If there is a breach of any terms or conditions of our credit facilities or other obligations and the breach is not cured or capable of being cured, or if we are unable to make certain representations, then such conditions precedent will not be satisfied. Our ability to satisfy such conditions precedent may also be affected by the actions of third parties and/</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 matters outside of our control, such as government consents and approvals and market conditions, and thus also result in our inability to satisfy any conditions precedent. We may also rely on waivers given by lenders to waive satisfaction of certain conditions precedent under the facilities from time to time. There is no assurance that we will be successful in any future attempts to obtain consents or waivers of terms and conditions under any of the facilities from any lender on terms that are acceptable to us or at all. The inability to draw down or roll over loan advances under any credit facility may result in a funding shortfall in our operations and we may not be able to fulfill our obligations as planned. Such events may also result in an event of default under the respective credit facility and may also trigger cross-defaults under our other indebtedness obligations. There can be no assurance that all conditions precedent to draw down or roll over loan advances under our credit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harm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Any inability to maintain current financing or obtain future financing could result in delays in our project development schedule and could impact our ability to comply with the terms of the Concession Contract and generate revenues from operations at our present and future projects. </w:t>
      </w:r>
    </w:p>
    <w:p>
      <w:pPr>
        <w:pStyle w:val="TextBody"/>
        <w:spacing w:before="120" w:after="0"/>
        <w:jc w:val="left"/>
        <w:rPr>
          <w:rFonts w:ascii="Times New Roman" w:hAnsi="Times New Roman"/>
          <w:sz w:val="20"/>
        </w:rPr>
      </w:pPr>
      <w:r>
        <w:rPr>
          <w:rFonts w:ascii="Times New Roman" w:hAnsi="Times New Roman"/>
          <w:sz w:val="20"/>
        </w:rPr>
        <w:t xml:space="preserve">If we are unable to maintain our current financing arrangements or obtain suitable financing for our operations and our current or future projects (including any acquisitions we may make), such failure could adversely impact our compliance with our Concession Contract, our existing operations, or cause delays in, or prevent completion of, the development of the City of Dreams Mediterranean project and any other future projects. In connection with the Concession Contract, Melco Resorts Macau committed to an overall investment of MOP11,823,700,000 (equivalent to approximately US$1.5 billion) and incremental additional non-gaming investment in the amount of approximately 20% of its initial non-gaming investment, or MOP2,003,000,000 (equivalent to approximately US$249.0 million), in the event Macau’s annual gross gaming revenue reaches MOP180,000,000,000 (equivalent to approximately US$22.4 billion), which incremental investment amount is reduced to 16%, 12%, 8%, 4% of the initial non-gaming investment amount or nil, if the Incremental Investment Trigger occurs in year 6, year 7, year 8, year 9 or year 10 of the Concession Contract, respectively. Any inability to obtain suitable financing, or at all, may cause us to fail to comply with the terms of our Concession Contract, the harshest penalty of which for any non-compliance that may be imposed on us is revocation of the Concession Contract. See “Item 3. Key Information — D. Risk Factors — Risks Relating to Operating in the Gaming Industry in Macau — Our business and operations in Macau are dependent upon our concession and, if we fail to comply with the complex legal and regulatory regime in Macau, our concession may be subject to revocation” and “Item 4. Information on the Company — B. Business Overview — Regulations — Gaming Licenses — The Concession Contract in Macau.” </w:t>
      </w:r>
    </w:p>
    <w:p>
      <w:pPr>
        <w:pStyle w:val="TextBody"/>
        <w:spacing w:before="240" w:after="0"/>
        <w:jc w:val="left"/>
        <w:rPr>
          <w:rFonts w:ascii="Times New Roman" w:hAnsi="Times New Roman"/>
          <w:sz w:val="20"/>
        </w:rPr>
      </w:pPr>
      <w:r>
        <w:rPr>
          <w:rFonts w:ascii="Times New Roman" w:hAnsi="Times New Roman"/>
          <w:sz w:val="20"/>
        </w:rPr>
        <w:t xml:space="preserve">In addition, such failure may also limit our ability to operate and expand our business and may adversely impact our ability to generate revenue. Furthermore, the costs incurred by any new financing may be greater than anticipated due to unfavorable market conditions. Any such increase in funding costs may have a negative impact on our revenue and financial condition. </w:t>
      </w:r>
    </w:p>
    <w:p>
      <w:pPr>
        <w:pStyle w:val="TextBody"/>
        <w:spacing w:before="360" w:after="0"/>
        <w:jc w:val="left"/>
        <w:rPr>
          <w:rFonts w:ascii="Times New Roman" w:hAnsi="Times New Roman"/>
          <w:b/>
          <w:sz w:val="20"/>
        </w:rPr>
      </w:pPr>
      <w:r>
        <w:rPr>
          <w:rFonts w:ascii="Times New Roman" w:hAnsi="Times New Roman"/>
          <w:b/>
          <w:sz w:val="20"/>
        </w:rPr>
        <w:t xml:space="preserve">Risks Relating to Our Shares and ADSs </w:t>
      </w:r>
    </w:p>
    <w:p>
      <w:pPr>
        <w:pStyle w:val="TextBody"/>
        <w:spacing w:before="120" w:after="0"/>
        <w:jc w:val="left"/>
        <w:rPr>
          <w:rFonts w:ascii="Times New Roman" w:hAnsi="Times New Roman"/>
          <w:b/>
          <w:i/>
          <w:sz w:val="20"/>
        </w:rPr>
      </w:pPr>
      <w:r>
        <w:rPr>
          <w:rFonts w:ascii="Times New Roman" w:hAnsi="Times New Roman"/>
          <w:b/>
          <w:i/>
          <w:sz w:val="20"/>
        </w:rPr>
        <w:t xml:space="preserve">The trading price of our ADSs has been volatile since our ADSs began trading on Nasdaq and may be subject to fluctuations in the future, which could result in substantial losses to investors. </w:t>
      </w:r>
    </w:p>
    <w:p>
      <w:pPr>
        <w:pStyle w:val="TextBody"/>
        <w:spacing w:before="120" w:after="0"/>
        <w:jc w:val="left"/>
        <w:rPr>
          <w:rFonts w:ascii="Times New Roman" w:hAnsi="Times New Roman"/>
          <w:sz w:val="20"/>
        </w:rPr>
      </w:pPr>
      <w:r>
        <w:rPr>
          <w:rFonts w:ascii="Times New Roman" w:hAnsi="Times New Roman"/>
          <w:sz w:val="20"/>
        </w:rPr>
        <w:t xml:space="preserve">The trading price of our ADSs has been and may continue to be subject to wide fluctuations. Our ADSs were first quoted on the Nasdaq Global Market, or Nasdaq, beginning on December 19, 2006, and were upgraded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trade on the Nasdaq Global Select Market since January 2, 2009. During the period from December 19, 2006 to March 24, 2023, the trading prices of our ADSs ranged from US$2.27 to US$45.70 per ADS and the closing sale price on March 24, 2023 was US$12.02 per ADS. The market price for our shares and ADSs may continue to be volatile and subject to wide fluctuations in response to factors, including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developments in the Macau market, the Philippine market, the Cyprus market or other Asian or European gaming markets, including disruptions caused by widespread health epidemics or pandemics, such as COVID-19 outbreaks, and the announcement or completion of major new projects by our competitors; </w:t>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75"/>
        <w:gridCol w:w="110"/>
        <w:gridCol w:w="60"/>
        <w:gridCol w:w="8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uncertainties or delays relating to the financing, completion and successful operation of our projects;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international political tensions, including between China and the U.S., and policies and/or legislation which may be proposed and/or enacted in relation to such tensions;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general economic, political or other factors that affect the region where our properties are located and/or the macroeconomic environment, including COVID-19 outbreaks or any other global pandemic or crisis;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75"/>
        <w:gridCol w:w="110"/>
        <w:gridCol w:w="60"/>
        <w:gridCol w:w="4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regulatory developments affecting us or our competitors; </w:t>
            </w:r>
          </w:p>
        </w:tc>
      </w:tr>
    </w:tbl>
    <w:p>
      <w:pPr>
        <w:pStyle w:val="TextBody"/>
        <w:spacing w:before="0" w:after="0"/>
        <w:jc w:val="left"/>
        <w:rPr/>
      </w:pPr>
      <w:r>
        <w:rPr/>
        <w:t> </w:t>
      </w:r>
    </w:p>
    <w:tbl>
      <w:tblPr>
        <w:tblW w:w="5770" w:type="dxa"/>
        <w:jc w:val="left"/>
        <w:tblInd w:w="0" w:type="dxa"/>
        <w:tblCellMar>
          <w:top w:w="0" w:type="dxa"/>
          <w:left w:w="0" w:type="dxa"/>
          <w:bottom w:w="0" w:type="dxa"/>
          <w:right w:w="0" w:type="dxa"/>
        </w:tblCellMar>
      </w:tblPr>
      <w:tblGrid>
        <w:gridCol w:w="75"/>
        <w:gridCol w:w="110"/>
        <w:gridCol w:w="60"/>
        <w:gridCol w:w="5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actual or anticipated fluctuations in our quarterly operating results;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announcements of new investments, acquisitions, strategic partnerships, joint ventures or divestments by us or our competitors; </w:t>
            </w:r>
          </w:p>
        </w:tc>
      </w:tr>
    </w:tbl>
    <w:p>
      <w:pPr>
        <w:pStyle w:val="TextBody"/>
        <w:spacing w:before="0" w:after="0"/>
        <w:jc w:val="left"/>
        <w:rPr/>
      </w:pPr>
      <w:r>
        <w:rPr/>
        <w:t> </w:t>
      </w:r>
    </w:p>
    <w:tbl>
      <w:tblPr>
        <w:tblW w:w="4690" w:type="dxa"/>
        <w:jc w:val="left"/>
        <w:tblInd w:w="0" w:type="dxa"/>
        <w:tblCellMar>
          <w:top w:w="0" w:type="dxa"/>
          <w:left w:w="0" w:type="dxa"/>
          <w:bottom w:w="0" w:type="dxa"/>
          <w:right w:w="0" w:type="dxa"/>
        </w:tblCellMar>
      </w:tblPr>
      <w:tblGrid>
        <w:gridCol w:w="75"/>
        <w:gridCol w:w="110"/>
        <w:gridCol w:w="60"/>
        <w:gridCol w:w="44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performance and value of our investments; </w:t>
            </w:r>
          </w:p>
        </w:tc>
      </w:tr>
    </w:tbl>
    <w:p>
      <w:pPr>
        <w:pStyle w:val="TextBody"/>
        <w:spacing w:before="0" w:after="0"/>
        <w:jc w:val="left"/>
        <w:rPr/>
      </w:pPr>
      <w:r>
        <w:rPr/>
        <w:t> </w:t>
      </w:r>
    </w:p>
    <w:tbl>
      <w:tblPr>
        <w:tblW w:w="5290" w:type="dxa"/>
        <w:jc w:val="left"/>
        <w:tblInd w:w="0" w:type="dxa"/>
        <w:tblCellMar>
          <w:top w:w="0" w:type="dxa"/>
          <w:left w:w="0" w:type="dxa"/>
          <w:bottom w:w="0" w:type="dxa"/>
          <w:right w:w="0" w:type="dxa"/>
        </w:tblCellMar>
      </w:tblPr>
      <w:tblGrid>
        <w:gridCol w:w="75"/>
        <w:gridCol w:w="110"/>
        <w:gridCol w:w="60"/>
        <w:gridCol w:w="5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financial estimates by securities research analysts; </w:t>
            </w:r>
          </w:p>
        </w:tc>
      </w:tr>
    </w:tbl>
    <w:p>
      <w:pPr>
        <w:pStyle w:val="TextBody"/>
        <w:spacing w:before="0" w:after="0"/>
        <w:jc w:val="left"/>
        <w:rPr/>
      </w:pPr>
      <w:r>
        <w:rPr/>
        <w:t> </w:t>
      </w:r>
    </w:p>
    <w:tbl>
      <w:tblPr>
        <w:tblW w:w="9055" w:type="dxa"/>
        <w:jc w:val="left"/>
        <w:tblInd w:w="0" w:type="dxa"/>
        <w:tblCellMar>
          <w:top w:w="0" w:type="dxa"/>
          <w:left w:w="0" w:type="dxa"/>
          <w:bottom w:w="0" w:type="dxa"/>
          <w:right w:w="0" w:type="dxa"/>
        </w:tblCellMar>
      </w:tblPr>
      <w:tblGrid>
        <w:gridCol w:w="75"/>
        <w:gridCol w:w="110"/>
        <w:gridCol w:w="60"/>
        <w:gridCol w:w="8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the economic performance or market valuations of other gaming and leisure industry companies; </w:t>
            </w:r>
          </w:p>
        </w:tc>
      </w:tr>
    </w:tbl>
    <w:p>
      <w:pPr>
        <w:pStyle w:val="TextBody"/>
        <w:spacing w:before="0" w:after="0"/>
        <w:jc w:val="left"/>
        <w:rPr/>
      </w:pPr>
      <w:r>
        <w:rPr/>
        <w:t> </w:t>
      </w:r>
    </w:p>
    <w:tbl>
      <w:tblPr>
        <w:tblW w:w="7225" w:type="dxa"/>
        <w:jc w:val="left"/>
        <w:tblInd w:w="0" w:type="dxa"/>
        <w:tblCellMar>
          <w:top w:w="0" w:type="dxa"/>
          <w:left w:w="0" w:type="dxa"/>
          <w:bottom w:w="0" w:type="dxa"/>
          <w:right w:w="0" w:type="dxa"/>
        </w:tblCellMar>
      </w:tblPr>
      <w:tblGrid>
        <w:gridCol w:w="75"/>
        <w:gridCol w:w="110"/>
        <w:gridCol w:w="60"/>
        <w:gridCol w:w="69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changes in our market share of the Macau, Philippine and/or Cyprus gaming markets; </w:t>
            </w:r>
          </w:p>
        </w:tc>
      </w:tr>
    </w:tbl>
    <w:p>
      <w:pPr>
        <w:pStyle w:val="TextBody"/>
        <w:spacing w:before="0" w:after="0"/>
        <w:jc w:val="left"/>
        <w:rPr/>
      </w:pPr>
      <w:r>
        <w:rPr/>
        <w:t> </w:t>
      </w:r>
    </w:p>
    <w:tbl>
      <w:tblPr>
        <w:tblW w:w="6085" w:type="dxa"/>
        <w:jc w:val="left"/>
        <w:tblInd w:w="0" w:type="dxa"/>
        <w:tblCellMar>
          <w:top w:w="0" w:type="dxa"/>
          <w:left w:w="0" w:type="dxa"/>
          <w:bottom w:w="0" w:type="dxa"/>
          <w:right w:w="0" w:type="dxa"/>
        </w:tblCellMar>
      </w:tblPr>
      <w:tblGrid>
        <w:gridCol w:w="75"/>
        <w:gridCol w:w="110"/>
        <w:gridCol w:w="60"/>
        <w:gridCol w:w="58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detrimental adverse publicity about us, our properties or our industries; </w:t>
            </w:r>
          </w:p>
        </w:tc>
      </w:tr>
    </w:tbl>
    <w:p>
      <w:pPr>
        <w:pStyle w:val="TextBody"/>
        <w:spacing w:before="0" w:after="0"/>
        <w:jc w:val="left"/>
        <w:rPr/>
      </w:pPr>
      <w:r>
        <w:rPr/>
        <w:t> </w:t>
      </w:r>
    </w:p>
    <w:tbl>
      <w:tblPr>
        <w:tblW w:w="5635" w:type="dxa"/>
        <w:jc w:val="left"/>
        <w:tblInd w:w="0" w:type="dxa"/>
        <w:tblCellMar>
          <w:top w:w="0" w:type="dxa"/>
          <w:left w:w="0" w:type="dxa"/>
          <w:bottom w:w="0" w:type="dxa"/>
          <w:right w:w="0" w:type="dxa"/>
        </w:tblCellMar>
      </w:tblPr>
      <w:tblGrid>
        <w:gridCol w:w="75"/>
        <w:gridCol w:w="110"/>
        <w:gridCol w:w="60"/>
        <w:gridCol w:w="5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addition or departure of our executive officers and key personnel; </w:t>
            </w:r>
          </w:p>
        </w:tc>
      </w:tr>
    </w:tbl>
    <w:p>
      <w:pPr>
        <w:pStyle w:val="TextBody"/>
        <w:spacing w:before="0" w:after="0"/>
        <w:jc w:val="left"/>
        <w:rPr/>
      </w:pPr>
      <w:r>
        <w:rPr/>
        <w:t> </w:t>
      </w:r>
    </w:p>
    <w:tbl>
      <w:tblPr>
        <w:tblW w:w="9970" w:type="dxa"/>
        <w:jc w:val="left"/>
        <w:tblInd w:w="0" w:type="dxa"/>
        <w:tblCellMar>
          <w:top w:w="0" w:type="dxa"/>
          <w:left w:w="0" w:type="dxa"/>
          <w:bottom w:w="0" w:type="dxa"/>
          <w:right w:w="0" w:type="dxa"/>
        </w:tblCellMar>
      </w:tblPr>
      <w:tblGrid>
        <w:gridCol w:w="75"/>
        <w:gridCol w:w="110"/>
        <w:gridCol w:w="60"/>
        <w:gridCol w:w="9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fluctuations in the exchange rates between the U.S. dollar, H.K. dollar, Pataca, Renminbi, Euro and the Philippine peso; </w:t>
            </w:r>
          </w:p>
        </w:tc>
      </w:tr>
    </w:tbl>
    <w:p>
      <w:pPr>
        <w:pStyle w:val="TextBody"/>
        <w:spacing w:before="0" w:after="0"/>
        <w:jc w:val="left"/>
        <w:rPr/>
      </w:pPr>
      <w:r>
        <w:rPr/>
        <w:t> </w:t>
      </w:r>
    </w:p>
    <w:tbl>
      <w:tblPr>
        <w:tblW w:w="8020" w:type="dxa"/>
        <w:jc w:val="left"/>
        <w:tblInd w:w="0" w:type="dxa"/>
        <w:tblCellMar>
          <w:top w:w="0" w:type="dxa"/>
          <w:left w:w="0" w:type="dxa"/>
          <w:bottom w:w="0" w:type="dxa"/>
          <w:right w:w="0" w:type="dxa"/>
        </w:tblCellMar>
      </w:tblPr>
      <w:tblGrid>
        <w:gridCol w:w="75"/>
        <w:gridCol w:w="110"/>
        <w:gridCol w:w="60"/>
        <w:gridCol w:w="77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release or expiration of lock-up or other transfer restrictions on our outstanding shares or ADSs;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sales or perceived sales of additional shares or ADSs or securities convertible or exchangeable or exercisable for shares or ADSs; </w:t>
            </w:r>
          </w:p>
        </w:tc>
      </w:tr>
    </w:tbl>
    <w:p>
      <w:pPr>
        <w:pStyle w:val="TextBody"/>
        <w:spacing w:before="0" w:after="0"/>
        <w:jc w:val="left"/>
        <w:rPr/>
      </w:pPr>
      <w:r>
        <w:rPr/>
        <w:t> </w:t>
      </w:r>
    </w:p>
    <w:tbl>
      <w:tblPr>
        <w:tblW w:w="4570" w:type="dxa"/>
        <w:jc w:val="left"/>
        <w:tblInd w:w="0" w:type="dxa"/>
        <w:tblCellMar>
          <w:top w:w="0" w:type="dxa"/>
          <w:left w:w="0" w:type="dxa"/>
          <w:bottom w:w="0" w:type="dxa"/>
          <w:right w:w="0" w:type="dxa"/>
        </w:tblCellMar>
      </w:tblPr>
      <w:tblGrid>
        <w:gridCol w:w="75"/>
        <w:gridCol w:w="110"/>
        <w:gridCol w:w="6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potential litigation or regulatory investigations; and </w:t>
            </w:r>
          </w:p>
        </w:tc>
      </w:tr>
    </w:tbl>
    <w:p>
      <w:pPr>
        <w:pStyle w:val="TextBody"/>
        <w:spacing w:before="0" w:after="0"/>
        <w:jc w:val="left"/>
        <w:rPr/>
      </w:pPr>
      <w:r>
        <w:rPr/>
        <w:t> </w:t>
      </w:r>
    </w:p>
    <w:tbl>
      <w:tblPr>
        <w:tblW w:w="5500" w:type="dxa"/>
        <w:jc w:val="left"/>
        <w:tblInd w:w="0" w:type="dxa"/>
        <w:tblCellMar>
          <w:top w:w="0" w:type="dxa"/>
          <w:left w:w="0" w:type="dxa"/>
          <w:bottom w:w="0" w:type="dxa"/>
          <w:right w:w="0" w:type="dxa"/>
        </w:tblCellMar>
      </w:tblPr>
      <w:tblGrid>
        <w:gridCol w:w="75"/>
        <w:gridCol w:w="110"/>
        <w:gridCol w:w="60"/>
        <w:gridCol w:w="52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rumors related to any of the above, irrespective of their veracity.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securities market has from time to time experienced significant price and volume fluctuations that are not related to the operating performance of particular companies. For example, in connection with COVID-19 outbreaks, securities markets across the globe have experienced significant volatility. These market fluctuations may also have a material adverse effect on the market price of our ADSs. In addition, we are a Cayman Islands holding company and not a Chinese operating company and investors may never directly hold equity interests in our operating subsidiaries. This organizational structure involves unique risks to investors, including the possibility of Chinese or Macau regulatory authorities disallowing our organizational structure, which would likely result in a material change in our operations and/or value of our ADSs making them significantly decline or worthless.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In addition, as a company listed on Nasdaq, we are subject to certain rules and requirements implemented by Nasdaq. The rules of Nasdaq impose various continued listing requirements. We cannot assure you that we can or will continually adhere to all of such requirements, including those required to maintain our listing on Nasdaq. Any failure to adhere to the applicable requirements could result in costs, penalties, administrative remedies or other consequences, any of which may result in a material adverse effect on our business, prospects, results of operations and financial condition. </w:t>
      </w:r>
    </w:p>
    <w:p>
      <w:pPr>
        <w:pStyle w:val="TextBody"/>
        <w:spacing w:before="360" w:after="0"/>
        <w:jc w:val="left"/>
        <w:rPr>
          <w:rFonts w:ascii="Times New Roman" w:hAnsi="Times New Roman"/>
          <w:b/>
          <w:i/>
          <w:sz w:val="20"/>
        </w:rPr>
      </w:pPr>
      <w:r>
        <w:rPr>
          <w:rFonts w:ascii="Times New Roman" w:hAnsi="Times New Roman"/>
          <w:b/>
          <w:i/>
          <w:sz w:val="20"/>
        </w:rPr>
        <w:t xml:space="preserve">We cannot assure you that we will make dividend payments in the future. </w:t>
      </w:r>
    </w:p>
    <w:p>
      <w:pPr>
        <w:pStyle w:val="TextBody"/>
        <w:spacing w:before="120" w:after="0"/>
        <w:jc w:val="left"/>
        <w:rPr>
          <w:rFonts w:ascii="Times New Roman" w:hAnsi="Times New Roman"/>
          <w:sz w:val="20"/>
        </w:rPr>
      </w:pPr>
      <w:r>
        <w:rPr>
          <w:rFonts w:ascii="Times New Roman" w:hAnsi="Times New Roman"/>
          <w:sz w:val="20"/>
        </w:rPr>
        <w:t xml:space="preserve">On May 14, 2020, we announced the suspension of the Company’s quarterly dividend program to preserve liquidity in light of COVID-19 outbreaks and to continue investing in our business. We cannot assure you that we will resume the Company’s quarterly dividend program or make any dividend payments on our shares in the future. Dividend payments will depend upon a number of factors, including the operating environment, our results of operations, earnings, capital requirements and surplus, general financial conditions, contractual restrictions and other factors considered relevant by our board. Except as permitted under the Companies Act (as amended) of the Cayman Islands,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2015 Credit Facilities, the 2020 Credit Facilities, the Studio City Notes, the 2028 Studio City Senior Secured Credit Facility and other agreements governing indebtedness we and our subsidiaries may incur. Such restrictive covenants contained in the 2015 Credit Facilities and the 2020 Credit Facilities include satisfaction of certain financial tests and conditions such as continued compliance with specified interest cover, cash cover and leverage ratios. The Studio City Notes and 2028 Studio City Senior Secured Credit Facility also contain certain covenants restricting payment of dividends by Studio City Finance and its subsidiaries, respectively. For more details, see “Item 5. Operating and Financial Review and Prospects — B. Liquidity and Capital Resources — Indebtedness.” </w:t>
      </w:r>
    </w:p>
    <w:p>
      <w:pPr>
        <w:pStyle w:val="TextBody"/>
        <w:spacing w:before="360" w:after="0"/>
        <w:jc w:val="left"/>
        <w:rPr>
          <w:rFonts w:ascii="Times New Roman" w:hAnsi="Times New Roman"/>
          <w:b/>
          <w:i/>
          <w:sz w:val="20"/>
        </w:rPr>
      </w:pPr>
      <w:r>
        <w:rPr>
          <w:rFonts w:ascii="Times New Roman" w:hAnsi="Times New Roman"/>
          <w:b/>
          <w:i/>
          <w:sz w:val="20"/>
        </w:rPr>
        <w:t xml:space="preserve">Substantial sales or perceived sales of our shares or ADSs in the public market could cause the price of our ADSs and shares to decline. </w:t>
      </w:r>
    </w:p>
    <w:p>
      <w:pPr>
        <w:pStyle w:val="TextBody"/>
        <w:spacing w:before="120" w:after="0"/>
        <w:jc w:val="left"/>
        <w:rPr>
          <w:rFonts w:ascii="Times New Roman" w:hAnsi="Times New Roman"/>
          <w:sz w:val="20"/>
        </w:rPr>
      </w:pPr>
      <w:r>
        <w:rPr>
          <w:rFonts w:ascii="Times New Roman" w:hAnsi="Times New Roman"/>
          <w:sz w:val="20"/>
        </w:rPr>
        <w:t xml:space="preserve">Sales of our ADSs or shares in the public market, or the perception that these sales could occur, could cause the market price of our shares and ADSs to decline. There is no assurance that Melco International will not sell all or a part of its ownership interest in us. Any sale of their interest may be subject to volume and other restrictions, as applicable, under Rule 144 under the Securities Act of 1933, or the Securities Act. To the extent these or other shares are sold into the market, the market price of our shares and ADSs could decline. The ADSs represent interests in our shares. We would, subject to market forces, expect there to be a close correlation in the price of our ADSs and the price of the shares and any factors contributing to a decline in one market is likely to result to a similar decline in another. In addition, Melco International has the right to cause us to register the sale of their shares under the Securities Act, subject to the terms of the registration rights agreement. Registration of these shares under the Securities Act would result in these shares becoming eligible for deposit in exchange for freely tradable ADSs without restriction under the Securities Act immediately upon the effectiveness of the registration statement. Sales of these registered shares in the public market could cause the price of our share and ADSs to decline. </w:t>
      </w:r>
    </w:p>
    <w:p>
      <w:pPr>
        <w:pStyle w:val="TextBody"/>
        <w:spacing w:before="240" w:after="0"/>
        <w:jc w:val="left"/>
        <w:rPr>
          <w:rFonts w:ascii="Times New Roman" w:hAnsi="Times New Roman"/>
          <w:sz w:val="20"/>
        </w:rPr>
      </w:pPr>
      <w:r>
        <w:rPr>
          <w:rFonts w:ascii="Times New Roman" w:hAnsi="Times New Roman"/>
          <w:sz w:val="20"/>
        </w:rPr>
        <w:t xml:space="preserve">Any decision by us to issue or raise further equity, which would result in dilution to existing shareholders, could cause the price of our ADSs and shares to decline.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adversely change their recommendations regarding our ADSs, the market price for our ADSs and trading volume could decline. </w:t>
      </w:r>
    </w:p>
    <w:p>
      <w:pPr>
        <w:pStyle w:val="TextBody"/>
        <w:spacing w:before="120" w:after="0"/>
        <w:jc w:val="left"/>
        <w:rPr>
          <w:rFonts w:ascii="Times New Roman" w:hAnsi="Times New Roman"/>
          <w:sz w:val="20"/>
        </w:rPr>
      </w:pPr>
      <w:r>
        <w:rPr>
          <w:rFonts w:ascii="Times New Roman" w:hAnsi="Times New Roman"/>
          <w:sz w:val="20"/>
        </w:rPr>
        <w:t xml:space="preserve">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 </w:t>
      </w:r>
    </w:p>
    <w:p>
      <w:pPr>
        <w:pStyle w:val="TextBody"/>
        <w:spacing w:before="360" w:after="0"/>
        <w:jc w:val="left"/>
        <w:rPr>
          <w:rFonts w:ascii="Times New Roman" w:hAnsi="Times New Roman"/>
          <w:b/>
          <w:i/>
          <w:sz w:val="20"/>
        </w:rPr>
      </w:pPr>
      <w:r>
        <w:rPr>
          <w:rFonts w:ascii="Times New Roman" w:hAnsi="Times New Roman"/>
          <w:b/>
          <w:i/>
          <w:sz w:val="20"/>
        </w:rPr>
        <w:t xml:space="preserve">Techniques employed by short sellers may drive down the market price of our ADSs. </w:t>
      </w:r>
    </w:p>
    <w:p>
      <w:pPr>
        <w:pStyle w:val="TextBody"/>
        <w:spacing w:before="120" w:after="0"/>
        <w:jc w:val="left"/>
        <w:rPr>
          <w:rFonts w:ascii="Times New Roman" w:hAnsi="Times New Roman"/>
          <w:sz w:val="20"/>
        </w:rPr>
      </w:pPr>
      <w:r>
        <w:rPr>
          <w:rFonts w:ascii="Times New Roman" w:hAnsi="Times New Roman"/>
          <w:sz w:val="20"/>
        </w:rPr>
        <w:t xml:space="preserve">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 </w:t>
      </w:r>
    </w:p>
    <w:p>
      <w:pPr>
        <w:pStyle w:val="TextBody"/>
        <w:spacing w:before="240" w:after="0"/>
        <w:jc w:val="left"/>
        <w:rPr>
          <w:rFonts w:ascii="Times New Roman" w:hAnsi="Times New Roman"/>
          <w:sz w:val="20"/>
        </w:rPr>
      </w:pPr>
      <w:r>
        <w:rPr>
          <w:rFonts w:ascii="Times New Roman" w:hAnsi="Times New Roman"/>
          <w:sz w:val="20"/>
        </w:rPr>
        <w:t xml:space="preserve">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 </w:t>
      </w:r>
    </w:p>
    <w:p>
      <w:pPr>
        <w:pStyle w:val="TextBody"/>
        <w:spacing w:before="240" w:after="0"/>
        <w:jc w:val="left"/>
        <w:rPr>
          <w:rFonts w:ascii="Times New Roman" w:hAnsi="Times New Roman"/>
          <w:sz w:val="20"/>
        </w:rPr>
      </w:pPr>
      <w:r>
        <w:rPr>
          <w:rFonts w:ascii="Times New Roman" w:hAnsi="Times New Roman"/>
          <w:sz w:val="20"/>
        </w:rPr>
        <w:t xml:space="preserve">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 </w:t>
      </w:r>
    </w:p>
    <w:p>
      <w:pPr>
        <w:pStyle w:val="TextBody"/>
        <w:spacing w:before="360" w:after="0"/>
        <w:jc w:val="left"/>
        <w:rPr>
          <w:rFonts w:ascii="Times New Roman" w:hAnsi="Times New Roman"/>
          <w:b/>
          <w:i/>
          <w:sz w:val="20"/>
        </w:rPr>
      </w:pPr>
      <w:r>
        <w:rPr>
          <w:rFonts w:ascii="Times New Roman" w:hAnsi="Times New Roman"/>
          <w:b/>
          <w:i/>
          <w:sz w:val="20"/>
        </w:rPr>
        <w:t xml:space="preserve">Holders of ADSs have fewer rights than shareholders and must act through the depositary to exercise those rights. </w:t>
      </w:r>
    </w:p>
    <w:p>
      <w:pPr>
        <w:pStyle w:val="TextBody"/>
        <w:spacing w:before="120" w:after="0"/>
        <w:jc w:val="left"/>
        <w:rPr>
          <w:rFonts w:ascii="Times New Roman" w:hAnsi="Times New Roman"/>
          <w:sz w:val="20"/>
        </w:rPr>
      </w:pPr>
      <w:r>
        <w:rPr>
          <w:rFonts w:ascii="Times New Roman" w:hAnsi="Times New Roman"/>
          <w:sz w:val="20"/>
        </w:rPr>
        <w:t xml:space="preserve">Holders of ADSs do not have the same rights of our shareholders and may only exercise the voting rights with respect to the underlying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 </w:t>
      </w:r>
    </w:p>
    <w:p>
      <w:pPr>
        <w:pStyle w:val="TextBody"/>
        <w:spacing w:before="360" w:after="0"/>
        <w:jc w:val="left"/>
        <w:rPr>
          <w:rFonts w:ascii="Times New Roman" w:hAnsi="Times New Roman"/>
          <w:b/>
          <w:i/>
          <w:sz w:val="20"/>
        </w:rPr>
      </w:pPr>
      <w:r>
        <w:rPr>
          <w:rFonts w:ascii="Times New Roman" w:hAnsi="Times New Roman"/>
          <w:b/>
          <w:i/>
          <w:sz w:val="20"/>
        </w:rPr>
        <w:t xml:space="preserve">You may be subject to limitations on transfers of your ADSs. </w:t>
      </w:r>
    </w:p>
    <w:p>
      <w:pPr>
        <w:pStyle w:val="TextBody"/>
        <w:spacing w:before="120" w:after="0"/>
        <w:jc w:val="left"/>
        <w:rPr>
          <w:rFonts w:ascii="Times New Roman" w:hAnsi="Times New Roman"/>
          <w:sz w:val="20"/>
        </w:rPr>
      </w:pPr>
      <w:r>
        <w:rPr>
          <w:rFonts w:ascii="Times New Roman" w:hAnsi="Times New Roman"/>
          <w:sz w:val="20"/>
        </w:rPr>
        <w:t xml:space="preserve">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deem or the depositary deems it advisable to do so because of any requirement of law or of any government or governmental body, or under any provision of the deposit agreement, or for any other reason. </w:t>
      </w:r>
    </w:p>
    <w:p>
      <w:pPr>
        <w:pStyle w:val="TextBody"/>
        <w:spacing w:before="360" w:after="0"/>
        <w:jc w:val="left"/>
        <w:rPr>
          <w:rFonts w:ascii="Times New Roman" w:hAnsi="Times New Roman"/>
          <w:b/>
          <w:i/>
          <w:sz w:val="20"/>
        </w:rPr>
      </w:pPr>
      <w:r>
        <w:rPr>
          <w:rFonts w:ascii="Times New Roman" w:hAnsi="Times New Roman"/>
          <w:b/>
          <w:i/>
          <w:sz w:val="20"/>
        </w:rPr>
        <w:t xml:space="preserve">Your right to participate in any future rights offerings may be limited, which may cause dilution to your holdings, and you may not receive cash dividends if it is unlawful or impractical to make them available to you. </w:t>
      </w:r>
    </w:p>
    <w:p>
      <w:pPr>
        <w:pStyle w:val="TextBody"/>
        <w:spacing w:before="12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 </w:t>
      </w:r>
    </w:p>
    <w:p>
      <w:pPr>
        <w:pStyle w:val="TextBody"/>
        <w:spacing w:before="240" w:after="0"/>
        <w:jc w:val="left"/>
        <w:rPr>
          <w:rFonts w:ascii="Times New Roman" w:hAnsi="Times New Roman"/>
          <w:sz w:val="20"/>
        </w:rPr>
      </w:pPr>
      <w:r>
        <w:rPr>
          <w:rFonts w:ascii="Times New Roman" w:hAnsi="Times New Roman"/>
          <w:sz w:val="20"/>
        </w:rPr>
        <w:t xml:space="preserve">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 </w:t>
      </w:r>
    </w:p>
    <w:p>
      <w:pPr>
        <w:pStyle w:val="TextBody"/>
        <w:spacing w:before="360" w:after="0"/>
        <w:jc w:val="left"/>
        <w:rPr>
          <w:rFonts w:ascii="Times New Roman" w:hAnsi="Times New Roman"/>
          <w:b/>
          <w:i/>
          <w:sz w:val="20"/>
        </w:rPr>
      </w:pPr>
      <w:r>
        <w:rPr>
          <w:rFonts w:ascii="Times New Roman" w:hAnsi="Times New Roman"/>
          <w:b/>
          <w:i/>
          <w:sz w:val="20"/>
        </w:rPr>
        <w:t xml:space="preserve">We are a Cayman Islands exempted company and, because judicial precedent regarding the rights of shareholders is more limited under Cayman Islands law than that under U.S. law, you may have less protection for your shareholder rights than you would under U.S. law. </w:t>
      </w:r>
    </w:p>
    <w:p>
      <w:pPr>
        <w:pStyle w:val="TextBody"/>
        <w:spacing w:before="120" w:after="0"/>
        <w:jc w:val="left"/>
        <w:rPr>
          <w:rFonts w:ascii="Times New Roman" w:hAnsi="Times New Roman"/>
          <w:sz w:val="20"/>
        </w:rPr>
      </w:pPr>
      <w:r>
        <w:rPr>
          <w:rFonts w:ascii="Times New Roman" w:hAnsi="Times New Roman"/>
          <w:sz w:val="20"/>
        </w:rPr>
        <w:t xml:space="preserve">We are an exempted company incorporated under the laws of the Cayman Islands. Our corporate affairs are governed by our memorandum and articles of association, the Companies Act (as amended)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(except for those decisions handed down from the Judicial Committee of the Privy Council to the extent that these have been appealed from the Cayman Islands courts). The rights of our shareholders and the fiduciary duties of our directors under Cayman Islands law are not as clearly established as they would be under statutes or judicial precedent in some jurisdictions in the United States. In particular,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w:t>
      </w:r>
    </w:p>
    <w:p>
      <w:pPr>
        <w:pStyle w:val="TextBody"/>
        <w:spacing w:before="240" w:after="0"/>
        <w:jc w:val="left"/>
        <w:rPr>
          <w:rFonts w:ascii="Times New Roman" w:hAnsi="Times New Roman"/>
          <w:sz w:val="20"/>
        </w:rPr>
      </w:pPr>
      <w:r>
        <w:rPr>
          <w:rFonts w:ascii="Times New Roman" w:hAnsi="Times New Roman"/>
          <w:sz w:val="20"/>
        </w:rPr>
        <w:t xml:space="preserve">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w:t>
      </w:r>
    </w:p>
    <w:p>
      <w:pPr>
        <w:pStyle w:val="TextBody"/>
        <w:spacing w:before="240" w:after="0"/>
        <w:jc w:val="left"/>
        <w:rPr>
          <w:rFonts w:ascii="Times New Roman" w:hAnsi="Times New Roman"/>
          <w:sz w:val="20"/>
        </w:rPr>
      </w:pPr>
      <w:r>
        <w:rPr>
          <w:rFonts w:ascii="Times New Roman" w:hAnsi="Times New Roman"/>
          <w:sz w:val="20"/>
        </w:rPr>
        <w:t xml:space="preserve">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Act (as amended) of the Cayman Islands and the laws applicable to companies incorporated in the United States and their shareholders, see “Item 10. Additional Information — B. Memorandum and Articles of Association — Differences in Corporate Law.” </w:t>
      </w:r>
    </w:p>
    <w:p>
      <w:pPr>
        <w:pStyle w:val="TextBody"/>
        <w:spacing w:before="360" w:after="0"/>
        <w:jc w:val="left"/>
        <w:rPr>
          <w:rFonts w:ascii="Times New Roman" w:hAnsi="Times New Roman"/>
          <w:b/>
          <w:i/>
          <w:sz w:val="20"/>
        </w:rPr>
      </w:pPr>
      <w:r>
        <w:rPr>
          <w:rFonts w:ascii="Times New Roman" w:hAnsi="Times New Roman"/>
          <w:b/>
          <w:i/>
          <w:sz w:val="20"/>
        </w:rPr>
        <w:t xml:space="preserve">You may have difficulty enforcing judgments obtained against us. </w:t>
      </w:r>
    </w:p>
    <w:p>
      <w:pPr>
        <w:pStyle w:val="TextBody"/>
        <w:spacing w:before="120" w:after="0"/>
        <w:jc w:val="left"/>
        <w:rPr>
          <w:rFonts w:ascii="Times New Roman" w:hAnsi="Times New Roman"/>
          <w:sz w:val="20"/>
        </w:rPr>
      </w:pPr>
      <w:r>
        <w:rPr>
          <w:rFonts w:ascii="Times New Roman" w:hAnsi="Times New Roman"/>
          <w:sz w:val="20"/>
        </w:rPr>
        <w:t xml:space="preserve">We are a Cayman Islands exempted company and substantially all of our assets are located outside of the United States. All of our current operations, and administrative and corporate functions are conducted in Macau, Hong Kong, Singapore, the Philippines, Cyprus and Japan. In addition, substantially all of our directors and officers are nationals and residents of countries other than the United States. A substantial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Galante, spend a significant amount of time physically located in Hong Kong and/or Macau, and it will be more difficult to enforce liabilities and enforce judgments on those individuals. </w:t>
      </w:r>
    </w:p>
    <w:p>
      <w:pPr>
        <w:pStyle w:val="TextBody"/>
        <w:spacing w:before="240" w:after="0"/>
        <w:jc w:val="left"/>
        <w:rPr>
          <w:rFonts w:ascii="Times New Roman" w:hAnsi="Times New Roman"/>
          <w:sz w:val="20"/>
        </w:rPr>
      </w:pPr>
      <w:r>
        <w:rPr>
          <w:rFonts w:ascii="Times New Roman" w:hAnsi="Times New Roman"/>
          <w:sz w:val="20"/>
        </w:rPr>
        <w:t xml:space="preserve">It may also be difficult for you to enforce in the Cayman Islands, Macau, Hong Kong, Singapore, Philippines, Cyprus or Japan courts judgments obtained in U.S. courts based on the civil liability provisions of the U.S. federal securities laws against us and our officers and directors, most of whom are not residents in the United States and the substantial portion of whose assets are located outside of the United States.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However, a separate legal action for enforcement of the foreign judgment must be commenced in Macau in order to recover a debt from the judgment debtor, in case the debtor does not make voluntary payment of its debt upon recognition of the foreign judgment by the Courts in Macau. </w:t>
      </w:r>
    </w:p>
    <w:p>
      <w:pPr>
        <w:pStyle w:val="TextBody"/>
        <w:spacing w:before="240" w:after="0"/>
        <w:jc w:val="left"/>
        <w:rPr>
          <w:rFonts w:ascii="Times New Roman" w:hAnsi="Times New Roman"/>
          <w:sz w:val="20"/>
        </w:rPr>
      </w:pPr>
      <w:r>
        <w:rPr>
          <w:rFonts w:ascii="Times New Roman" w:hAnsi="Times New Roman"/>
          <w:sz w:val="20"/>
        </w:rPr>
        <w:t xml:space="preserve">In addition, there is uncertainty as to whether the courts of the Cayman Islands, Macau, Hong Kong, Singapore, the Philippines, Cyprus or Japan would recognize or enforce judgments of U.S. courts against us or such persons predicated upon the civil liability provisions of the securities laws of the United States or any state.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it is uncertain whether such Cayman Islands, Macau, Hong Kong, Singapore, the Philippines, Cyprus or Japan courts would be competent to hear original actions brought in the Cayman Islands, Macau, Hong Kong, Singapore, the Philippines, Cyprus or Japan against us or such persons predicated upon the securities laws of the United States or any state. </w:t>
      </w:r>
    </w:p>
    <w:p>
      <w:pPr>
        <w:pStyle w:val="TextBody"/>
        <w:spacing w:before="360" w:after="0"/>
        <w:jc w:val="left"/>
        <w:rPr>
          <w:rFonts w:ascii="Times New Roman" w:hAnsi="Times New Roman"/>
          <w:b/>
          <w:i/>
          <w:sz w:val="20"/>
        </w:rPr>
      </w:pPr>
      <w:r>
        <w:rPr>
          <w:rFonts w:ascii="Times New Roman" w:hAnsi="Times New Roman"/>
          <w:b/>
          <w:i/>
          <w:sz w:val="20"/>
        </w:rPr>
        <w:t xml:space="preserve">We may be classified as a passive foreign investment company for U.S. federal income tax purposes, which could result in adverse U.S. federal income tax consequences to U.S. Holders of our ADSs or ordinary shares. </w:t>
      </w:r>
    </w:p>
    <w:p>
      <w:pPr>
        <w:pStyle w:val="TextBody"/>
        <w:spacing w:before="120" w:after="0"/>
        <w:jc w:val="left"/>
        <w:rPr>
          <w:rFonts w:ascii="Times New Roman" w:hAnsi="Times New Roman"/>
          <w:sz w:val="20"/>
        </w:rPr>
      </w:pPr>
      <w:r>
        <w:rPr>
          <w:rFonts w:ascii="Times New Roman" w:hAnsi="Times New Roman"/>
          <w:sz w:val="20"/>
        </w:rPr>
        <w:t xml:space="preserve">Based on the current market price of our ADSs and ordinary shares, and the composition of our income, assets and operations, we do not believe we were a passive foreign investment company, or PFIC, for our taxable year ended December 31, 2022. However, the application of the PFIC rules is subject to uncertainty in several respects, and we cannot assure you that we will not be a PFIC for any taxable year. A non-U.S. corporation will be a PFIC for any taxable year if either (i) at least 75% of its gross income for such year is passive income or (ii) at least 50% of the value of its assets (generally based on a quarterly average) during such year is attributable to assets that produce passive income or are held for the production of passive income. A separate determination must be made after the close of each taxable year as to whether we were a PFIC for that year. Because the value of our assets for purposes of the PFIC test will generally be determined by reference to the market price of our ADSs and ordinary shares, a significant decrease in the market price of the ADSs and ordinary shares may cause us to become a PFIC. In addition, changes in the composition of our income or assets 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and will become subject to potentially burdensome reporting requirements. See “Item 10. Additional Information — E. Taxation — United States Federal Income Taxation — Passive Foreign Investment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rPr/>
      </w:pPr>
      <w:r>
        <w:rPr/>
      </w:r>
    </w:p>
    <w:p>
      <w:pPr>
        <w:pStyle w:val="Heading5"/>
        <w:rPr/>
      </w:pPr>
      <w:hyperlink w:anchor="toc">
        <w:r>
          <w:rPr>
            <w:rStyle w:val="InternetLink"/>
          </w:rPr>
          <w:t>Table of Contents</w:t>
        </w:r>
      </w:hyperlink>
    </w:p>
    <w:tbl>
      <w:tblPr>
        <w:tblW w:w="4255" w:type="dxa"/>
        <w:jc w:val="left"/>
        <w:tblInd w:w="0" w:type="dxa"/>
        <w:tblCellMar>
          <w:top w:w="0" w:type="dxa"/>
          <w:left w:w="0" w:type="dxa"/>
          <w:bottom w:w="0" w:type="dxa"/>
          <w:right w:w="0" w:type="dxa"/>
        </w:tblCellMar>
      </w:tblPr>
      <w:tblGrid>
        <w:gridCol w:w="920"/>
        <w:gridCol w:w="3335"/>
      </w:tblGrid>
      <w:tr>
        <w:trPr/>
        <w:tc>
          <w:tcPr>
            <w:tcW w:w="920" w:type="dxa"/>
            <w:tcBorders/>
            <w:shd w:fill="auto" w:val="clear"/>
            <w:vAlign w:val="center"/>
          </w:tcPr>
          <w:p>
            <w:pPr>
              <w:pStyle w:val="TableContents"/>
              <w:spacing w:before="0" w:after="283"/>
              <w:jc w:val="left"/>
              <w:rPr>
                <w:b/>
              </w:rPr>
            </w:pPr>
            <w:bookmarkStart w:id="15" w:name="rom396630_12"/>
            <w:bookmarkEnd w:id="15"/>
            <w:r>
              <w:rPr>
                <w:b/>
              </w:rPr>
              <w:t>ITEM 4.</w:t>
            </w:r>
          </w:p>
        </w:tc>
        <w:tc>
          <w:tcPr>
            <w:tcW w:w="33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INFORMATION ON THE COMPANY </w:t>
            </w:r>
          </w:p>
        </w:tc>
      </w:tr>
    </w:tbl>
    <w:p>
      <w:pPr>
        <w:pStyle w:val="TextBody"/>
        <w:spacing w:before="360" w:after="0"/>
        <w:jc w:val="center"/>
        <w:rPr>
          <w:rFonts w:ascii="Times New Roman" w:hAnsi="Times New Roman"/>
          <w:b/>
          <w:sz w:val="20"/>
        </w:rPr>
      </w:pPr>
      <w:bookmarkStart w:id="16" w:name="rom396630_13"/>
      <w:bookmarkEnd w:id="16"/>
      <w:r>
        <w:rPr>
          <w:rFonts w:ascii="Times New Roman" w:hAnsi="Times New Roman"/>
          <w:b/>
          <w:sz w:val="20"/>
        </w:rPr>
        <w:t xml:space="preserve">A. HISTORY AND DEVELOPMENT OF THE COMPANY </w:t>
      </w:r>
    </w:p>
    <w:p>
      <w:pPr>
        <w:pStyle w:val="TextBody"/>
        <w:spacing w:before="120" w:after="0"/>
        <w:jc w:val="left"/>
        <w:rPr>
          <w:rFonts w:ascii="Times New Roman" w:hAnsi="Times New Roman"/>
          <w:sz w:val="20"/>
        </w:rPr>
      </w:pPr>
      <w:r>
        <w:rPr>
          <w:rFonts w:ascii="Times New Roman" w:hAnsi="Times New Roman"/>
          <w:sz w:val="20"/>
        </w:rPr>
        <w:t xml:space="preserve">Our Company was incorporated in December 2004 as an exempted company with limited liability under the Companies Act (as amended) of the Cayman Islands. Our subsidiary Melco Resorts Macau is one of six companies licensed, through concession, to operate casinos in Macau. For more information on our corporate structure, see “— C. Organizational Structure.” </w:t>
      </w:r>
    </w:p>
    <w:p>
      <w:pPr>
        <w:pStyle w:val="TextBody"/>
        <w:spacing w:before="240" w:after="0"/>
        <w:jc w:val="left"/>
        <w:rPr>
          <w:rFonts w:ascii="Times New Roman" w:hAnsi="Times New Roman"/>
          <w:sz w:val="20"/>
        </w:rPr>
      </w:pPr>
      <w:r>
        <w:rPr>
          <w:rFonts w:ascii="Times New Roman" w:hAnsi="Times New Roman"/>
          <w:sz w:val="20"/>
        </w:rPr>
        <w:t xml:space="preserve">In December 2006, we completed the initial public offering of our ADSs, each of which represents three ordinary shares, and listed our ADSs on the Nasdaq under the symbol “MPEL.” </w:t>
      </w:r>
    </w:p>
    <w:p>
      <w:pPr>
        <w:pStyle w:val="TextBody"/>
        <w:spacing w:before="240" w:after="0"/>
        <w:jc w:val="left"/>
        <w:rPr>
          <w:rFonts w:ascii="Times New Roman" w:hAnsi="Times New Roman"/>
          <w:sz w:val="20"/>
        </w:rPr>
      </w:pPr>
      <w:r>
        <w:rPr>
          <w:rFonts w:ascii="Times New Roman" w:hAnsi="Times New Roman"/>
          <w:sz w:val="20"/>
        </w:rPr>
        <w:t xml:space="preserve">In May 2008, we changed our name from Melco PBL Entertainment (Macau) Limited to Melco Crown Entertainment Limited. </w:t>
      </w:r>
    </w:p>
    <w:p>
      <w:pPr>
        <w:pStyle w:val="TextBody"/>
        <w:spacing w:before="240" w:after="0"/>
        <w:jc w:val="left"/>
        <w:rPr>
          <w:rFonts w:ascii="Times New Roman" w:hAnsi="Times New Roman"/>
          <w:sz w:val="20"/>
        </w:rPr>
      </w:pPr>
      <w:r>
        <w:rPr>
          <w:rFonts w:ascii="Times New Roman" w:hAnsi="Times New Roman"/>
          <w:sz w:val="20"/>
        </w:rPr>
        <w:t xml:space="preserve">In January 2009, we were upgraded to trade on the Nasdaq Global Select Market. </w:t>
      </w:r>
    </w:p>
    <w:p>
      <w:pPr>
        <w:pStyle w:val="TextBody"/>
        <w:spacing w:before="240" w:after="0"/>
        <w:jc w:val="left"/>
        <w:rPr>
          <w:rFonts w:ascii="Times New Roman" w:hAnsi="Times New Roman"/>
          <w:sz w:val="20"/>
        </w:rPr>
      </w:pPr>
      <w:r>
        <w:rPr>
          <w:rFonts w:ascii="Times New Roman" w:hAnsi="Times New Roman"/>
          <w:sz w:val="20"/>
        </w:rPr>
        <w:t xml:space="preserve">On July 27, 2011, we acquired a 60% equity interest in SCI, the developer of Studio City. Studio City is a large-scale cinematically-themed integrated resort developed in Macau. </w:t>
      </w:r>
    </w:p>
    <w:p>
      <w:pPr>
        <w:pStyle w:val="TextBody"/>
        <w:spacing w:before="240" w:after="0"/>
        <w:jc w:val="left"/>
        <w:rPr>
          <w:rFonts w:ascii="Times New Roman" w:hAnsi="Times New Roman"/>
          <w:sz w:val="20"/>
        </w:rPr>
      </w:pPr>
      <w:r>
        <w:rPr>
          <w:rFonts w:ascii="Times New Roman" w:hAnsi="Times New Roman"/>
          <w:sz w:val="20"/>
        </w:rPr>
        <w:t xml:space="preserve">On December 19, 2012, we completed the acquisition of a majority interest in the issued share capital of MRP, a company then listed on The Philippine Stock Exchange, Inc. (the “Philippine Stock Exchange”). Following the completion of our acquisition of MRP, we transferred our 100% equity interest in Melco Resorts Leisure to MRP in March 2013. Melco Resorts Leisure has been granted the exclusive right to manage, operate and control our Philippines integrated casino resort project, City of Dreams Manila. </w:t>
      </w:r>
    </w:p>
    <w:p>
      <w:pPr>
        <w:pStyle w:val="TextBody"/>
        <w:spacing w:before="240" w:after="0"/>
        <w:jc w:val="left"/>
        <w:rPr>
          <w:rFonts w:ascii="Times New Roman" w:hAnsi="Times New Roman"/>
          <w:sz w:val="20"/>
        </w:rPr>
      </w:pPr>
      <w:r>
        <w:rPr>
          <w:rFonts w:ascii="Times New Roman" w:hAnsi="Times New Roman"/>
          <w:sz w:val="20"/>
        </w:rPr>
        <w:t xml:space="preserve">In May 2016, we repurchased 155 million of our ordinary shares from Crown Asia Investments Pty, Ltd. Following completion of the repurchase and cancelation of such shares and certain changes in the composition of our board of directors, Melco International became our single largest shareholder and we were thereafter treated as a subsidiary of Melco International. </w:t>
      </w:r>
    </w:p>
    <w:p>
      <w:pPr>
        <w:pStyle w:val="TextBody"/>
        <w:spacing w:before="240" w:after="0"/>
        <w:jc w:val="left"/>
        <w:rPr>
          <w:rFonts w:ascii="Times New Roman" w:hAnsi="Times New Roman"/>
          <w:sz w:val="20"/>
        </w:rPr>
      </w:pPr>
      <w:r>
        <w:rPr>
          <w:rFonts w:ascii="Times New Roman" w:hAnsi="Times New Roman"/>
          <w:sz w:val="20"/>
        </w:rPr>
        <w:t xml:space="preserve">In February 2017, the privately-negotiated sale by Crown Asia Investments Pty, Ltd. to Melco Leisure, through which Melco Leisure purchased 198,000,000 of our ordinary shares from Crown Asia Investments Pty, Ltd., closed and Melco International became our sole majority shareholder. </w:t>
      </w:r>
    </w:p>
    <w:p>
      <w:pPr>
        <w:pStyle w:val="TextBody"/>
        <w:spacing w:before="240" w:after="0"/>
        <w:jc w:val="left"/>
        <w:rPr>
          <w:rFonts w:ascii="Times New Roman" w:hAnsi="Times New Roman"/>
          <w:sz w:val="20"/>
        </w:rPr>
      </w:pPr>
      <w:r>
        <w:rPr>
          <w:rFonts w:ascii="Times New Roman" w:hAnsi="Times New Roman"/>
          <w:sz w:val="20"/>
        </w:rPr>
        <w:t xml:space="preserve">In March 2017, our name change from Melco Crown Entertainment Limited to Melco Resorts &amp; Entertainment Limited became effective. </w:t>
      </w:r>
    </w:p>
    <w:p>
      <w:pPr>
        <w:pStyle w:val="TextBody"/>
        <w:spacing w:before="240" w:after="0"/>
        <w:jc w:val="left"/>
        <w:rPr>
          <w:rFonts w:ascii="Times New Roman" w:hAnsi="Times New Roman"/>
          <w:sz w:val="20"/>
        </w:rPr>
      </w:pPr>
      <w:r>
        <w:rPr>
          <w:rFonts w:ascii="Times New Roman" w:hAnsi="Times New Roman"/>
          <w:sz w:val="20"/>
        </w:rPr>
        <w:t xml:space="preserve">In April 2017, our Nasdaq ticker symbol changed from “MPEL” to “MLCO.” </w:t>
      </w:r>
    </w:p>
    <w:p>
      <w:pPr>
        <w:pStyle w:val="TextBody"/>
        <w:spacing w:before="240" w:after="0"/>
        <w:jc w:val="left"/>
        <w:rPr>
          <w:rFonts w:ascii="Times New Roman" w:hAnsi="Times New Roman"/>
          <w:sz w:val="20"/>
        </w:rPr>
      </w:pPr>
      <w:r>
        <w:rPr>
          <w:rFonts w:ascii="Times New Roman" w:hAnsi="Times New Roman"/>
          <w:sz w:val="20"/>
        </w:rPr>
        <w:t xml:space="preserve">In May 2017, we issued and sold 27,769,248 ADSs (equivalent to 83,307,744 ordinary shares) and 81,995,799 ordinary shares and also repurchased 165,303,544 ordinary shares from Crown Asia Investments Pty, Ltd. for the aggregate purchase price of US$1.2 billion, and such repurchased shares were subsequently canceled by us. </w:t>
      </w:r>
    </w:p>
    <w:p>
      <w:pPr>
        <w:pStyle w:val="TextBody"/>
        <w:spacing w:before="240" w:after="0"/>
        <w:jc w:val="left"/>
        <w:rPr>
          <w:rFonts w:ascii="Times New Roman" w:hAnsi="Times New Roman"/>
          <w:sz w:val="20"/>
        </w:rPr>
      </w:pPr>
      <w:r>
        <w:rPr>
          <w:rFonts w:ascii="Times New Roman" w:hAnsi="Times New Roman"/>
          <w:sz w:val="20"/>
        </w:rPr>
        <w:t xml:space="preserve">In October 2018, SCI completed its initial public offering of 28,750,000 SC ADSs (equivalent to 115,000,000 Class A ordinary shares of SCI), of which 15,330,000 SC ADSs were purchased by our subsidiary, MCO Cotai Investments Limited. In November 2018, the underwriters exercised their over-allotment option in full to purchase an additional 4,312,500 SC ADSs from SCI. After giving effect to the exercise of the over-allotment option, the total number of SC ADSs sold in the Studio City IPO was 33,062,500 SC ADSs, which raised net proceeds of approximately US$406.7 million from the SC ADSs sold in the Studio City IPO and aggregate gross proceeds of approximately US$2.5 million from the concurrent private placement to Melco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International in connection with Melco International’s “assured entitlement” distribution to its shareholders, after deducting underwriting discounts and commissions and a structuring fee, but before deducting offering expenses payable by SCI. </w:t>
      </w:r>
    </w:p>
    <w:p>
      <w:pPr>
        <w:pStyle w:val="TextBody"/>
        <w:spacing w:before="240" w:after="0"/>
        <w:jc w:val="left"/>
        <w:rPr>
          <w:rFonts w:ascii="Times New Roman" w:hAnsi="Times New Roman"/>
          <w:sz w:val="20"/>
        </w:rPr>
      </w:pPr>
      <w:r>
        <w:rPr>
          <w:rFonts w:ascii="Times New Roman" w:hAnsi="Times New Roman"/>
          <w:sz w:val="20"/>
        </w:rPr>
        <w:t xml:space="preserve">In December 2018, we completed the voluntary tender offer to acquire a total of 1,338,477,668 common shares of MRP from other minority shareholders of MRP and, together with an additional 107,475,300 shares acquired on or after December 6, 2018, increased our equity interest in MRP from approximately 72.8% immediately prior to the announcement of the tender offer to approximately 97.9% on December 13, 2018. MRP was involuntarily delisted from the Philippine Stock Exchange in June 2019 as its public ownership had fallen below the minimum requirement of the Philippine Stock Exchange for more than six months. </w:t>
      </w:r>
    </w:p>
    <w:p>
      <w:pPr>
        <w:pStyle w:val="TextBody"/>
        <w:spacing w:before="240" w:after="0"/>
        <w:jc w:val="left"/>
        <w:rPr>
          <w:rFonts w:ascii="Times New Roman" w:hAnsi="Times New Roman"/>
          <w:sz w:val="20"/>
        </w:rPr>
      </w:pPr>
      <w:r>
        <w:rPr>
          <w:rFonts w:ascii="Times New Roman" w:hAnsi="Times New Roman"/>
          <w:sz w:val="20"/>
        </w:rPr>
        <w:t xml:space="preserve">In June 2019, we acquired an approximately 9.99% ownership interest in Crown Resorts and in April 2020, we sold the entire equity interest to a third party and ceased to be a shareholder of Crown Resorts. </w:t>
      </w:r>
    </w:p>
    <w:p>
      <w:pPr>
        <w:pStyle w:val="TextBody"/>
        <w:spacing w:before="240" w:after="0"/>
        <w:jc w:val="left"/>
        <w:rPr>
          <w:rFonts w:ascii="Times New Roman" w:hAnsi="Times New Roman"/>
          <w:sz w:val="20"/>
        </w:rPr>
      </w:pPr>
      <w:r>
        <w:rPr>
          <w:rFonts w:ascii="Times New Roman" w:hAnsi="Times New Roman"/>
          <w:sz w:val="20"/>
        </w:rPr>
        <w:t xml:space="preserve">On July 31, 2019, we acquired a 75% equity interest in ICR Cyprus, whose subsidiaries are currently operating a temporary casino in Limassol and three satellite casinos in Nicosia, Ayia Napa and Paphos, as well as developing City of Dreams Mediterranean. </w:t>
      </w:r>
    </w:p>
    <w:p>
      <w:pPr>
        <w:pStyle w:val="TextBody"/>
        <w:spacing w:before="240" w:after="0"/>
        <w:jc w:val="left"/>
        <w:rPr>
          <w:rFonts w:ascii="Times New Roman" w:hAnsi="Times New Roman"/>
          <w:sz w:val="20"/>
        </w:rPr>
      </w:pPr>
      <w:r>
        <w:rPr>
          <w:rFonts w:ascii="Times New Roman" w:hAnsi="Times New Roman"/>
          <w:sz w:val="20"/>
        </w:rPr>
        <w:t xml:space="preserve">On May 4, 2022, we were identified as a Commission-Identified Issuer under the Holding Foreign Companies Accountable Act (the “HFCAA”) and the rules promulgated thereunder because our auditor at that time was Ernst &amp; Young, located in Hong Kong, which was a PCAOB-Identified Firm as of May 4, 2022. On August 16, 2022, we changed our auditor from Ernst &amp; Young, located in Hong Kong, to Ernst &amp; Young LLP, located in Singapore, which is not a PCAOB-Identified Firm. In December 2022, the PCAOB announced that it secured complete access to inspect and investigate registered public accounting firms headquartered in mainland China and Hong Kong. As a result, until such time as the PCAOB issues any new determination, we do not believe we are at risk of being a Commission-Identified Issuer for a second consecutive year and are no longer at risk of having our securities subject to a trading prohibition under the HFCAA. </w:t>
      </w:r>
    </w:p>
    <w:p>
      <w:pPr>
        <w:pStyle w:val="TextBody"/>
        <w:spacing w:before="240" w:after="0"/>
        <w:jc w:val="left"/>
        <w:rPr>
          <w:rFonts w:ascii="Times New Roman" w:hAnsi="Times New Roman"/>
          <w:sz w:val="20"/>
        </w:rPr>
      </w:pPr>
      <w:r>
        <w:rPr>
          <w:rFonts w:ascii="Times New Roman" w:hAnsi="Times New Roman"/>
          <w:sz w:val="20"/>
        </w:rPr>
        <w:t xml:space="preserve">In August 2022, we repurchased 9,995,799 ordinary shares and 25,000,000 ADSs from Melco Leisure. </w:t>
      </w:r>
    </w:p>
    <w:p>
      <w:pPr>
        <w:pStyle w:val="TextBody"/>
        <w:spacing w:before="240" w:after="0"/>
        <w:jc w:val="left"/>
        <w:rPr>
          <w:rFonts w:ascii="Times New Roman" w:hAnsi="Times New Roman"/>
          <w:sz w:val="20"/>
        </w:rPr>
      </w:pPr>
      <w:r>
        <w:rPr>
          <w:rFonts w:ascii="Times New Roman" w:hAnsi="Times New Roman"/>
          <w:sz w:val="20"/>
        </w:rPr>
        <w:t xml:space="preserve">In March 2023, we repurchased 40,373,076 ordinary shares from Melco Leisure. </w:t>
      </w:r>
    </w:p>
    <w:p>
      <w:pPr>
        <w:pStyle w:val="TextBody"/>
        <w:spacing w:before="240" w:after="0"/>
        <w:jc w:val="left"/>
        <w:rPr>
          <w:rFonts w:ascii="Times New Roman" w:hAnsi="Times New Roman"/>
          <w:sz w:val="20"/>
        </w:rPr>
      </w:pPr>
      <w:r>
        <w:rPr>
          <w:rFonts w:ascii="Times New Roman" w:hAnsi="Times New Roman"/>
          <w:sz w:val="20"/>
        </w:rPr>
        <w:t xml:space="preserve">Our principal executive offices are located at 71 Robinson Road, #04-03, Singapore 068895 and 38th Floor, The Centrium, 60 Wyndham Street, Central, Hong Kong. Our telephone number is 852-2598-3600 and our fax number is 852-2537-3618. Our website is www.melco-resorts.com. The information contained on our website is not part of this annual report on Form 20-F. </w:t>
      </w:r>
    </w:p>
    <w:p>
      <w:pPr>
        <w:pStyle w:val="TextBody"/>
        <w:spacing w:before="240" w:after="0"/>
        <w:jc w:val="left"/>
        <w:rPr>
          <w:rFonts w:ascii="Times New Roman" w:hAnsi="Times New Roman"/>
          <w:sz w:val="20"/>
        </w:rPr>
      </w:pPr>
      <w:r>
        <w:rPr>
          <w:rFonts w:ascii="Times New Roman" w:hAnsi="Times New Roman"/>
          <w:sz w:val="20"/>
        </w:rPr>
        <w:t xml:space="preserve">The SEC maintains an internet site (http://www.sec.gov) that contains reports, proxy and information statements, and other information regarding issuers that file electronically with the SEC. </w:t>
      </w:r>
    </w:p>
    <w:p>
      <w:pPr>
        <w:pStyle w:val="TextBody"/>
        <w:spacing w:before="480" w:after="0"/>
        <w:jc w:val="center"/>
        <w:rPr>
          <w:rFonts w:ascii="Times New Roman" w:hAnsi="Times New Roman"/>
          <w:b/>
          <w:sz w:val="20"/>
        </w:rPr>
      </w:pPr>
      <w:bookmarkStart w:id="17" w:name="rom396630_14"/>
      <w:bookmarkEnd w:id="17"/>
      <w:r>
        <w:rPr>
          <w:rFonts w:ascii="Times New Roman" w:hAnsi="Times New Roman"/>
          <w:b/>
          <w:sz w:val="20"/>
        </w:rPr>
        <w:t xml:space="preserve">B. BUSINESS OVERVIEW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are a developer, owner and operator of integrated resort facilities in Asia and Europe. We currently have three major casino-based operations in Macau, namely, City of Dreams, Altira Macau and Studio City, and non-casino based operations in Macau at our Mocha Clubs. In Macau, as of March 30, 2023, we are finalizing the licensing procedures of the Phase 2 project for the land of Studio City. We also have a casino-based operation in the Philippines, City of Dreams Manila. In 2019, we expanded our footprint outside of Asia and into Europe following our acquisition of a 75% equity interest in ICR Cyprus, which owns the City of Dreams Mediterranean development and operates other casinos in Cyprus.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current and future operations are designed to cater to a broad spectrum of gaming patrons, from high-stakes rolling chip gaming patrons to gaming patrons seeking a broader entertainment experience. We currently own and operate five Forbes Travel Guide Five-Star hotels in Asia — Altira Macau, Studio City’s Star Tower, Morpheus and Nüwa in both Macau and Manila — and received 17 Forbes Travel Guide Five-Star and three Forbes Travel Guide Four-Star recognitions across our properties in 2023. We seek to attract patrons throughout Asia, Europe and, in particular, from Greater China. </w:t>
      </w:r>
    </w:p>
    <w:p>
      <w:pPr>
        <w:pStyle w:val="TextBody"/>
        <w:spacing w:before="240" w:after="0"/>
        <w:jc w:val="left"/>
        <w:rPr>
          <w:rFonts w:ascii="Times New Roman" w:hAnsi="Times New Roman"/>
          <w:sz w:val="20"/>
        </w:rPr>
      </w:pPr>
      <w:r>
        <w:rPr>
          <w:rFonts w:ascii="Times New Roman" w:hAnsi="Times New Roman"/>
          <w:sz w:val="20"/>
        </w:rPr>
        <w:t xml:space="preserve">In the Philippines, Melco Resorts Leisure, a subsidiary of MRP, currently operates and manages City of Dreams Manila, an integrated resort in the Entertainment City complex in Manila. </w:t>
      </w:r>
    </w:p>
    <w:p>
      <w:pPr>
        <w:pStyle w:val="TextBody"/>
        <w:spacing w:before="240" w:after="0"/>
        <w:jc w:val="left"/>
        <w:rPr>
          <w:rFonts w:ascii="Times New Roman" w:hAnsi="Times New Roman"/>
          <w:sz w:val="20"/>
        </w:rPr>
      </w:pPr>
      <w:r>
        <w:rPr>
          <w:rFonts w:ascii="Times New Roman" w:hAnsi="Times New Roman"/>
          <w:sz w:val="20"/>
        </w:rPr>
        <w:t xml:space="preserve">In Cyprus, Integrated Casino Resorts, a wholly-owned subsidiary of ICR Cyprus, currently operates and manages our Cyprus casinos. </w:t>
      </w:r>
    </w:p>
    <w:p>
      <w:pPr>
        <w:pStyle w:val="TextBody"/>
        <w:spacing w:before="240" w:after="0"/>
        <w:jc w:val="left"/>
        <w:rPr>
          <w:rFonts w:ascii="Times New Roman" w:hAnsi="Times New Roman"/>
          <w:sz w:val="20"/>
        </w:rPr>
      </w:pPr>
      <w:r>
        <w:rPr>
          <w:rFonts w:ascii="Times New Roman" w:hAnsi="Times New Roman"/>
          <w:sz w:val="20"/>
        </w:rPr>
        <w:t xml:space="preserve">We have earned multiple international accolades recognizing our excellence in operations, corporate social responsibility and contributions towards sustainability. These awards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Outstanding Contribution in Corporate Social Responsibility” and “Best Responsible Gaming Program” at the Asia Gaming Awards 2023, </w:t>
            </w:r>
          </w:p>
        </w:tc>
      </w:tr>
    </w:tbl>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pPr>
            <w:r>
              <w:rPr/>
              <w:t>“</w:t>
            </w:r>
            <w:r>
              <w:rPr>
                <w:rFonts w:ascii="Times New Roman" w:hAnsi="Times New Roman"/>
                <w:sz w:val="20"/>
              </w:rPr>
              <w:t xml:space="preserve">Corporate Social Responsibility Award of the Year” at the Global Gaming Awards Asia in 2022, </w:t>
            </w:r>
          </w:p>
        </w:tc>
      </w:tr>
    </w:tbl>
    <w:p>
      <w:pPr>
        <w:pStyle w:val="TextBody"/>
        <w:spacing w:before="0" w:after="0"/>
        <w:jc w:val="left"/>
        <w:rPr/>
      </w:pPr>
      <w:r>
        <w:rPr/>
        <w:t> </w:t>
      </w:r>
    </w:p>
    <w:tbl>
      <w:tblPr>
        <w:tblW w:w="5875" w:type="dxa"/>
        <w:jc w:val="left"/>
        <w:tblInd w:w="0" w:type="dxa"/>
        <w:tblCellMar>
          <w:top w:w="0" w:type="dxa"/>
          <w:left w:w="0" w:type="dxa"/>
          <w:bottom w:w="0" w:type="dxa"/>
          <w:right w:w="0" w:type="dxa"/>
        </w:tblCellMar>
      </w:tblPr>
      <w:tblGrid>
        <w:gridCol w:w="75"/>
        <w:gridCol w:w="110"/>
        <w:gridCol w:w="60"/>
        <w:gridCol w:w="56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30" w:type="dxa"/>
            <w:tcBorders/>
            <w:shd w:fill="auto" w:val="clear"/>
            <w:vAlign w:val="center"/>
          </w:tcPr>
          <w:p>
            <w:pPr>
              <w:pStyle w:val="TableContents"/>
              <w:spacing w:before="0" w:after="0"/>
              <w:jc w:val="left"/>
              <w:rPr/>
            </w:pPr>
            <w:r>
              <w:rPr/>
              <w:t>“</w:t>
            </w:r>
            <w:r>
              <w:rPr>
                <w:rFonts w:ascii="Times New Roman" w:hAnsi="Times New Roman"/>
                <w:sz w:val="20"/>
              </w:rPr>
              <w:t xml:space="preserve">Sustainability Award” at the International Gaming Awards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Company’s training program “Morpheus Moments – Whatever It Takes, Whenever, However” was granted the 2022 Excellence in Practice Award by The Association for Talent Development (ATD) in the “Customer Service Training” category,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Best Environmental Responsibility” at the Asian Excellence Awards by </w:t>
            </w:r>
            <w:r>
              <w:rPr>
                <w:rFonts w:ascii="Times New Roman" w:hAnsi="Times New Roman"/>
                <w:i/>
                <w:sz w:val="20"/>
              </w:rPr>
              <w:t>Corporate Governance Asia</w:t>
            </w:r>
            <w:r>
              <w:rPr>
                <w:rFonts w:ascii="Times New Roman" w:hAnsi="Times New Roman"/>
                <w:sz w:val="20"/>
              </w:rPr>
              <w:t xml:space="preserve"> magazine for the tenth consecutive year in 2022, </w:t>
            </w:r>
          </w:p>
        </w:tc>
      </w:tr>
    </w:tbl>
    <w:p>
      <w:pPr>
        <w:pStyle w:val="TextBody"/>
        <w:spacing w:before="0" w:after="0"/>
        <w:jc w:val="left"/>
        <w:rPr/>
      </w:pPr>
      <w:r>
        <w:rPr/>
        <w:t> </w:t>
      </w:r>
    </w:p>
    <w:tbl>
      <w:tblPr>
        <w:tblW w:w="6610" w:type="dxa"/>
        <w:jc w:val="left"/>
        <w:tblInd w:w="0" w:type="dxa"/>
        <w:tblCellMar>
          <w:top w:w="0" w:type="dxa"/>
          <w:left w:w="0" w:type="dxa"/>
          <w:bottom w:w="0" w:type="dxa"/>
          <w:right w:w="0" w:type="dxa"/>
        </w:tblCellMar>
      </w:tblPr>
      <w:tblGrid>
        <w:gridCol w:w="75"/>
        <w:gridCol w:w="110"/>
        <w:gridCol w:w="60"/>
        <w:gridCol w:w="63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65" w:type="dxa"/>
            <w:tcBorders/>
            <w:shd w:fill="auto" w:val="clear"/>
            <w:vAlign w:val="center"/>
          </w:tcPr>
          <w:p>
            <w:pPr>
              <w:pStyle w:val="TableContents"/>
              <w:spacing w:before="0" w:after="0"/>
              <w:jc w:val="left"/>
              <w:rPr/>
            </w:pPr>
            <w:r>
              <w:rPr/>
              <w:t>“</w:t>
            </w:r>
            <w:r>
              <w:rPr>
                <w:rFonts w:ascii="Times New Roman" w:hAnsi="Times New Roman"/>
                <w:sz w:val="20"/>
              </w:rPr>
              <w:t xml:space="preserve">Sustainable Resort of the Year” at the International Gaming Awards in 2021, </w:t>
            </w:r>
          </w:p>
        </w:tc>
      </w:tr>
    </w:tbl>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pPr>
            <w:r>
              <w:rPr/>
              <w:t>“</w:t>
            </w:r>
            <w:r>
              <w:rPr>
                <w:rFonts w:ascii="Times New Roman" w:hAnsi="Times New Roman"/>
                <w:sz w:val="20"/>
              </w:rPr>
              <w:t xml:space="preserve">Climate Change Initiative” at the Pacific Asia Travel Association (PATA) Gold Awards in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pPr>
            <w:r>
              <w:rPr/>
              <w:t>“</w:t>
            </w:r>
            <w:r>
              <w:rPr>
                <w:rFonts w:ascii="Times New Roman" w:hAnsi="Times New Roman"/>
                <w:sz w:val="20"/>
              </w:rPr>
              <w:t xml:space="preserve">Asia’s Best CSR” at the Asian Excellence Awards by </w:t>
            </w:r>
            <w:r>
              <w:rPr>
                <w:rFonts w:ascii="Times New Roman" w:hAnsi="Times New Roman"/>
                <w:i/>
                <w:sz w:val="20"/>
              </w:rPr>
              <w:t>Corporate Governance Asia</w:t>
            </w:r>
            <w:r>
              <w:rPr>
                <w:rFonts w:ascii="Times New Roman" w:hAnsi="Times New Roman"/>
                <w:sz w:val="20"/>
              </w:rPr>
              <w:t xml:space="preserve"> magazine for the second consecutive year in 2021, </w:t>
            </w:r>
          </w:p>
        </w:tc>
      </w:tr>
    </w:tbl>
    <w:p>
      <w:pPr>
        <w:pStyle w:val="TextBody"/>
        <w:spacing w:before="0" w:after="0"/>
        <w:jc w:val="left"/>
        <w:rPr/>
      </w:pPr>
      <w:r>
        <w:rPr/>
        <w:t> </w:t>
      </w:r>
    </w:p>
    <w:tbl>
      <w:tblPr>
        <w:tblW w:w="5395" w:type="dxa"/>
        <w:jc w:val="left"/>
        <w:tblInd w:w="0" w:type="dxa"/>
        <w:tblCellMar>
          <w:top w:w="0" w:type="dxa"/>
          <w:left w:w="0" w:type="dxa"/>
          <w:bottom w:w="0" w:type="dxa"/>
          <w:right w:w="0" w:type="dxa"/>
        </w:tblCellMar>
      </w:tblPr>
      <w:tblGrid>
        <w:gridCol w:w="75"/>
        <w:gridCol w:w="110"/>
        <w:gridCol w:w="60"/>
        <w:gridCol w:w="5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150" w:type="dxa"/>
            <w:tcBorders/>
            <w:shd w:fill="auto" w:val="clear"/>
            <w:vAlign w:val="center"/>
          </w:tcPr>
          <w:p>
            <w:pPr>
              <w:pStyle w:val="TableContents"/>
              <w:spacing w:before="0" w:after="0"/>
              <w:jc w:val="left"/>
              <w:rPr/>
            </w:pPr>
            <w:r>
              <w:rPr/>
              <w:t>“</w:t>
            </w:r>
            <w:r>
              <w:rPr>
                <w:rFonts w:ascii="Times New Roman" w:hAnsi="Times New Roman"/>
                <w:sz w:val="20"/>
              </w:rPr>
              <w:t xml:space="preserve">WeCare™ HR Asia Most Caring Companies Award” in 2021, </w:t>
            </w:r>
          </w:p>
        </w:tc>
      </w:tr>
    </w:tbl>
    <w:p>
      <w:pPr>
        <w:pStyle w:val="TextBody"/>
        <w:spacing w:before="0" w:after="0"/>
        <w:jc w:val="left"/>
        <w:rPr/>
      </w:pPr>
      <w:r>
        <w:rPr/>
        <w:t> </w:t>
      </w:r>
    </w:p>
    <w:tbl>
      <w:tblPr>
        <w:tblW w:w="8350" w:type="dxa"/>
        <w:jc w:val="left"/>
        <w:tblInd w:w="0" w:type="dxa"/>
        <w:tblCellMar>
          <w:top w:w="0" w:type="dxa"/>
          <w:left w:w="0" w:type="dxa"/>
          <w:bottom w:w="0" w:type="dxa"/>
          <w:right w:w="0" w:type="dxa"/>
        </w:tblCellMar>
      </w:tblPr>
      <w:tblGrid>
        <w:gridCol w:w="75"/>
        <w:gridCol w:w="110"/>
        <w:gridCol w:w="60"/>
        <w:gridCol w:w="8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05" w:type="dxa"/>
            <w:tcBorders/>
            <w:shd w:fill="auto" w:val="clear"/>
            <w:vAlign w:val="center"/>
          </w:tcPr>
          <w:p>
            <w:pPr>
              <w:pStyle w:val="TableContents"/>
              <w:spacing w:before="0" w:after="0"/>
              <w:jc w:val="left"/>
              <w:rPr/>
            </w:pPr>
            <w:r>
              <w:rPr/>
              <w:t>“</w:t>
            </w:r>
            <w:r>
              <w:rPr>
                <w:rFonts w:ascii="Times New Roman" w:hAnsi="Times New Roman"/>
                <w:sz w:val="20"/>
              </w:rPr>
              <w:t xml:space="preserve">Best Companies to Work for in Asia” by </w:t>
            </w:r>
            <w:r>
              <w:rPr>
                <w:rFonts w:ascii="Times New Roman" w:hAnsi="Times New Roman"/>
                <w:i/>
                <w:sz w:val="20"/>
              </w:rPr>
              <w:t>HR Asia</w:t>
            </w:r>
            <w:r>
              <w:rPr>
                <w:rFonts w:ascii="Times New Roman" w:hAnsi="Times New Roman"/>
                <w:sz w:val="20"/>
              </w:rPr>
              <w:t xml:space="preserve"> magazine for the third consecutive year in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RG Check certifications for our entire global portfolio, including Altira Macau, City of Dreams, Studio City, City of Dreams Manila, and Cyprus Casinos in 2021, making us the first and only operator globally to receive RG Check certifications for its entire portfolio. Developed by the Responsible Gambling Council, RG Check is the world’s gold standard and most comprehensive responsible gaming accreditation program established and implemented by an independent panel of respected gaming specialists, </w:t>
            </w:r>
          </w:p>
        </w:tc>
      </w:tr>
    </w:tbl>
    <w:p>
      <w:pPr>
        <w:pStyle w:val="TextBody"/>
        <w:spacing w:before="0" w:after="0"/>
        <w:jc w:val="left"/>
        <w:rPr/>
      </w:pPr>
      <w:r>
        <w:rPr/>
        <w:t> </w:t>
      </w:r>
    </w:p>
    <w:tbl>
      <w:tblPr>
        <w:tblW w:w="6790" w:type="dxa"/>
        <w:jc w:val="left"/>
        <w:tblInd w:w="0" w:type="dxa"/>
        <w:tblCellMar>
          <w:top w:w="0" w:type="dxa"/>
          <w:left w:w="0" w:type="dxa"/>
          <w:bottom w:w="0" w:type="dxa"/>
          <w:right w:w="0" w:type="dxa"/>
        </w:tblCellMar>
      </w:tblPr>
      <w:tblGrid>
        <w:gridCol w:w="75"/>
        <w:gridCol w:w="110"/>
        <w:gridCol w:w="60"/>
        <w:gridCol w:w="6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45" w:type="dxa"/>
            <w:tcBorders/>
            <w:shd w:fill="auto" w:val="clear"/>
            <w:vAlign w:val="center"/>
          </w:tcPr>
          <w:p>
            <w:pPr>
              <w:pStyle w:val="TableContents"/>
              <w:spacing w:before="0" w:after="0"/>
              <w:jc w:val="left"/>
              <w:rPr/>
            </w:pPr>
            <w:r>
              <w:rPr/>
              <w:t>“</w:t>
            </w:r>
            <w:r>
              <w:rPr>
                <w:rFonts w:ascii="Times New Roman" w:hAnsi="Times New Roman"/>
                <w:sz w:val="20"/>
              </w:rPr>
              <w:t xml:space="preserve">Integrated Resort of the Year” at the International Gaming Awards in 2020 and </w:t>
            </w:r>
          </w:p>
        </w:tc>
      </w:tr>
    </w:tbl>
    <w:p>
      <w:pPr>
        <w:pStyle w:val="TextBody"/>
        <w:spacing w:before="0" w:after="0"/>
        <w:jc w:val="left"/>
        <w:rPr/>
      </w:pPr>
      <w:r>
        <w:rPr/>
        <w:t> </w:t>
      </w:r>
    </w:p>
    <w:tbl>
      <w:tblPr>
        <w:tblW w:w="6235" w:type="dxa"/>
        <w:jc w:val="left"/>
        <w:tblInd w:w="0" w:type="dxa"/>
        <w:tblCellMar>
          <w:top w:w="0" w:type="dxa"/>
          <w:left w:w="0" w:type="dxa"/>
          <w:bottom w:w="0" w:type="dxa"/>
          <w:right w:w="0" w:type="dxa"/>
        </w:tblCellMar>
      </w:tblPr>
      <w:tblGrid>
        <w:gridCol w:w="75"/>
        <w:gridCol w:w="110"/>
        <w:gridCol w:w="60"/>
        <w:gridCol w:w="5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0"/>
              <w:jc w:val="left"/>
              <w:rPr/>
            </w:pPr>
            <w:r>
              <w:rPr/>
              <w:t>“</w:t>
            </w:r>
            <w:r>
              <w:rPr>
                <w:rFonts w:ascii="Times New Roman" w:hAnsi="Times New Roman"/>
                <w:sz w:val="20"/>
              </w:rPr>
              <w:t xml:space="preserve">Community Award — Asia” at the Industry Community Award in 2020. </w:t>
            </w:r>
          </w:p>
        </w:tc>
      </w:tr>
    </w:tbl>
    <w:p>
      <w:pPr>
        <w:pStyle w:val="TextBody"/>
        <w:spacing w:before="240" w:after="0"/>
        <w:jc w:val="left"/>
        <w:rPr>
          <w:rFonts w:ascii="Times New Roman" w:hAnsi="Times New Roman"/>
          <w:sz w:val="20"/>
        </w:rPr>
      </w:pPr>
      <w:r>
        <w:rPr>
          <w:rFonts w:ascii="Times New Roman" w:hAnsi="Times New Roman"/>
          <w:sz w:val="20"/>
        </w:rPr>
        <w:t xml:space="preserve">We generated a significant majority of our total revenues for each of the years ended December 31, 2022, 2021 and 2020 from our operations in Macau, the principal market in which we compete. For further information on the Macau gaming market, see “— Market and Competition — Macau Gaming Market.” Our resort facilities have been subject to periodic closures, reduced operating capacities and other restrictions as a result of government restrictions in connection with COVID-19 outbreaks. For additional information, see “Item 3. Key Information — D. Risk Factors — Risks Relating to Our Business and Operations — COVID-19 outbreaks have had an adverse effect on our operations, which has had a significant negative effect over the past three years and may continue to materially impact our business, prospects, financial condition and results of operations.”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Our Major Existing Operations </w:t>
      </w:r>
    </w:p>
    <w:p>
      <w:pPr>
        <w:pStyle w:val="TextBody"/>
        <w:spacing w:before="120" w:after="0"/>
        <w:jc w:val="left"/>
        <w:rPr>
          <w:rFonts w:ascii="Times New Roman" w:hAnsi="Times New Roman"/>
          <w:b/>
          <w:i/>
          <w:sz w:val="20"/>
        </w:rPr>
      </w:pPr>
      <w:r>
        <w:rPr>
          <w:rFonts w:ascii="Times New Roman" w:hAnsi="Times New Roman"/>
          <w:b/>
          <w:i/>
          <w:sz w:val="20"/>
        </w:rPr>
        <w:t xml:space="preserve">City of Dreams </w:t>
      </w:r>
    </w:p>
    <w:p>
      <w:pPr>
        <w:pStyle w:val="TextBody"/>
        <w:spacing w:before="120" w:after="0"/>
        <w:jc w:val="left"/>
        <w:rPr>
          <w:rFonts w:ascii="Times New Roman" w:hAnsi="Times New Roman"/>
          <w:sz w:val="20"/>
        </w:rPr>
      </w:pPr>
      <w:r>
        <w:rPr>
          <w:rFonts w:ascii="Times New Roman" w:hAnsi="Times New Roman"/>
          <w:sz w:val="20"/>
        </w:rPr>
        <w:t xml:space="preserve">City of Dreams is an integrated resort in Cotai, Macau, which opened in June 2009. City of Dreams is a premium-focused property, targeting high-end customers and rolling chip players from regional markets across Asia. Excluding gaming tables and gaming machines that were not in operation due to government-mandated closures or social distancing measures in relation to COVID-19 outbreaks, City of Dreams had an average of approximately 447 gaming tables and approximately 677 gaming machines in 2022, compared to an average of approximately 511 gaming tables and approximately 572 gaming machines in 2021 and an average of approximately 496 gaming tables and approximately 487 gaming machines in 2020. </w:t>
      </w:r>
    </w:p>
    <w:p>
      <w:pPr>
        <w:pStyle w:val="TextBody"/>
        <w:spacing w:before="240" w:after="0"/>
        <w:jc w:val="left"/>
        <w:rPr>
          <w:rFonts w:ascii="Times New Roman" w:hAnsi="Times New Roman"/>
          <w:sz w:val="20"/>
        </w:rPr>
      </w:pPr>
      <w:r>
        <w:rPr>
          <w:rFonts w:ascii="Times New Roman" w:hAnsi="Times New Roman"/>
          <w:sz w:val="20"/>
        </w:rPr>
        <w:t xml:space="preserve">The resort brings together a collection of brands to create an experience that appeals to a broad spectrum of visitors from around Asia. Morpheus offers approximately 780 rooms, suites and villas. Nüwa, which was under renovation since early 2020 and re-opened at the end of March 2021 offers approximately 290 guest rooms and the Grand Hyatt Macau hotel offers approximately 760 guest rooms. In addition, City of Dreams includes approximately 40 restaurants and bars, approximately 170 retail outlets, a wet stage performance theater, recreation and leisure facilities, including health and fitness clubs, swimming pools, spas and salons and banquet and meeting facilities. The Para nightclub which replaced Club Cubic offers approximately 2,232 square meters (equivalent to approximately 24,025 square feet) of live entertainment space. SOHO, a lifestyle entertainment and dining precinct located on the second floor of City of Dreams, offers customers a wide selection of food and beverage and other non-gaming offerings. The wet stage performance theater with approximately 2,000 seats features The House of Dancing Water (temporarily closed since June 2020) is expected to re-open in 2024. The Countdown will undergo renovations as part of its rebranding. </w:t>
      </w:r>
    </w:p>
    <w:p>
      <w:pPr>
        <w:pStyle w:val="TextBody"/>
        <w:spacing w:before="240" w:after="0"/>
        <w:jc w:val="left"/>
        <w:rPr>
          <w:rFonts w:ascii="Times New Roman" w:hAnsi="Times New Roman"/>
          <w:sz w:val="20"/>
        </w:rPr>
      </w:pPr>
      <w:r>
        <w:rPr>
          <w:rFonts w:ascii="Times New Roman" w:hAnsi="Times New Roman"/>
          <w:sz w:val="20"/>
        </w:rPr>
        <w:t xml:space="preserve">City of Dreams has garnered numerous awards in recognition of its high level of customer service and diverse range of entertainment experiences. Below are some of these accolades: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Morpheus was recognized by Forbes Travel Guide with Five-Star recognition across its entire hotel, spa and dining facilities for the fourth consecutive year in 2023. Other accolades garnered by Morpheus include: </w:t>
            </w:r>
          </w:p>
        </w:tc>
      </w:tr>
    </w:tbl>
    <w:p>
      <w:pPr>
        <w:pStyle w:val="TextBody"/>
        <w:spacing w:before="0" w:after="0"/>
        <w:jc w:val="left"/>
        <w:rPr/>
      </w:pPr>
      <w:r>
        <w:rPr/>
        <w:t> </w:t>
      </w:r>
    </w:p>
    <w:tbl>
      <w:tblPr>
        <w:tblW w:w="6595" w:type="dxa"/>
        <w:jc w:val="left"/>
        <w:tblInd w:w="0" w:type="dxa"/>
        <w:tblCellMar>
          <w:top w:w="0" w:type="dxa"/>
          <w:left w:w="0" w:type="dxa"/>
          <w:bottom w:w="0" w:type="dxa"/>
          <w:right w:w="0" w:type="dxa"/>
        </w:tblCellMar>
      </w:tblPr>
      <w:tblGrid>
        <w:gridCol w:w="75"/>
        <w:gridCol w:w="110"/>
        <w:gridCol w:w="60"/>
        <w:gridCol w:w="6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Top 10% worldwide hotels for 2021 Travelers’ Choice Award by Tripadvisor, </w:t>
            </w:r>
          </w:p>
        </w:tc>
      </w:tr>
    </w:tbl>
    <w:p>
      <w:pPr>
        <w:pStyle w:val="TextBody"/>
        <w:spacing w:before="0" w:after="0"/>
        <w:jc w:val="left"/>
        <w:rPr/>
      </w:pPr>
      <w:r>
        <w:rPr/>
        <w:t> </w:t>
      </w:r>
    </w:p>
    <w:tbl>
      <w:tblPr>
        <w:tblW w:w="7945" w:type="dxa"/>
        <w:jc w:val="left"/>
        <w:tblInd w:w="0" w:type="dxa"/>
        <w:tblCellMar>
          <w:top w:w="0" w:type="dxa"/>
          <w:left w:w="0" w:type="dxa"/>
          <w:bottom w:w="0" w:type="dxa"/>
          <w:right w:w="0" w:type="dxa"/>
        </w:tblCellMar>
      </w:tblPr>
      <w:tblGrid>
        <w:gridCol w:w="75"/>
        <w:gridCol w:w="110"/>
        <w:gridCol w:w="60"/>
        <w:gridCol w:w="7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Named “Best New Hotel in Macao” at the 13th Annual TTG China Travel Awards in 2020 and </w:t>
            </w:r>
          </w:p>
        </w:tc>
      </w:tr>
    </w:tbl>
    <w:p>
      <w:pPr>
        <w:pStyle w:val="TextBody"/>
        <w:spacing w:before="0" w:after="0"/>
        <w:jc w:val="left"/>
        <w:rPr/>
      </w:pPr>
      <w:r>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International Hotel &amp; Property Award in the “Hotel Over 200 Rooms, Asia Pacific” category in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Nüwa (then branded as Crown Towers) was recognized as a Forbes Travel Guide Five-Star hotel for the 11th consecutive year in 2023, while its spa was awarded Forbes Travel Guide Five-Star recognition for the tenth consecutive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Cantonese culinary masterpiece Jade Dragon was awarded Forbes Travel Guide Five-Star recognition for the tenth consecutive year in 2023. It maintained its three-star Michelin rating for the fourth consecutive year in the Michelin Guide Hong Kong Macau 2022. It was also included in the 2019 list of Asia’s 50 Best Restaurants, a gastronomic guide judged by Asia’s 50 Best Restaurants Academy, for the third consecutive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ultimate French culinary experience provided by Alain Ducasse at Morpheus enabled it to receive Forbes Travel Guide Five-Star recognition for the fourth year in 2023. It attained two Michelin stars in the Michelin Guide Hong Kong Macau 2022 for the fourth year running,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Yi at Morpheus was honored with Forbes Travel Guide Five-Star recognition for the fourth year in 2023. It was recommended by Michelin Guide Hong Kong Macau 2022,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Both Morpheus and Nüwa achieved the Sharecare Health Security VERIFIED® with Forbes Travel Guide certification in 2020 in recognition of their commitment to creating a culture of accountability and following global best practices to heighten health security.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Dancing Water Theater, a wet stage performance theater with approximately 2,000 seats, features the internationally acclaimed and award-winning water-based extravaganza, The House of Dancing Water. The House of Dancing Water is the live entertainment centerpiece of the overall leisure and entertainment offering at City of Dreams and highlights City of Dreams as an innovative entertainment-focused destination, strengthening the overall diversity of Macau as a multi-day stay market and one of Asia’s premier leisure and entertainment destinations. The House of Dancing Water incorporates costumes, sets and audio-visual special effects and showcases an international cast of performance artists. The HK$2.0 billion world-class production was honored by the Global Gaming Expo (G2E) Asia Awards 2019 for Best Integrated Resorts Non-Gaming Attraction. The House of Dancing Water has been temporarily closed since June 2020 and is expected to re-open in 2024. </w:t>
      </w:r>
    </w:p>
    <w:p>
      <w:pPr>
        <w:pStyle w:val="TextBody"/>
        <w:spacing w:before="360" w:after="0"/>
        <w:jc w:val="left"/>
        <w:rPr>
          <w:rFonts w:ascii="Times New Roman" w:hAnsi="Times New Roman"/>
          <w:b/>
          <w:i/>
          <w:sz w:val="20"/>
        </w:rPr>
      </w:pPr>
      <w:r>
        <w:rPr>
          <w:rFonts w:ascii="Times New Roman" w:hAnsi="Times New Roman"/>
          <w:b/>
          <w:i/>
          <w:sz w:val="20"/>
        </w:rPr>
        <w:t xml:space="preserve">Altira Macau </w:t>
      </w:r>
    </w:p>
    <w:p>
      <w:pPr>
        <w:pStyle w:val="TextBody"/>
        <w:spacing w:before="120" w:after="0"/>
        <w:jc w:val="left"/>
        <w:rPr>
          <w:rFonts w:ascii="Times New Roman" w:hAnsi="Times New Roman"/>
          <w:sz w:val="20"/>
        </w:rPr>
      </w:pPr>
      <w:r>
        <w:rPr>
          <w:rFonts w:ascii="Times New Roman" w:hAnsi="Times New Roman"/>
          <w:sz w:val="20"/>
        </w:rPr>
        <w:t xml:space="preserve">Since the third quarter of 2021, Altira Macau has strategically repositioned to cater to the premium mass segment and has shut down VIP rolling chip operations. Prior to that, Altira Macau was designed to provide a casino and hotel experience that catered to Asian rolling chip customers. Excluding gaming tables and gaming machines that were not in operation due to government-mandated closures or social distancing measures in relation to COVID-19 outbreaks, Altira Macau had an average of approximately 93 gaming tables and 146 gaming machines operated under the brand Mocha Club at Altira Macau in 2022, compared to an average of approximately 101 gaming tables and 121 gaming machines operated under the brand Mocha Club at Altira Macau in 2021 and an average of approximately 97 gaming tables and 110 gaming machines operated under the brand Mocha Club at Altira Macau in 2020. Altira Macau has a multi-floor layout comprising various gaming areas. Our multi-floor layout allows us the flexibility to reconfigure Altira Macau’s gaming areas to meet the changing demands of our patrons and target specific customer segments. </w:t>
      </w:r>
    </w:p>
    <w:p>
      <w:pPr>
        <w:pStyle w:val="TextBody"/>
        <w:spacing w:before="240" w:after="0"/>
        <w:jc w:val="left"/>
        <w:rPr>
          <w:rFonts w:ascii="Times New Roman" w:hAnsi="Times New Roman"/>
          <w:sz w:val="20"/>
        </w:rPr>
      </w:pPr>
      <w:r>
        <w:rPr>
          <w:rFonts w:ascii="Times New Roman" w:hAnsi="Times New Roman"/>
          <w:sz w:val="20"/>
        </w:rPr>
        <w:t xml:space="preserve">We consider Altira hotel, located within the 38-story Altira Macau, to be one of the leading hotels in Macau as evidenced by its long-standing Forbes Travel Guide Five-Star recognition. The top floor of the Altira hotel serves as the hotel lobby and reception area, providing guests with views of the surrounding area. The Altira hotel comprises approximately 220 guest rooms, including suites and villas, as of December 31, 2022. A number of restaurants and dining facilities are available at Altira Macau, including a leading Italian restaurant, Aurora, several Chinese and international restaurants and several bars. Altira hotel also offers several non-gaming amenities, including a spa, gymnasium, outdoor garden podium and sky terrace lounge. In 2020, Altira Macau achieved the Sharecare Health Security VERIFIED® with Forbes Travel Guide certification. </w:t>
      </w:r>
    </w:p>
    <w:p>
      <w:pPr>
        <w:pStyle w:val="TextBody"/>
        <w:spacing w:before="240" w:after="0"/>
        <w:jc w:val="left"/>
        <w:rPr>
          <w:rFonts w:ascii="Times New Roman" w:hAnsi="Times New Roman"/>
          <w:sz w:val="20"/>
        </w:rPr>
      </w:pPr>
      <w:r>
        <w:rPr>
          <w:rFonts w:ascii="Times New Roman" w:hAnsi="Times New Roman"/>
          <w:sz w:val="20"/>
        </w:rPr>
        <w:t xml:space="preserve">Altira Macau offers a luxurious hotel experience with its internationally acclaimed accommodation and guest services. Below are some of the awards Altira Macau has received: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Forbes Travel Guide Five-Star recognition in lodging and spa categories by Forbes Travel Guide for 14 consecutive years in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Altira Spa was selected as the Country Winner in the “Luxury Wellness Spa” category at the World Luxury Spa Awards in 2020, </w:t>
            </w:r>
          </w:p>
        </w:tc>
      </w:tr>
    </w:tbl>
    <w:p>
      <w:pPr>
        <w:pStyle w:val="TextBody"/>
        <w:spacing w:before="0" w:after="0"/>
        <w:jc w:val="left"/>
        <w:rPr/>
      </w:pPr>
      <w:r>
        <w:rPr/>
        <w:t> </w:t>
      </w:r>
    </w:p>
    <w:tbl>
      <w:tblPr>
        <w:tblW w:w="9745" w:type="dxa"/>
        <w:jc w:val="left"/>
        <w:tblInd w:w="0" w:type="dxa"/>
        <w:tblCellMar>
          <w:top w:w="0" w:type="dxa"/>
          <w:left w:w="0" w:type="dxa"/>
          <w:bottom w:w="0" w:type="dxa"/>
          <w:right w:w="0" w:type="dxa"/>
        </w:tblCellMar>
      </w:tblPr>
      <w:tblGrid>
        <w:gridCol w:w="75"/>
        <w:gridCol w:w="110"/>
        <w:gridCol w:w="60"/>
        <w:gridCol w:w="9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Its Italian restaurant Aurora earned Forbes Travel Guide Five-Star recognition for the tenth consecutive year in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Its Japanese tempura specialist Tenmasa received Forbes Travel Guide Five-Star recognition for the ninth consecutive year in 2023 and was recommended by Michelin Guide Hong Kong Macau 2022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Its Cantonese restaurant Ying was honored with the Forbes Travel Guide Five-Star recognition for the fourth consecutive year in 2023. It was awarded a Michelin star in the Michelin Guide Hong Kong Macau 2022 for the sixth consecutive year.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Studio City </w:t>
      </w:r>
    </w:p>
    <w:p>
      <w:pPr>
        <w:pStyle w:val="TextBody"/>
        <w:spacing w:before="120" w:after="0"/>
        <w:jc w:val="left"/>
        <w:rPr>
          <w:rFonts w:ascii="Times New Roman" w:hAnsi="Times New Roman"/>
          <w:sz w:val="20"/>
        </w:rPr>
      </w:pPr>
      <w:r>
        <w:rPr>
          <w:rFonts w:ascii="Times New Roman" w:hAnsi="Times New Roman"/>
          <w:sz w:val="20"/>
        </w:rPr>
        <w:t xml:space="preserve">Studio City is a large-scale cinematically-themed integrated resort which opened in October 2015. The gaming operations of Studio City are focused on the mass market and target all ranges of mass market patrons. The mass market focus of Studio City Casino is currently complemented with VIP rolling chip operations. Melco Resorts Macau currently has 250 gaming tables, including 15 tables for VIP rolling chip operations, and 552 gaming machines available for operation at the Studio City Casino pursuant to the Studio City Casino Agreement. Excluding gaming tables and gaming machines that were not in operation due to government-mandated closures or social distancing measures in relation to COVID-19 outbreaks, Studio City Casino had an average of approximately 277 gaming tables and 700 gaming machines in operation in 2022, compared to an average of approximately 290 gaming tables and 645 gaming machines in operation in 2021 and an average of approximately 282 gaming tables and 586 gaming machines in operation in 2020. </w:t>
      </w:r>
    </w:p>
    <w:p>
      <w:pPr>
        <w:pStyle w:val="TextBody"/>
        <w:spacing w:before="240" w:after="0"/>
        <w:jc w:val="left"/>
        <w:rPr>
          <w:rFonts w:ascii="Times New Roman" w:hAnsi="Times New Roman"/>
          <w:sz w:val="20"/>
        </w:rPr>
      </w:pPr>
      <w:r>
        <w:rPr>
          <w:rFonts w:ascii="Times New Roman" w:hAnsi="Times New Roman"/>
          <w:sz w:val="20"/>
        </w:rPr>
        <w:t xml:space="preserve">Studio City also includes luxury hotel offerings and various entertainment, retail and food and beverage outlets to attract a diverse range of customers. Designed to focus on the mass market segment, Studio City offers cinematically-themed, unique and innovative interactive attractions, including the world’s first figure-8 Ferris wheel, a deluxe night club and karaoke, a 5,000-seat multi-purpose live performance arena and an outdoor water park, as well as approximately 1,600 luxury hotel rooms, various food and beverage outlets and approximately 34,400 square meters of themed and complementary retail space. </w:t>
      </w:r>
    </w:p>
    <w:p>
      <w:pPr>
        <w:pStyle w:val="TextBody"/>
        <w:spacing w:before="240" w:after="0"/>
        <w:jc w:val="left"/>
        <w:rPr>
          <w:rFonts w:ascii="Times New Roman" w:hAnsi="Times New Roman"/>
          <w:sz w:val="20"/>
        </w:rPr>
      </w:pPr>
      <w:r>
        <w:rPr>
          <w:rFonts w:ascii="Times New Roman" w:hAnsi="Times New Roman"/>
          <w:sz w:val="20"/>
        </w:rPr>
        <w:t xml:space="preserve">Studio City has received numerous awards, including: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Studio City’s Star Tower received the Forbes Travel Guide Five-Star recognition for the sixth consecutive year in 2023 and achieved the Sharecare Health Security VERIFIED® with Forbes Travel Guide certification in 2020,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Zensa Spa was awarded the Forbes Travel Guide Five-Star recognition for the fifth time in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Its signature Cantonese restaurant Pearl Dragon received its fifth Forbes Travel Guide Five-Star recognition in 2023. It was honored Best Chinese Cuisine in Asia – Excellence Award winner by 2022 Haute Grandeur Global Restaurant Awards and was selected as a Regional Winner in the “Chinese Cuisine” category at the 2020 World Luxury Restaurant Awards. It received one-Michelin-starred establishment rank for the sixth consecutive year in the Michelin Guide Hong Kong Macau 2022,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Studio City Phase 2 received the “Regional Award, Asia” at the 2021 BREEAM Awards which acknowledges the sustainability-related measures implemented during the project, as well as its contribution to the goals of carbon neutrality and zero waste.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its diverse range of gaming and non-gaming offerings, Studio City is strategically located in the Cotai region of Macau. </w:t>
      </w:r>
    </w:p>
    <w:p>
      <w:pPr>
        <w:pStyle w:val="TextBody"/>
        <w:spacing w:before="240" w:after="0"/>
        <w:jc w:val="left"/>
        <w:rPr>
          <w:rFonts w:ascii="Times New Roman" w:hAnsi="Times New Roman"/>
          <w:sz w:val="20"/>
        </w:rPr>
      </w:pPr>
      <w:r>
        <w:rPr>
          <w:rFonts w:ascii="Times New Roman" w:hAnsi="Times New Roman"/>
          <w:sz w:val="20"/>
        </w:rPr>
        <w:t xml:space="preserve">As of March 30, 2023, we are currently finalizing the licensing procedures of the Phase 2 project for Studio City. See “Item 3. Key Information — D. Risk Factors — Risks Relating to Our Business and Operations — As of March 30, 2023, we are finalizing the licensing procedures for the Phase 2 project for Studio City under the terms of a land concession which currently requires us to fully develop the land on which Studio City is located by June 30, 2023. Any extension of the development period is subject to Macau government review and approval at its discretion. In the event of any failure to complete certain licensing procedures by June 30, 2023, we could be forced to forfeit all or part of our investment in Studio City, along with our interest in the land on which Studio City is located and the building and structures on such land,” “Item 3. Key Information — D. Risk Factors — Risks Relating to Our Business and Operations — All of our current and future construction projects are and will be subject to significant development and construction risks, which could have a material adverse impact on related project timetables, costs and our ability to complete the projects,” and “Item 3. Key Information — D. Risk Factors — Risks Relating to Our Business and Operations — We could encounter substantial cost increases or delays in the development of our projects, which could prevent or delay the opening of such projects.”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subsidiary Melco Resorts Macau operates the gaming areas of Studio City pursuant to the Studio City Casino Agreement. Melco Resorts Macau is reimbursed for the costs incurred in connection with its operation of Studio City’s gaming areas. </w:t>
      </w:r>
    </w:p>
    <w:p>
      <w:pPr>
        <w:pStyle w:val="TextBody"/>
        <w:spacing w:before="360" w:after="0"/>
        <w:jc w:val="left"/>
        <w:rPr>
          <w:rFonts w:ascii="Times New Roman" w:hAnsi="Times New Roman"/>
          <w:b/>
          <w:i/>
          <w:sz w:val="20"/>
        </w:rPr>
      </w:pPr>
      <w:r>
        <w:rPr>
          <w:rFonts w:ascii="Times New Roman" w:hAnsi="Times New Roman"/>
          <w:b/>
          <w:i/>
          <w:sz w:val="20"/>
        </w:rPr>
        <w:t xml:space="preserve">Mocha Clubs </w:t>
      </w:r>
    </w:p>
    <w:p>
      <w:pPr>
        <w:pStyle w:val="TextBody"/>
        <w:spacing w:before="120" w:after="0"/>
        <w:jc w:val="left"/>
        <w:rPr>
          <w:rFonts w:ascii="Times New Roman" w:hAnsi="Times New Roman"/>
          <w:sz w:val="20"/>
        </w:rPr>
      </w:pPr>
      <w:r>
        <w:rPr>
          <w:rFonts w:ascii="Times New Roman" w:hAnsi="Times New Roman"/>
          <w:sz w:val="20"/>
        </w:rPr>
        <w:t xml:space="preserve">Mocha Clubs comprise the largest non-casino based operations of electronic gaming machines in Macau. Excluding gaming machines that were not in operation due to government-mandated closures or social distancing measures in relation to COVID-19 outbreaks, Mocha Clubs had an average of approximately 935 gaming machines in operation (excluding approximately 146 gaming machines at Altira Macau) in 2022, compared to an average of approximately 813 gaming machines in operation (excluding approximately 121 gaming machines at Altira Macau) in 2021 and an average of approximately 870 gaming machines in operation (excluding approximately 110 gaming machines at Altira Macau) in 2020. According to the DICJ, there was a total of 10,775 slot machines in the Macau market as of December 31, 2022. Mocha Clubs focus on general mass market players, including day trip customers, outside the conventional casino setting. We operate Mocha Clubs at leased or sub-leased premises or under right-to-use agreements. </w:t>
      </w:r>
    </w:p>
    <w:p>
      <w:pPr>
        <w:pStyle w:val="TextBody"/>
        <w:spacing w:before="240" w:after="0"/>
        <w:jc w:val="left"/>
        <w:rPr>
          <w:rFonts w:ascii="Times New Roman" w:hAnsi="Times New Roman"/>
          <w:sz w:val="20"/>
        </w:rPr>
      </w:pPr>
      <w:r>
        <w:rPr>
          <w:rFonts w:ascii="Times New Roman" w:hAnsi="Times New Roman"/>
          <w:sz w:val="20"/>
        </w:rPr>
        <w:t xml:space="preserve">The Mocha Club gaming facilities offer both electronic gaming machines, including stand-alone machines, stand-alone progressive jackpot machines and linked progressive jackpot machines with a variety of games, and electronic table games which feature fully-automated multi-player machines with roulette, baccarat and sic-bo, a traditional Chinese dice game. </w:t>
      </w:r>
    </w:p>
    <w:p>
      <w:pPr>
        <w:pStyle w:val="TextBody"/>
        <w:spacing w:before="240" w:after="0"/>
        <w:jc w:val="left"/>
        <w:rPr>
          <w:rFonts w:ascii="Times New Roman" w:hAnsi="Times New Roman"/>
          <w:sz w:val="20"/>
        </w:rPr>
      </w:pPr>
      <w:r>
        <w:rPr>
          <w:rFonts w:ascii="Times New Roman" w:hAnsi="Times New Roman"/>
          <w:sz w:val="20"/>
        </w:rPr>
        <w:t xml:space="preserve">In addition to the Mocha Clubs, we also operate the Grand Dragon Casino, which focuses on mass market table games. We operate Grand Dragon Casino under a right-to-use agreement. Excluding gaming tables that were not in operation due to government-mandated closures or social distancing measures in relation to COVID-19 outbreaks, Grand Dragon Casino had an average of approximately 25 gaming tables in 2022. </w:t>
      </w:r>
    </w:p>
    <w:p>
      <w:pPr>
        <w:pStyle w:val="TextBody"/>
        <w:spacing w:before="360" w:after="0"/>
        <w:jc w:val="left"/>
        <w:rPr>
          <w:rFonts w:ascii="Times New Roman" w:hAnsi="Times New Roman"/>
          <w:b/>
          <w:i/>
          <w:sz w:val="20"/>
        </w:rPr>
      </w:pPr>
      <w:r>
        <w:rPr>
          <w:rFonts w:ascii="Times New Roman" w:hAnsi="Times New Roman"/>
          <w:b/>
          <w:i/>
          <w:sz w:val="20"/>
        </w:rPr>
        <w:t xml:space="preserve">City of Dreams Manila </w:t>
      </w:r>
    </w:p>
    <w:p>
      <w:pPr>
        <w:pStyle w:val="TextBody"/>
        <w:spacing w:before="120" w:after="0"/>
        <w:jc w:val="left"/>
        <w:rPr>
          <w:rFonts w:ascii="Times New Roman" w:hAnsi="Times New Roman"/>
          <w:sz w:val="20"/>
        </w:rPr>
      </w:pPr>
      <w:r>
        <w:rPr>
          <w:rFonts w:ascii="Times New Roman" w:hAnsi="Times New Roman"/>
          <w:sz w:val="20"/>
        </w:rPr>
        <w:t xml:space="preserve">City of Dreams Manila is one of the leading integrated tourism resorts in the Philippines. The property is located on an approximately 6.2-hectare site at the gateway of Entertainment City’s Manila Bay area in the city of Paranaque and is part of the Aseana City township development. It is close to Metro Manila’s international airport terminals and central business districts. City of Dreams Manila opened in December 2014 and represented our first entry into an entertainment and gaming market outside of Macau and an incremental source of earnings and cash flow outside of Macau. </w:t>
      </w:r>
    </w:p>
    <w:p>
      <w:pPr>
        <w:pStyle w:val="TextBody"/>
        <w:spacing w:before="240" w:after="0"/>
        <w:jc w:val="left"/>
        <w:rPr>
          <w:rFonts w:ascii="Times New Roman" w:hAnsi="Times New Roman"/>
          <w:sz w:val="20"/>
        </w:rPr>
      </w:pPr>
      <w:r>
        <w:rPr>
          <w:rFonts w:ascii="Times New Roman" w:hAnsi="Times New Roman"/>
          <w:sz w:val="20"/>
        </w:rPr>
        <w:t xml:space="preserve">The property’s total gross floor area is approximately 312,000 square meters (equivalent to approximately 3.4 million square feet). We are authorized by PAGCOR to operate up to approximately 2,300 slot machines, 1,200 electronic gaming tables and 380 gaming tables. Excluding gaming tables and gaming machines that were not in operation due to government-mandated closures or social distancing measures in relation to COVID-19 outbreaks, City of Dreams Manila had an average of approximately 2,266 gaming machines and 274 gaming tables in 2022, compared to an average of approximately 2,338 gaming machines and 301 gaming tables in 2021, and an average of approximately 2,262 gaming machines and 302 gaming tables in 2020. </w:t>
      </w:r>
    </w:p>
    <w:p>
      <w:pPr>
        <w:pStyle w:val="TextBody"/>
        <w:spacing w:before="240" w:after="0"/>
        <w:jc w:val="left"/>
        <w:rPr>
          <w:rFonts w:ascii="Times New Roman" w:hAnsi="Times New Roman"/>
          <w:sz w:val="20"/>
        </w:rPr>
      </w:pPr>
      <w:r>
        <w:rPr>
          <w:rFonts w:ascii="Times New Roman" w:hAnsi="Times New Roman"/>
          <w:sz w:val="20"/>
        </w:rPr>
        <w:t xml:space="preserve">City of Dreams Manila has three hotels: Nüwa Manila, Nobu Hotel and Hyatt Regency Manila, City of Dreams Manila, with 939 rooms in aggregate. Exciting entertainment venues characterize the luxurious integrated resort: DreamPlay, the world’s first DreamWorks-inspired family entertainment center, which officially opened in June 2015; and CenterPlay, a lounge at the center of the main gaming floor which features live band performances from late afternoons. City of Dreams Manila also features The Shops at the Boulevard, a spacious retail strip where luxury retail shops that provide a broad range of choices are juxtaposed with exciting food and beverage outlets. Impressive regional and international specialty restaurants and bars, spas, gyms, and a multi-level car park are also available for guests.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City of Dreams Manila has been recognized for its warm hospitality for its guests, impressive dining options and luxurious spaces. Below are some of the awards City of Dreams Manila has received: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Named as the “World’s Leading Casino Resort” three times since 2020; “Asia’s Leading Casino Resort” in 2021 and 2022; and named as “Asia’s Leading Fully Integrated Resort” in 2021 in the World Travel Awards, </w:t>
            </w:r>
          </w:p>
        </w:tc>
      </w:tr>
    </w:tbl>
    <w:p>
      <w:pPr>
        <w:pStyle w:val="TextBody"/>
        <w:spacing w:before="0" w:after="0"/>
        <w:jc w:val="left"/>
        <w:rPr/>
      </w:pPr>
      <w:r>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pPr>
            <w:r>
              <w:rPr/>
              <w:t>“</w:t>
            </w:r>
            <w:r>
              <w:rPr>
                <w:rFonts w:ascii="Times New Roman" w:hAnsi="Times New Roman"/>
                <w:sz w:val="20"/>
              </w:rPr>
              <w:t xml:space="preserve">Work Here, Work Happy” accolade in the 2022 Best of the Year Awards of Forbes Travel Guide, </w:t>
            </w:r>
          </w:p>
        </w:tc>
      </w:tr>
    </w:tbl>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Nüwa Manila attained Forbes Travel Guide Five-Star recognition for the sixth consecutive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Nobu Hotel and Hyatt Regency Manila, City of Dreams Manila were recognized with Forbes Travel Guide Four-Star recognition for the sixth and seventh consecutive years, respectively, in 2023,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Nüwa Spa had set a milestone as the first and only spa in the Philippines to be awarded Forbes Travel Guide Five-Star recognition for four years in a row since 2020,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Nüwa Manila was among the first hotels in the world in 2020 to become Sharecare Health Security VERIFIED® with Forbes Travel Guide for its compliance with expert validated best practices on health and safety protocols,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Nüwa Manila, Nobu Hotel and Hyatt Regency Manila, City of Dreams Manila were Safety Seal-certified by the Philippines’ Department of Tourism (DOT). They each received a World Travel &amp; Tourism Council (WTTC) SafeTravels Stamp through the DOT. The SafeTravels Stamp is the world’s first safety and hygiene stamp for travelers to recognize businesses that have adopted global health and hygiene standardized protocols,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TripAdvisor’s annual Traveler’s Choice Awards listed Nüwa Manila and Nobu Hotel for the fifth consecutive year, and Hyatt Regency Manila, City of Dreams Manila for the seventh consecutive year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Hotels.com recognized Nobu Hotel and Hyatt Regency Manila, City of Dreams Manila with the “Loved by Guests” annual award for the fourth time in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Nobu Hotel received the Agoda Customer Review Award for the fourth consecutive year in 2022, and Nüwa Manila and Hyatt Regency Manila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Booking.com recognized the three luxury hotels at City of Dreams Manila in its Traveler Review Awards for the second time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Crystal Dragon restaurant was named among The Top 20 restaurants in the Philippine Tatler’s Best Restaurants Guide four times, among approximately 200 restaurants,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rebranded 2022 Tatler Dining Guide, which was converted from a Top 20 list, Crystal Dragon, Nobu Manila and Red Ginger maintained their recognition on the list of the 193 must-try restaurants in the country. </w:t>
            </w:r>
          </w:p>
        </w:tc>
      </w:tr>
    </w:tbl>
    <w:p>
      <w:pPr>
        <w:pStyle w:val="TextBody"/>
        <w:spacing w:before="240" w:after="0"/>
        <w:jc w:val="left"/>
        <w:rPr>
          <w:rFonts w:ascii="Times New Roman" w:hAnsi="Times New Roman"/>
          <w:sz w:val="20"/>
        </w:rPr>
      </w:pPr>
      <w:r>
        <w:rPr>
          <w:rFonts w:ascii="Times New Roman" w:hAnsi="Times New Roman"/>
          <w:sz w:val="20"/>
        </w:rPr>
        <w:t xml:space="preserve">The integrated resort is also acclaimed for its contributions towards sustainability and talent development. Below are some of the recognitions received: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City of Dreams Manila was recognized by Manila Bulletin among 14 companies and one government agency in the country for notable green practices, at the national publication’s First Sustainability Forum in November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Nüwa Manila, Nobu Hotel and Hyatt Regency Manila, City of Dreams were recognized with the 2022-2024 ASEAN Green Hotel Award in the ASEAN Tourism Forum by the various tourism organizations in the region,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the first integrated resort in the country to harness solar energy, City of Dreams Manila was recognized for its efforts to tackle climate change and for its employee development in the 2019 Sustainable Business Awards (SBA) Philippines presented to Melco,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City of Dreams Manila was conferred with various distinctions for exemplary performance by the Parañaque City government and in the civic, media and business circles for its contributions to business, creation of jobs promotion of Philippine tourism and its sustainability efforts. </w:t>
            </w:r>
          </w:p>
        </w:tc>
      </w:tr>
    </w:tbl>
    <w:p>
      <w:pPr>
        <w:pStyle w:val="TextBody"/>
        <w:spacing w:before="240" w:after="0"/>
        <w:jc w:val="left"/>
        <w:rPr>
          <w:rFonts w:ascii="Times New Roman" w:hAnsi="Times New Roman"/>
          <w:sz w:val="20"/>
        </w:rPr>
      </w:pPr>
      <w:r>
        <w:rPr>
          <w:rFonts w:ascii="Times New Roman" w:hAnsi="Times New Roman"/>
          <w:sz w:val="20"/>
        </w:rPr>
        <w:t xml:space="preserve">Melco Resorts Leisure operates the casino business of City of Dreams Manila in accordance with the terms of the Philippine License and the operating agreement between Melco Resorts Leisure and the Philippine Parties dated March 13, 2013. Under the operating agreement, PremiumLeisure and Amusement, Inc. (a member of the Philippine Parties) has the right to receive monthly payments from Melco Resorts Leisure, based on the performance of gaming operations of City of Dreams Manila, and Melco Resorts Leisure has the right to retain all revenues from non-gaming operations of City of Dreams Manila. The operating agreement was amended on March 22, 2021 where the monthly payments paid or payable by Melco Resorts Leisure from 2019 to 2022 have been adjusted to recognize the suspension of operations of City of Dreams Manila in 2020 due to COVID-19 outbreaks and the related disruptions to its operations since COVID-19 outbreaks. </w:t>
      </w:r>
    </w:p>
    <w:p>
      <w:pPr>
        <w:pStyle w:val="TextBody"/>
        <w:spacing w:before="240" w:after="0"/>
        <w:jc w:val="left"/>
        <w:rPr>
          <w:rFonts w:ascii="Times New Roman" w:hAnsi="Times New Roman"/>
          <w:sz w:val="20"/>
        </w:rPr>
      </w:pPr>
      <w:r>
        <w:rPr>
          <w:rFonts w:ascii="Times New Roman" w:hAnsi="Times New Roman"/>
          <w:sz w:val="20"/>
        </w:rPr>
        <w:t xml:space="preserve">Having met the minimum investment levels and other requirements under our Provisional License, the Philippine License dated April 29, 2015 was issued by PAGCOR to the Philippine Licensees. The Philippine License has the same terms and conditions as the Provisional License and is valid until July 11, 2033. </w:t>
      </w:r>
    </w:p>
    <w:p>
      <w:pPr>
        <w:pStyle w:val="TextBody"/>
        <w:spacing w:before="240" w:after="0"/>
        <w:jc w:val="left"/>
        <w:rPr>
          <w:rFonts w:ascii="Times New Roman" w:hAnsi="Times New Roman"/>
          <w:sz w:val="20"/>
        </w:rPr>
      </w:pPr>
      <w:r>
        <w:rPr>
          <w:rFonts w:ascii="Times New Roman" w:hAnsi="Times New Roman"/>
          <w:sz w:val="20"/>
        </w:rPr>
        <w:t xml:space="preserve">For a breakdown of total revenues by category of activity and geographic market for each of the last three financial years, see “Item 5. Operating and Financial Review and Prospects — A. Operating Results.” </w:t>
      </w:r>
    </w:p>
    <w:p>
      <w:pPr>
        <w:pStyle w:val="TextBody"/>
        <w:spacing w:before="360" w:after="0"/>
        <w:jc w:val="left"/>
        <w:rPr>
          <w:rFonts w:ascii="Times New Roman" w:hAnsi="Times New Roman"/>
          <w:b/>
          <w:i/>
          <w:sz w:val="20"/>
        </w:rPr>
      </w:pPr>
      <w:r>
        <w:rPr>
          <w:rFonts w:ascii="Times New Roman" w:hAnsi="Times New Roman"/>
          <w:b/>
          <w:i/>
          <w:sz w:val="20"/>
        </w:rPr>
        <w:t xml:space="preserve">Cyprus Operations </w:t>
      </w:r>
    </w:p>
    <w:p>
      <w:pPr>
        <w:pStyle w:val="TextBody"/>
        <w:spacing w:before="120" w:after="0"/>
        <w:jc w:val="left"/>
        <w:rPr>
          <w:rFonts w:ascii="Times New Roman" w:hAnsi="Times New Roman"/>
          <w:sz w:val="20"/>
        </w:rPr>
      </w:pPr>
      <w:r>
        <w:rPr>
          <w:rFonts w:ascii="Times New Roman" w:hAnsi="Times New Roman"/>
          <w:sz w:val="20"/>
        </w:rPr>
        <w:t xml:space="preserve">We currently operate and manage a temporary casino in Limassol and three satellite casinos in Nicosia, Ayia Napa and Paphos in Cyprus. Our satellite casino in Larnaca, which opened in 2018, ceased operations in June 2020. The temporary casino, with a gaming area of approximately 4,600 square meters (equivalent to approximately 49,500 square feet), was the first licensed casino in Cyprus when it opened in June 2018. We are also developing City of Dreams Mediterranean, an integrated resort project in Cyprus which, upon opening, is expected to be the largest and premier integrated resort in Europe. We expect to (and are required to, pursuant to the terms of the Cyprus License) cease operations of the temporary casino when the City of Dreams Mediterranean project is launched while the satellite casinos are expected to continue to operate. Our operations in Cyprus represent our first entry into an entertainment and gaming market in Europe. Under the terms of the Cyprus License, we have been granted the right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on June 26, 2017 and with the right for exclusivity in Cyprus for the first 15 years of the term. Our Cyprus casino operations were closed from January 1, 2021 to May 16, 2021 due to government-imposed COVID-19 restrictions. Excluding gaming tables and gaming machines that were not in operation due to government-mandated closures or social distancing measures in relation to COVID-19 outbreaks, our facilities in Cyprus had an average of approximately 35 gaming tables and 454 gaming machines in 2022, compared to an average of approximately 32 gaming tables and 440 gaming machines in 2021, and an average of approximately 28 gaming tables and 336 gaming machines in 2020. </w:t>
      </w:r>
    </w:p>
    <w:p>
      <w:pPr>
        <w:pStyle w:val="TextBody"/>
        <w:spacing w:before="240" w:after="0"/>
        <w:jc w:val="left"/>
        <w:rPr>
          <w:rFonts w:ascii="Times New Roman" w:hAnsi="Times New Roman"/>
          <w:sz w:val="20"/>
        </w:rPr>
      </w:pPr>
      <w:r>
        <w:rPr>
          <w:rFonts w:ascii="Times New Roman" w:hAnsi="Times New Roman"/>
          <w:sz w:val="20"/>
        </w:rPr>
        <w:t xml:space="preserve">We acquired a 75% equity interest in ICR Cyprus from Melco International, our parent company, in July 2019. The remaining 25% equity interest in ICR Cyprus is owned by The Cyprus Phassouri (Zakaki) Limited. On July 31, 2019, we entered into a shareholders’ agreement with The Cyprus Phassouri (Zakaki) Limited regarding certain commercial and financial arrangements pursuant to which we will, as more fully set out in additional management and service contracts, (i) provide certain corporate-level management services to ICR Cyprus and its subsidiaries for a fixed amount of EUR2 million (equivalent to approximately US$2.3 million) per annum and (ii) have the right to receive an allotment of preference shares in the gaming license-holding subsidiary of ICR Cyprus which will provide the right to a preferential dividend, among other terms.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recognition of our continuous efforts in human resources management, we were honored with the Silver Awards for the categories of “Most Effective Recruitment Strategy” and “Best CSR Initiative with Employees’ Involvement,” and the Bronze Award for “HR Corporate Event of the Year” at the Cyprus HR Awards 2021. </w:t>
      </w:r>
    </w:p>
    <w:p>
      <w:pPr>
        <w:pStyle w:val="TextBody"/>
        <w:spacing w:before="360" w:after="0"/>
        <w:jc w:val="left"/>
        <w:rPr>
          <w:rFonts w:ascii="Times New Roman" w:hAnsi="Times New Roman"/>
          <w:b/>
          <w:sz w:val="20"/>
        </w:rPr>
      </w:pPr>
      <w:r>
        <w:rPr>
          <w:rFonts w:ascii="Times New Roman" w:hAnsi="Times New Roman"/>
          <w:b/>
          <w:sz w:val="20"/>
        </w:rPr>
        <w:t xml:space="preserve">Our Development Projects </w:t>
      </w:r>
    </w:p>
    <w:p>
      <w:pPr>
        <w:pStyle w:val="TextBody"/>
        <w:spacing w:before="120" w:after="0"/>
        <w:jc w:val="left"/>
        <w:rPr>
          <w:rFonts w:ascii="Times New Roman" w:hAnsi="Times New Roman"/>
          <w:sz w:val="20"/>
        </w:rPr>
      </w:pPr>
      <w:r>
        <w:rPr>
          <w:rFonts w:ascii="Times New Roman" w:hAnsi="Times New Roman"/>
          <w:sz w:val="20"/>
        </w:rPr>
        <w:t xml:space="preserve">In Macau, construction of our Phase 2 project at Studio City has been completed. This project at Studio City consists of two hotel towers with 895 rooms, suites and villas. It also contains a waterpark with indoor and outdoor areas. Other attractions expected to be part of the project include MICE space, retail and food and beverage outlets and a cineplex. </w:t>
      </w:r>
    </w:p>
    <w:p>
      <w:pPr>
        <w:pStyle w:val="TextBody"/>
        <w:spacing w:before="240" w:after="0"/>
        <w:jc w:val="left"/>
        <w:rPr>
          <w:rFonts w:ascii="Times New Roman" w:hAnsi="Times New Roman"/>
          <w:sz w:val="20"/>
        </w:rPr>
      </w:pPr>
      <w:r>
        <w:rPr>
          <w:rFonts w:ascii="Times New Roman" w:hAnsi="Times New Roman"/>
          <w:sz w:val="20"/>
        </w:rPr>
        <w:t xml:space="preserve">As of March 30, 2023, we are finalizing the licensing procedures of the Phase 2 project of Studio City. We currently anticipate opening the first stage of the Phase 2 project in the second quarter of 2023 and the second stage in the third quarter of 2023. The first stage of opening is expected to include one of the hotel towers and the indoor water park. </w:t>
      </w:r>
    </w:p>
    <w:p>
      <w:pPr>
        <w:pStyle w:val="TextBody"/>
        <w:spacing w:before="240" w:after="0"/>
        <w:jc w:val="left"/>
        <w:rPr>
          <w:rFonts w:ascii="Times New Roman" w:hAnsi="Times New Roman"/>
          <w:sz w:val="20"/>
        </w:rPr>
      </w:pPr>
      <w:r>
        <w:rPr>
          <w:rFonts w:ascii="Times New Roman" w:hAnsi="Times New Roman"/>
          <w:sz w:val="20"/>
        </w:rPr>
        <w:t xml:space="preserve">In accordance with the Studio City land concession and the extension granted by the Macau government, the land on which Studio City is located must be fully developed by June 30, 2023. See “Item 3. Key Information — D. Risk Factors — Risks Relating to Our Business and Operations — As of March 30, 2023, we are finalizing the licensing procedures for the Phase 2 project for Studio City under the terms of a land concession which currently requires us to fully develop the land on which Studio City is located by June 30, 2023. Any extension of the development period is subject to Macau government review and approval at its discretion. In the event of any failure to complete certain licensing procedures by June 30, 2023, we could be forced to forfeit all or part of our investment in Studio City, along with our interest in the land on which Studio City is located and the building and structures on such land.” </w:t>
      </w:r>
    </w:p>
    <w:p>
      <w:pPr>
        <w:pStyle w:val="TextBody"/>
        <w:spacing w:before="240" w:after="0"/>
        <w:jc w:val="left"/>
        <w:rPr>
          <w:rFonts w:ascii="Times New Roman" w:hAnsi="Times New Roman"/>
          <w:sz w:val="20"/>
        </w:rPr>
      </w:pPr>
      <w:r>
        <w:rPr>
          <w:rFonts w:ascii="Times New Roman" w:hAnsi="Times New Roman"/>
          <w:sz w:val="20"/>
        </w:rPr>
        <w:t xml:space="preserve">In Cyprus, we are developing the City of Dreams Mediterranean project. Under our current plan, the project is expected to consist of a five-star hotel tower with more than 500 luxury hotel rooms, approximately 10,000 square meters of MICE space, an outdoor amphitheater, a family adventure park and a variety of fine-dining restaurants and luxury retail. As of December 31, 2022, we have incurred approximately US$443 million of aggregate costs (including the land cost) relating to the development of City of Dreams Mediterranean, primarily related to the initial design and construction cost. Based on our current plan for the development of City of Dreams Mediterranean integrated resorts project, we currently expect a project budget of approximately US$575 million to US$600 million (inclusive of the land cost but exclusive of any pre-opening costs and financing costs). Our plan for the City of Dreams Mediterranean project may be subject to further revision and change and detailed design elements remain subject to further refinement and development. The completion of the City of Dreams Mediterranean project is also subject to a number of contingencies. See “Item 3. Key Information — D. Risk Factors — Risks Relating to Operating in the Gaming Industry in Cyprus — Our operations in Cyprus, particularly the development of City of Dreams Mediterranean, face significant risks and uncertainties which may materially and adversely affect our business, financial condition and results of operations” and “Item 3. Key Information — D. Risk Factors — Risks Relating to Our Business and Operations — We are developing the City of Dreams Mediterranean project in Cyprus and are required under the Cyprus License to open the integrated casino resort by June 30, 2023. If we do not open City of Dreams Mediterranean by that time and the government of Cyprus does not grant us a further extension of the opening date, we would be required to pay a penalty to the Cyprus government or even have the Cyprus License terminated if such delay continues beyond a grace period.” </w:t>
      </w:r>
    </w:p>
    <w:p>
      <w:pPr>
        <w:pStyle w:val="TextBody"/>
        <w:spacing w:before="240" w:after="0"/>
        <w:jc w:val="left"/>
        <w:rPr>
          <w:rFonts w:ascii="Times New Roman" w:hAnsi="Times New Roman"/>
          <w:sz w:val="20"/>
        </w:rPr>
      </w:pPr>
      <w:r>
        <w:rPr>
          <w:rFonts w:ascii="Times New Roman" w:hAnsi="Times New Roman"/>
          <w:sz w:val="20"/>
        </w:rPr>
        <w:t xml:space="preserve">Following the extensions granted by the government of Cyprus, we are required under the Cyprus License to open the integrated casino resort by June 30, 2023. The City of Dreams Mediterranean is targeted to open in the second quarter of 2023, subject to regulatory approvals. The development of City of Dreams Mediterranean may be funded through various sources, including equity, cash on hand, operating free cash flow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well as other financing, including by way of shareholder loans and external debt financings. Under the shareholders’ agreement entered into between us and The Cyprus Phassouri (Zakaki) Limited regarding ICR Cyprus, the shareholders are obligated to use all commercially reasonable endeavors, subject to certain terms and conditions, to source debt financing of up to EUR437 million (equivalent to approximately US$468 million) for the development of City of Dreams Mediterranean. To the extent there is a shortfall in the amount of third-party debt available (or available on commercially-acceptable terms), we are obligated to fund the shortfall up to the full amount of EUR437 million (equivalent to approximately US$468 million) on terms which are, subject to certain terms and conditions, no less favorable to the project than any commercially-acceptable terms available in the commercial lending market. In connection therewith, a shareholder loan agreement for up to EUR275 million (equivalent to approximately US$294 million) was entered into by a subsidiary of the Company as lender, and Integrated Casino Resorts as borrower in March 2020. In addition, a further shareholder loan agreement for up to EUR250 million (equivalent to approximately US$268 million) was entered into by a subsidiary of the Company as lender, and Integrated Casino Resorts as borrower in May 2022, along with a subordination agreement pursuant to which the March 2020 shareholder loan was subordinated to the May 2022 shareholder loan. </w:t>
      </w:r>
    </w:p>
    <w:p>
      <w:pPr>
        <w:pStyle w:val="TextBody"/>
        <w:spacing w:before="240" w:after="0"/>
        <w:jc w:val="left"/>
        <w:rPr>
          <w:rFonts w:ascii="Times New Roman" w:hAnsi="Times New Roman"/>
          <w:sz w:val="20"/>
        </w:rPr>
      </w:pPr>
      <w:r>
        <w:rPr>
          <w:rFonts w:ascii="Times New Roman" w:hAnsi="Times New Roman"/>
          <w:sz w:val="20"/>
        </w:rPr>
        <w:t xml:space="preserve">In addition to the development projects noted above, we continually seek new opportunities for additional gaming or related businesses in Macau and in other countries and will continue to target the development of a project pipeline in order to expand our footprint in countries which offer legalized casino gaming. In defining and setting the timing, form and structure for any future development, we focus on evaluating alternative available financing, market conditions and market demand. In order to pursue these opportunities and such development, we have incurred and will continue to incur capital expenditures at our properties and for our projects. </w:t>
      </w:r>
    </w:p>
    <w:p>
      <w:pPr>
        <w:pStyle w:val="TextBody"/>
        <w:spacing w:before="360" w:after="0"/>
        <w:jc w:val="left"/>
        <w:rPr>
          <w:rFonts w:ascii="Times New Roman" w:hAnsi="Times New Roman"/>
          <w:b/>
          <w:sz w:val="20"/>
        </w:rPr>
      </w:pPr>
      <w:r>
        <w:rPr>
          <w:rFonts w:ascii="Times New Roman" w:hAnsi="Times New Roman"/>
          <w:b/>
          <w:sz w:val="20"/>
        </w:rPr>
        <w:t xml:space="preserve">Our Land and Premises </w:t>
      </w:r>
    </w:p>
    <w:p>
      <w:pPr>
        <w:pStyle w:val="TextBody"/>
        <w:spacing w:before="120" w:after="0"/>
        <w:jc w:val="left"/>
        <w:rPr>
          <w:rFonts w:ascii="Times New Roman" w:hAnsi="Times New Roman"/>
          <w:sz w:val="20"/>
        </w:rPr>
      </w:pPr>
      <w:r>
        <w:rPr>
          <w:rFonts w:ascii="Times New Roman" w:hAnsi="Times New Roman"/>
          <w:sz w:val="20"/>
        </w:rPr>
        <w:t xml:space="preserve">We operate our gaming business at the properties leased from the Macau government in accordance with the terms and conditions of our gaming concession, or, with respect to the Mocha Clubs and Grand Dragon Casino, in third party-owned properties. In addition, our existing operating properties and development projects in Macau are subject to the terms and conditions of land concession contracts. See “— Regulations — Macau Regulations — Land Regulations.” Through MRP, we also operate our gaming business in the Philippines through the Philippine License issued by PAGCOR on a property which Melco Resorts Leisure leases from Belle Corporation under the Lease Agreement. In Cyprus, we operate a temporary casino and three satellite casinos at our leased premises pursuant to the Cyprus License. We are also developing the City of Dreams Mediterranean at a site owned by us at Zakaki in western Limassol, Cyprus. </w:t>
      </w:r>
    </w:p>
    <w:p>
      <w:pPr>
        <w:pStyle w:val="TextBody"/>
        <w:spacing w:before="360" w:after="0"/>
        <w:jc w:val="left"/>
        <w:rPr>
          <w:rFonts w:ascii="Times New Roman" w:hAnsi="Times New Roman"/>
          <w:b/>
          <w:i/>
          <w:sz w:val="20"/>
        </w:rPr>
      </w:pPr>
      <w:r>
        <w:rPr>
          <w:rFonts w:ascii="Times New Roman" w:hAnsi="Times New Roman"/>
          <w:b/>
          <w:i/>
          <w:sz w:val="20"/>
        </w:rPr>
        <w:t xml:space="preserve">City of Dreams </w:t>
      </w:r>
    </w:p>
    <w:p>
      <w:pPr>
        <w:pStyle w:val="TextBody"/>
        <w:spacing w:before="120" w:after="0"/>
        <w:jc w:val="left"/>
        <w:rPr>
          <w:rFonts w:ascii="Times New Roman" w:hAnsi="Times New Roman"/>
          <w:sz w:val="20"/>
        </w:rPr>
      </w:pPr>
      <w:r>
        <w:rPr>
          <w:rFonts w:ascii="Times New Roman" w:hAnsi="Times New Roman"/>
          <w:sz w:val="20"/>
        </w:rPr>
        <w:t xml:space="preserve">City of Dreams is located in Cotai, Macau, with a land area of 113,325 square meters (equivalent to approximately 1.2 million square feet). In August 2008, the Macau government granted the land on which City of Dreams is located to COD Resorts and Melco Resorts Macau for a period of 25 years, renewable for further consecutive periods of ten years, subject to applicable legislation in Macau. Total land premium required for the land is in the amount of approximately MOP1,286.6 million (equivalent to approximately US$160 million), which was paid in full in January 2016. The total gross floor area at City of Dreams is 641,431.70 square meters (equivalent to approximately 6.9 million square feet) of which approximately 31,227.3 square meters, or 4.87% comprises gaming and gaming support area and is owned by the Macau SAR. Effective January 1, 2023, the Macau government has transferred this area to us for usage in our operations during the duration of the Concession Contract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 </w:t>
      </w:r>
    </w:p>
    <w:p>
      <w:pPr>
        <w:pStyle w:val="TextBody"/>
        <w:spacing w:before="240" w:after="0"/>
        <w:jc w:val="left"/>
        <w:rPr>
          <w:rFonts w:ascii="Times New Roman" w:hAnsi="Times New Roman"/>
          <w:sz w:val="20"/>
        </w:rPr>
      </w:pPr>
      <w:r>
        <w:rPr>
          <w:rFonts w:ascii="Times New Roman" w:hAnsi="Times New Roman"/>
          <w:sz w:val="20"/>
        </w:rPr>
        <w:t xml:space="preserve">Under the current terms of the land concession, the annual land use fees payable to the Macau government range from approximately MOP3.4 million (equivalent to approximately US$0.4 million) during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development up to approximately MOP9.9 million (equivalent to approximately US$1.2 million) after completion of development. The land use fee amounts may be adjusted every five years as agreed between the Macau government and the land concessionaire using the applicable rates in effect at the time of the rent adjustment. </w:t>
      </w:r>
    </w:p>
    <w:p>
      <w:pPr>
        <w:pStyle w:val="TextBody"/>
        <w:spacing w:before="240" w:after="0"/>
        <w:jc w:val="left"/>
        <w:rPr>
          <w:rFonts w:ascii="Times New Roman" w:hAnsi="Times New Roman"/>
          <w:sz w:val="20"/>
        </w:rPr>
      </w:pPr>
      <w:r>
        <w:rPr>
          <w:rFonts w:ascii="Times New Roman" w:hAnsi="Times New Roman"/>
          <w:sz w:val="20"/>
        </w:rPr>
        <w:t xml:space="preserve">Certain gaming and gaming support equipment utilized by City of Dreams in the casino is owned by the Macau SAR and has been transferred to us and held for use at City of Dreams during the duration of the Concession Contract, including the main gaming equipment to support our table games and gaming machine operations, cage equipment, security and surveillance equipment, casino fittings and equipment. We own the equipment utilized in the City of Dreams hotel. </w:t>
      </w:r>
    </w:p>
    <w:p>
      <w:pPr>
        <w:pStyle w:val="TextBody"/>
        <w:spacing w:before="360" w:after="0"/>
        <w:jc w:val="left"/>
        <w:rPr>
          <w:rFonts w:ascii="Times New Roman" w:hAnsi="Times New Roman"/>
          <w:b/>
          <w:i/>
          <w:sz w:val="20"/>
        </w:rPr>
      </w:pPr>
      <w:r>
        <w:rPr>
          <w:rFonts w:ascii="Times New Roman" w:hAnsi="Times New Roman"/>
          <w:b/>
          <w:i/>
          <w:sz w:val="20"/>
        </w:rPr>
        <w:t xml:space="preserve">Altira Macau </w:t>
      </w:r>
    </w:p>
    <w:p>
      <w:pPr>
        <w:pStyle w:val="TextBody"/>
        <w:spacing w:before="120" w:after="0"/>
        <w:jc w:val="left"/>
        <w:rPr>
          <w:rFonts w:ascii="Times New Roman" w:hAnsi="Times New Roman"/>
          <w:sz w:val="20"/>
        </w:rPr>
      </w:pPr>
      <w:r>
        <w:rPr>
          <w:rFonts w:ascii="Times New Roman" w:hAnsi="Times New Roman"/>
          <w:sz w:val="20"/>
        </w:rPr>
        <w:t xml:space="preserve">Altira Macau is located in Taipa, Macau with a land area of approximately 5,230 square meters (equivalent to approximately 56,295 square feet). In March 2006, Macau government granted the land on which the Altira is built to Altira Resorts for 25 years, renewable for further consecutive periods of ten years, subject to applicable legislation in Macau. The land grant was amended in December 2013. The total gross floor area of Altira Macau is approximately 104,583.39 square meters (equivalent to approximately 1.1 million square feet) of which approximately 17,128.8 square meters or 16.38% comprises the gaming and gaming support area and is owned by the Macau SAR. Effective from January 1, 2023, the Macau government has transferred this area to us for usage in our operations during the duration of the Concession Contract for the same fee set for the usage of the City of Dreams casino. Total land premium required is in the amount of MOP169.3 million (equivalent to approximately US$21 million) which was paid in full in 2013. According to the current terms of the land concession, the annual land use fees payable to the Macau government are approximately MOP1.5 million (equivalent to approximately US$190,000). This amount may be adjusted every five years as agreed between the Macau government and the land concessionaire using the applicable rates in effect at the time of the rent adjustment. </w:t>
      </w:r>
    </w:p>
    <w:p>
      <w:pPr>
        <w:pStyle w:val="TextBody"/>
        <w:spacing w:before="240" w:after="0"/>
        <w:jc w:val="left"/>
        <w:rPr>
          <w:rFonts w:ascii="Times New Roman" w:hAnsi="Times New Roman"/>
          <w:sz w:val="20"/>
        </w:rPr>
      </w:pPr>
      <w:r>
        <w:rPr>
          <w:rFonts w:ascii="Times New Roman" w:hAnsi="Times New Roman"/>
          <w:sz w:val="20"/>
        </w:rPr>
        <w:t xml:space="preserve">Certain gaming and gaming support equipment utilized by Altira Macau in the casino is owned by the Macau SAR and has been transferred to us for usage in our operations during the duration of the Concession Contract and held for use at Altira Macau, including the main gaming equipment to support our table games and gaming machine operations, cage equipment, security and surveillance equipment and casino fittings and equipment. We own the equipment utilized at the Altira hotel. </w:t>
      </w:r>
    </w:p>
    <w:p>
      <w:pPr>
        <w:pStyle w:val="TextBody"/>
        <w:spacing w:before="360" w:after="0"/>
        <w:jc w:val="left"/>
        <w:rPr>
          <w:rFonts w:ascii="Times New Roman" w:hAnsi="Times New Roman"/>
          <w:b/>
          <w:i/>
          <w:sz w:val="20"/>
        </w:rPr>
      </w:pPr>
      <w:r>
        <w:rPr>
          <w:rFonts w:ascii="Times New Roman" w:hAnsi="Times New Roman"/>
          <w:b/>
          <w:i/>
          <w:sz w:val="20"/>
        </w:rPr>
        <w:t xml:space="preserve">Mocha Clubs </w:t>
      </w:r>
    </w:p>
    <w:p>
      <w:pPr>
        <w:pStyle w:val="TextBody"/>
        <w:spacing w:before="120" w:after="0"/>
        <w:jc w:val="left"/>
        <w:rPr>
          <w:rFonts w:ascii="Times New Roman" w:hAnsi="Times New Roman"/>
          <w:sz w:val="20"/>
        </w:rPr>
      </w:pPr>
      <w:r>
        <w:rPr>
          <w:rFonts w:ascii="Times New Roman" w:hAnsi="Times New Roman"/>
          <w:sz w:val="20"/>
        </w:rPr>
        <w:t xml:space="preserve">Mocha Clubs operate at premises with a total floor area of approximately 68,800 square feet at the following locations in Macau: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96"/>
        <w:gridCol w:w="120"/>
        <w:gridCol w:w="1340"/>
        <w:gridCol w:w="120"/>
        <w:gridCol w:w="5588"/>
        <w:gridCol w:w="120"/>
        <w:gridCol w:w="141"/>
        <w:gridCol w:w="1604"/>
        <w:gridCol w:w="76"/>
      </w:tblGrid>
      <w:tr>
        <w:trPr/>
        <w:tc>
          <w:tcPr>
            <w:tcW w:w="10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5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096"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Mocha Club</w:t>
            </w:r>
          </w:p>
        </w:tc>
        <w:tc>
          <w:tcPr>
            <w:tcW w:w="120" w:type="dxa"/>
            <w:tcBorders/>
            <w:shd w:fill="auto" w:val="clear"/>
            <w:vAlign w:val="center"/>
          </w:tcPr>
          <w:p>
            <w:pPr>
              <w:pStyle w:val="TableContents"/>
              <w:spacing w:before="0" w:after="283"/>
              <w:rPr/>
            </w:pPr>
            <w:r>
              <w:rPr/>
              <w:t>  </w:t>
            </w:r>
          </w:p>
        </w:tc>
        <w:tc>
          <w:tcPr>
            <w:tcW w:w="134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Opening Month</w:t>
            </w:r>
          </w:p>
        </w:tc>
        <w:tc>
          <w:tcPr>
            <w:tcW w:w="120" w:type="dxa"/>
            <w:tcBorders/>
            <w:shd w:fill="auto" w:val="clear"/>
            <w:vAlign w:val="center"/>
          </w:tcPr>
          <w:p>
            <w:pPr>
              <w:pStyle w:val="TableContents"/>
              <w:spacing w:before="0" w:after="283"/>
              <w:rPr/>
            </w:pPr>
            <w:r>
              <w:rPr/>
              <w:t>  </w:t>
            </w:r>
          </w:p>
        </w:tc>
        <w:tc>
          <w:tcPr>
            <w:tcW w:w="5588"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Location</w:t>
            </w:r>
          </w:p>
        </w:tc>
        <w:tc>
          <w:tcPr>
            <w:tcW w:w="120" w:type="dxa"/>
            <w:tcBorders/>
            <w:shd w:fill="auto" w:val="clear"/>
            <w:vAlign w:val="center"/>
          </w:tcPr>
          <w:p>
            <w:pPr>
              <w:pStyle w:val="TableContents"/>
              <w:spacing w:before="0" w:after="283"/>
              <w:rPr/>
            </w:pPr>
            <w:r>
              <w:rPr/>
              <w:t>  </w:t>
            </w:r>
          </w:p>
        </w:tc>
        <w:tc>
          <w:tcPr>
            <w:tcW w:w="17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Floor Area</w:t>
            </w:r>
          </w:p>
        </w:tc>
        <w:tc>
          <w:tcPr>
            <w:tcW w:w="76" w:type="dxa"/>
            <w:tcBorders/>
            <w:shd w:fill="auto" w:val="clear"/>
            <w:vAlign w:val="center"/>
          </w:tcPr>
          <w:p>
            <w:pPr>
              <w:pStyle w:val="TableContents"/>
              <w:spacing w:before="0" w:after="283"/>
              <w:rPr/>
            </w:pPr>
            <w:r>
              <w:rPr/>
              <w:t> </w:t>
            </w:r>
          </w:p>
        </w:tc>
      </w:tr>
      <w:tr>
        <w:trPr/>
        <w:tc>
          <w:tcPr>
            <w:tcW w:w="109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8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5" w:type="dxa"/>
            <w:gridSpan w:val="2"/>
            <w:tcBorders/>
            <w:shd w:fill="auto" w:val="clear"/>
            <w:vAlign w:val="center"/>
          </w:tcPr>
          <w:p>
            <w:pPr>
              <w:pStyle w:val="TableContents"/>
              <w:spacing w:before="0" w:after="283"/>
              <w:jc w:val="center"/>
              <w:rPr>
                <w:b/>
              </w:rPr>
            </w:pPr>
            <w:r>
              <w:rPr>
                <w:b/>
              </w:rPr>
              <w:t>(In square feet)</w:t>
            </w:r>
          </w:p>
        </w:tc>
        <w:tc>
          <w:tcPr>
            <w:tcW w:w="76" w:type="dxa"/>
            <w:tcBorders/>
            <w:shd w:fill="auto" w:val="clear"/>
            <w:vAlign w:val="center"/>
          </w:tcPr>
          <w:p>
            <w:pPr>
              <w:pStyle w:val="TableContents"/>
              <w:spacing w:before="0" w:after="283"/>
              <w:rPr/>
            </w:pPr>
            <w:r>
              <w:rPr/>
              <w:t> </w:t>
            </w:r>
          </w:p>
        </w:tc>
      </w:tr>
      <w:tr>
        <w:trPr/>
        <w:tc>
          <w:tcPr>
            <w:tcW w:w="109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Royal</w:t>
            </w:r>
          </w:p>
        </w:tc>
        <w:tc>
          <w:tcPr>
            <w:tcW w:w="12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September 2003</w:t>
            </w:r>
          </w:p>
        </w:tc>
        <w:tc>
          <w:tcPr>
            <w:tcW w:w="120" w:type="dxa"/>
            <w:tcBorders/>
            <w:shd w:fill="CCEEFF" w:val="clear"/>
            <w:vAlign w:val="center"/>
          </w:tcPr>
          <w:p>
            <w:pPr>
              <w:pStyle w:val="TableContents"/>
              <w:spacing w:before="0" w:after="283"/>
              <w:rPr/>
            </w:pPr>
            <w:r>
              <w:rPr/>
              <w:t>  </w:t>
            </w:r>
          </w:p>
        </w:tc>
        <w:tc>
          <w:tcPr>
            <w:tcW w:w="558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G/F and 1/F of Hotel Royal</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13,600</w:t>
            </w:r>
          </w:p>
        </w:tc>
        <w:tc>
          <w:tcPr>
            <w:tcW w:w="76" w:type="dxa"/>
            <w:tcBorders/>
            <w:shd w:fill="CCEEFF" w:val="clear"/>
            <w:vAlign w:val="center"/>
          </w:tcPr>
          <w:p>
            <w:pPr>
              <w:pStyle w:val="TableContents"/>
              <w:spacing w:before="0" w:after="283"/>
              <w:rPr/>
            </w:pPr>
            <w:r>
              <w:rPr/>
              <w:t> </w:t>
            </w:r>
          </w:p>
        </w:tc>
      </w:tr>
      <w:tr>
        <w:trPr/>
        <w:tc>
          <w:tcPr>
            <w:tcW w:w="109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Grand Dragon</w:t>
            </w:r>
          </w:p>
        </w:tc>
        <w:tc>
          <w:tcPr>
            <w:tcW w:w="12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January 2005</w:t>
            </w:r>
          </w:p>
        </w:tc>
        <w:tc>
          <w:tcPr>
            <w:tcW w:w="120" w:type="dxa"/>
            <w:tcBorders/>
            <w:shd w:fill="auto" w:val="clear"/>
            <w:vAlign w:val="center"/>
          </w:tcPr>
          <w:p>
            <w:pPr>
              <w:pStyle w:val="TableContents"/>
              <w:spacing w:before="0" w:after="283"/>
              <w:rPr/>
            </w:pPr>
            <w:r>
              <w:rPr/>
              <w:t>  </w:t>
            </w:r>
          </w:p>
        </w:tc>
        <w:tc>
          <w:tcPr>
            <w:tcW w:w="558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G/F, 1/F and 2/F of Grand Dragon Hotel</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04" w:type="dxa"/>
            <w:tcBorders/>
            <w:shd w:fill="auto" w:val="clear"/>
            <w:vAlign w:val="center"/>
          </w:tcPr>
          <w:p>
            <w:pPr>
              <w:pStyle w:val="TableContents"/>
              <w:spacing w:before="0" w:after="283"/>
              <w:jc w:val="right"/>
              <w:rPr/>
            </w:pPr>
            <w:r>
              <w:rPr/>
              <w:t>12,700</w:t>
            </w:r>
          </w:p>
        </w:tc>
        <w:tc>
          <w:tcPr>
            <w:tcW w:w="76" w:type="dxa"/>
            <w:tcBorders/>
            <w:shd w:fill="auto" w:val="clear"/>
            <w:vAlign w:val="center"/>
          </w:tcPr>
          <w:p>
            <w:pPr>
              <w:pStyle w:val="TableContents"/>
              <w:spacing w:before="0" w:after="283"/>
              <w:rPr/>
            </w:pPr>
            <w:r>
              <w:rPr/>
              <w:t> </w:t>
            </w:r>
          </w:p>
        </w:tc>
      </w:tr>
      <w:tr>
        <w:trPr/>
        <w:tc>
          <w:tcPr>
            <w:tcW w:w="109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Sintra</w:t>
            </w:r>
          </w:p>
        </w:tc>
        <w:tc>
          <w:tcPr>
            <w:tcW w:w="12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November 2005</w:t>
            </w:r>
          </w:p>
        </w:tc>
        <w:tc>
          <w:tcPr>
            <w:tcW w:w="120" w:type="dxa"/>
            <w:tcBorders/>
            <w:shd w:fill="CCEEFF" w:val="clear"/>
            <w:vAlign w:val="center"/>
          </w:tcPr>
          <w:p>
            <w:pPr>
              <w:pStyle w:val="TableContents"/>
              <w:spacing w:before="0" w:after="283"/>
              <w:rPr/>
            </w:pPr>
            <w:r>
              <w:rPr/>
              <w:t>  </w:t>
            </w:r>
          </w:p>
        </w:tc>
        <w:tc>
          <w:tcPr>
            <w:tcW w:w="558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G/F and 1/F of Hotel Sintra</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7,800</w:t>
            </w:r>
          </w:p>
        </w:tc>
        <w:tc>
          <w:tcPr>
            <w:tcW w:w="76" w:type="dxa"/>
            <w:tcBorders/>
            <w:shd w:fill="CCEEFF" w:val="clear"/>
            <w:vAlign w:val="center"/>
          </w:tcPr>
          <w:p>
            <w:pPr>
              <w:pStyle w:val="TableContents"/>
              <w:spacing w:before="0" w:after="283"/>
              <w:rPr/>
            </w:pPr>
            <w:r>
              <w:rPr/>
              <w:t> </w:t>
            </w:r>
          </w:p>
        </w:tc>
      </w:tr>
      <w:tr>
        <w:trPr/>
        <w:tc>
          <w:tcPr>
            <w:tcW w:w="109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Golden Dragon</w:t>
            </w:r>
          </w:p>
        </w:tc>
        <w:tc>
          <w:tcPr>
            <w:tcW w:w="12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January 2012</w:t>
            </w:r>
          </w:p>
        </w:tc>
        <w:tc>
          <w:tcPr>
            <w:tcW w:w="120" w:type="dxa"/>
            <w:tcBorders/>
            <w:shd w:fill="auto" w:val="clear"/>
            <w:vAlign w:val="center"/>
          </w:tcPr>
          <w:p>
            <w:pPr>
              <w:pStyle w:val="TableContents"/>
              <w:spacing w:before="0" w:after="283"/>
              <w:rPr/>
            </w:pPr>
            <w:r>
              <w:rPr/>
              <w:t>  </w:t>
            </w:r>
          </w:p>
        </w:tc>
        <w:tc>
          <w:tcPr>
            <w:tcW w:w="558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G/F, 1/F and 2/F of Hotel Golden Dragon</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04" w:type="dxa"/>
            <w:tcBorders/>
            <w:shd w:fill="auto" w:val="clear"/>
            <w:vAlign w:val="center"/>
          </w:tcPr>
          <w:p>
            <w:pPr>
              <w:pStyle w:val="TableContents"/>
              <w:spacing w:before="0" w:after="283"/>
              <w:jc w:val="right"/>
              <w:rPr/>
            </w:pPr>
            <w:r>
              <w:rPr/>
              <w:t>15,700</w:t>
            </w:r>
          </w:p>
        </w:tc>
        <w:tc>
          <w:tcPr>
            <w:tcW w:w="76" w:type="dxa"/>
            <w:tcBorders/>
            <w:shd w:fill="auto" w:val="clear"/>
            <w:vAlign w:val="center"/>
          </w:tcPr>
          <w:p>
            <w:pPr>
              <w:pStyle w:val="TableContents"/>
              <w:spacing w:before="0" w:after="283"/>
              <w:rPr/>
            </w:pPr>
            <w:r>
              <w:rPr/>
              <w:t> </w:t>
            </w:r>
          </w:p>
        </w:tc>
      </w:tr>
      <w:tr>
        <w:trPr/>
        <w:tc>
          <w:tcPr>
            <w:tcW w:w="109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Inner Harbor</w:t>
            </w:r>
          </w:p>
        </w:tc>
        <w:tc>
          <w:tcPr>
            <w:tcW w:w="12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December 2013</w:t>
            </w:r>
          </w:p>
        </w:tc>
        <w:tc>
          <w:tcPr>
            <w:tcW w:w="120" w:type="dxa"/>
            <w:tcBorders/>
            <w:shd w:fill="CCEEFF" w:val="clear"/>
            <w:vAlign w:val="center"/>
          </w:tcPr>
          <w:p>
            <w:pPr>
              <w:pStyle w:val="TableContents"/>
              <w:spacing w:before="0" w:after="283"/>
              <w:rPr/>
            </w:pPr>
            <w:r>
              <w:rPr/>
              <w:t>  </w:t>
            </w:r>
          </w:p>
        </w:tc>
        <w:tc>
          <w:tcPr>
            <w:tcW w:w="558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Rua Nova do Comércio, n.os 2-12, Macau</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7,300</w:t>
            </w:r>
          </w:p>
        </w:tc>
        <w:tc>
          <w:tcPr>
            <w:tcW w:w="76" w:type="dxa"/>
            <w:tcBorders/>
            <w:shd w:fill="CCEEFF" w:val="clear"/>
            <w:vAlign w:val="center"/>
          </w:tcPr>
          <w:p>
            <w:pPr>
              <w:pStyle w:val="TableContents"/>
              <w:spacing w:before="0" w:after="283"/>
              <w:rPr/>
            </w:pPr>
            <w:r>
              <w:rPr/>
              <w:t> </w:t>
            </w:r>
          </w:p>
        </w:tc>
      </w:tr>
      <w:tr>
        <w:trPr/>
        <w:tc>
          <w:tcPr>
            <w:tcW w:w="109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Kuong Fat</w:t>
            </w:r>
          </w:p>
        </w:tc>
        <w:tc>
          <w:tcPr>
            <w:tcW w:w="12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June 2014</w:t>
            </w:r>
          </w:p>
        </w:tc>
        <w:tc>
          <w:tcPr>
            <w:tcW w:w="120" w:type="dxa"/>
            <w:tcBorders/>
            <w:shd w:fill="auto" w:val="clear"/>
            <w:vAlign w:val="center"/>
          </w:tcPr>
          <w:p>
            <w:pPr>
              <w:pStyle w:val="TableContents"/>
              <w:spacing w:before="0" w:after="283"/>
              <w:rPr/>
            </w:pPr>
            <w:r>
              <w:rPr/>
              <w:t>  </w:t>
            </w:r>
          </w:p>
        </w:tc>
        <w:tc>
          <w:tcPr>
            <w:tcW w:w="5588" w:type="dxa"/>
            <w:tcBorders/>
            <w:shd w:fill="auto" w:val="clear"/>
            <w:vAlign w:val="center"/>
          </w:tcPr>
          <w:p>
            <w:pPr>
              <w:pStyle w:val="TableContents"/>
              <w:spacing w:before="0" w:after="283"/>
              <w:rPr/>
            </w:pPr>
            <w:r>
              <w:rPr/>
              <w:t>Rua de Pequim, n.º 174, Centro Comercial Kuong Fat Cave A-H, Macau</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04" w:type="dxa"/>
            <w:tcBorders/>
            <w:shd w:fill="auto" w:val="clear"/>
            <w:vAlign w:val="center"/>
          </w:tcPr>
          <w:p>
            <w:pPr>
              <w:pStyle w:val="TableContents"/>
              <w:spacing w:before="0" w:after="283"/>
              <w:jc w:val="right"/>
              <w:rPr/>
            </w:pPr>
            <w:r>
              <w:rPr/>
              <w:t>11,700</w:t>
            </w:r>
          </w:p>
        </w:tc>
        <w:tc>
          <w:tcPr>
            <w:tcW w:w="76" w:type="dxa"/>
            <w:tcBorders/>
            <w:shd w:fill="auto" w:val="clear"/>
            <w:vAlign w:val="center"/>
          </w:tcPr>
          <w:p>
            <w:pPr>
              <w:pStyle w:val="TableContents"/>
              <w:spacing w:before="0" w:after="283"/>
              <w:rPr/>
            </w:pPr>
            <w:r>
              <w:rPr/>
              <w:t> </w:t>
            </w:r>
          </w:p>
        </w:tc>
      </w:tr>
      <w:tr>
        <w:trPr/>
        <w:tc>
          <w:tcPr>
            <w:tcW w:w="10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5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pBdr>
                <w:top w:val="single" w:sz="2" w:space="1" w:color="000000"/>
              </w:pBdr>
              <w:spacing w:before="0" w:after="0"/>
              <w:rPr/>
            </w:pPr>
            <w:r>
              <w:rPr/>
              <w:t> </w:t>
            </w:r>
          </w:p>
        </w:tc>
        <w:tc>
          <w:tcPr>
            <w:tcW w:w="1604" w:type="dxa"/>
            <w:tcBorders/>
            <w:shd w:fill="auto" w:val="clear"/>
            <w:vAlign w:val="center"/>
          </w:tcPr>
          <w:p>
            <w:pPr>
              <w:pStyle w:val="TableContents"/>
              <w:pBdr>
                <w:top w:val="single" w:sz="2"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r>
        <w:trPr/>
        <w:tc>
          <w:tcPr>
            <w:tcW w:w="1096"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134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5588"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b/>
              </w:rPr>
            </w:pPr>
            <w:r>
              <w:rPr>
                <w:b/>
              </w:rPr>
              <w:t>68,800</w:t>
            </w:r>
          </w:p>
        </w:tc>
        <w:tc>
          <w:tcPr>
            <w:tcW w:w="76" w:type="dxa"/>
            <w:tcBorders/>
            <w:shd w:fill="CCEEFF" w:val="clear"/>
            <w:vAlign w:val="center"/>
          </w:tcPr>
          <w:p>
            <w:pPr>
              <w:pStyle w:val="TableContents"/>
              <w:spacing w:before="0" w:after="283"/>
              <w:rPr/>
            </w:pPr>
            <w:r>
              <w:rPr/>
              <w:t> </w:t>
            </w:r>
          </w:p>
        </w:tc>
      </w:tr>
      <w:tr>
        <w:trPr/>
        <w:tc>
          <w:tcPr>
            <w:tcW w:w="10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55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pBdr>
                <w:top w:val="double" w:sz="6" w:space="1" w:color="000000"/>
              </w:pBdr>
              <w:spacing w:before="0" w:after="0"/>
              <w:rPr/>
            </w:pPr>
            <w:r>
              <w:rPr/>
              <w:t> </w:t>
            </w:r>
          </w:p>
        </w:tc>
        <w:tc>
          <w:tcPr>
            <w:tcW w:w="1604" w:type="dxa"/>
            <w:tcBorders/>
            <w:shd w:fill="auto" w:val="clear"/>
            <w:vAlign w:val="center"/>
          </w:tcPr>
          <w:p>
            <w:pPr>
              <w:pStyle w:val="TableContents"/>
              <w:pBdr>
                <w:top w:val="double" w:sz="6"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Premises are being operated under leases, subleases or right to use agreements that expire at various dates through December 2026, which are renewable upon reaching agreements with the owners.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leasehold improvements to Mocha Club premises and the onsite equipment utilized at the Mocha Clubs are owned and held for use to support the gaming machine operations. In addition, the gaming machines at Altira are operated under the Mocha Club brand. </w:t>
      </w:r>
    </w:p>
    <w:p>
      <w:pPr>
        <w:pStyle w:val="TextBody"/>
        <w:spacing w:before="240" w:after="0"/>
        <w:jc w:val="left"/>
        <w:rPr>
          <w:rFonts w:ascii="Times New Roman" w:hAnsi="Times New Roman"/>
          <w:sz w:val="20"/>
        </w:rPr>
      </w:pPr>
      <w:r>
        <w:rPr>
          <w:rFonts w:ascii="Times New Roman" w:hAnsi="Times New Roman"/>
          <w:sz w:val="20"/>
        </w:rPr>
        <w:t xml:space="preserve">In addition to the Mocha Clubs, we also operate the Grand Dragon Casino, which focuses on mass market table games. Grand Dragon Casino premises, including the fit-out and gaming-related equipment, are located on the ground floor and level one within Grand Dragon Hotel in Macau and occupy a floor area of approximately 10,700 square feet. We operate Grand Dragon Casino under a right-to-use agreement. The gaming equipment is owned by the Macau SAR and has been transferred to us for usage in our operations during the duration of the Concession Contract. </w:t>
      </w:r>
    </w:p>
    <w:p>
      <w:pPr>
        <w:pStyle w:val="TextBody"/>
        <w:spacing w:before="360" w:after="0"/>
        <w:jc w:val="left"/>
        <w:rPr>
          <w:rFonts w:ascii="Times New Roman" w:hAnsi="Times New Roman"/>
          <w:b/>
          <w:i/>
          <w:sz w:val="20"/>
        </w:rPr>
      </w:pPr>
      <w:r>
        <w:rPr>
          <w:rFonts w:ascii="Times New Roman" w:hAnsi="Times New Roman"/>
          <w:b/>
          <w:i/>
          <w:sz w:val="20"/>
        </w:rPr>
        <w:t xml:space="preserve">Studio City </w:t>
      </w:r>
    </w:p>
    <w:p>
      <w:pPr>
        <w:pStyle w:val="TextBody"/>
        <w:spacing w:before="120" w:after="0"/>
        <w:jc w:val="left"/>
        <w:rPr>
          <w:rFonts w:ascii="Times New Roman" w:hAnsi="Times New Roman"/>
          <w:sz w:val="20"/>
        </w:rPr>
      </w:pPr>
      <w:r>
        <w:rPr>
          <w:rFonts w:ascii="Times New Roman" w:hAnsi="Times New Roman"/>
          <w:sz w:val="20"/>
        </w:rPr>
        <w:t xml:space="preserve">Studio City is located in Cotai, Macau and has a land area of 130,789 square meters (equivalent to approximately 1.4 million square feet) held under a 25-year land lease agreement with the Macau government that is renewable for further consecutive periods of ten years, subject to applicable legislation in Macau. In October 2001, the Macau government granted the land on which Studio City is located to Studio City Developments Limited, which is a company incorporated in Macau with limited liability and which is also an indirect subsidiary of SCI. The Studio City land concession contract was amended in July 2012 and September 2015 to permit Studio City Developments Limited to build a complex comprising a four-star hotel, a facility for cinematographic industry, including supporting facilities for entertainment and tourism, parking and free area. </w:t>
      </w:r>
    </w:p>
    <w:p>
      <w:pPr>
        <w:pStyle w:val="TextBody"/>
        <w:spacing w:before="240" w:after="0"/>
        <w:jc w:val="left"/>
        <w:rPr>
          <w:rFonts w:ascii="Times New Roman" w:hAnsi="Times New Roman"/>
          <w:sz w:val="20"/>
        </w:rPr>
      </w:pPr>
      <w:r>
        <w:rPr>
          <w:rFonts w:ascii="Times New Roman" w:hAnsi="Times New Roman"/>
          <w:sz w:val="20"/>
        </w:rPr>
        <w:t xml:space="preserve">The gross construction area of the Studio City site is approximately 657,879.39 square meters (equivalent to approximately 7.1 million square feet) of which approximately 28,784.3 square meters or 4.38% comprises the gaming and gaming support area and is owned by the Macau SAR. Effective from January 1, 2023, the Macau government has transferred this area to us for usage in our operations during the duration of the concession for the same fee set for the usage of The City of Dreams casino. Currently, the gross floor area of Studio City is approximately 457,462 square meters (equivalent to approximately 4.9 million square feet). The land premium of approximately MOP1,402.0 million (equivalent to approximately US$175 million) was paid in full in January 2015. As announced by Studio City International in May 2022, the development period under the Studio City land concession was extended to June 30, 2023. Land use fees of approximately MOP3.9 million (equivalent to approximately US$490,000) per annum are payable to the Macau government during the development stage. The annual land use fees payable to the Macau government after completion of development will be MOP9.1 million (equivalent to approximately US$1.1 million). The amounts may be adjusted every five years as agreed between the Macau government and the land concessionaire using the applicable rates in effect at the time of the rent adjustment. </w:t>
      </w:r>
    </w:p>
    <w:p>
      <w:pPr>
        <w:pStyle w:val="TextBody"/>
        <w:spacing w:before="240" w:after="0"/>
        <w:jc w:val="left"/>
        <w:rPr>
          <w:rFonts w:ascii="Times New Roman" w:hAnsi="Times New Roman"/>
          <w:sz w:val="20"/>
        </w:rPr>
      </w:pPr>
      <w:r>
        <w:rPr>
          <w:rFonts w:ascii="Times New Roman" w:hAnsi="Times New Roman"/>
          <w:sz w:val="20"/>
        </w:rPr>
        <w:t xml:space="preserve">As part of the security provided in relation to the 2027 Studio City Notes and the 2021 Studio City Senior Secured Credit Facility, we assigned certain leases and right to use agreements and granted a mortgage over our rights under the Studio City land concession. Such security remains in place under the 2028 Studio City Senior Secured Credit Facility. </w:t>
      </w:r>
    </w:p>
    <w:p>
      <w:pPr>
        <w:pStyle w:val="TextBody"/>
        <w:spacing w:before="360" w:after="0"/>
        <w:jc w:val="left"/>
        <w:rPr>
          <w:rFonts w:ascii="Times New Roman" w:hAnsi="Times New Roman"/>
          <w:b/>
          <w:i/>
          <w:sz w:val="20"/>
        </w:rPr>
      </w:pPr>
      <w:r>
        <w:rPr>
          <w:rFonts w:ascii="Times New Roman" w:hAnsi="Times New Roman"/>
          <w:b/>
          <w:i/>
          <w:sz w:val="20"/>
        </w:rPr>
        <w:t xml:space="preserve">City of Dreams Manila </w:t>
      </w:r>
    </w:p>
    <w:p>
      <w:pPr>
        <w:pStyle w:val="TextBody"/>
        <w:spacing w:before="120" w:after="0"/>
        <w:jc w:val="left"/>
        <w:rPr>
          <w:rFonts w:ascii="Times New Roman" w:hAnsi="Times New Roman"/>
          <w:sz w:val="20"/>
        </w:rPr>
      </w:pPr>
      <w:r>
        <w:rPr>
          <w:rFonts w:ascii="Times New Roman" w:hAnsi="Times New Roman"/>
          <w:sz w:val="20"/>
        </w:rPr>
        <w:t xml:space="preserve">The City of Dreams Manila site is located on reclaimed land (“Project Reclaimed Land”). The Project Reclaimed Land was originally acquired by an entity known as R 1 Consortium from the Philippine Public Estates Authority. R 1 Consortium conveyed all its interest to the Project Reclaimed Land in favor of two entities which later merged with Belle Bay City Corporation, which is 34.9% owned by Belle Corporation, one of the Philippine Parties, with Belle Bay City Corporation becoming the surviving entity and owner of the Project Reclaimed Land. Belle Bay City Corporation was, however, dissolved in 2005 and is still undergoing liquidation. The Project Reclaimed Land was allocated to Belle Corporation as part of Belle Bay City Corporation’s plan of dissolution. Belle Corporation has since exercised possession and other rights over the Project Reclaimed Land.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2005, Belle Corporation transferred a portion of the Project Reclaimed Land to the Philippine Social Security System. In 2010, Belle Corporation and the Philippine Social Security System entered into a lease agreement for that part of the land. </w:t>
      </w:r>
    </w:p>
    <w:p>
      <w:pPr>
        <w:pStyle w:val="TextBody"/>
        <w:spacing w:before="240" w:after="0"/>
        <w:jc w:val="left"/>
        <w:rPr>
          <w:rFonts w:ascii="Times New Roman" w:hAnsi="Times New Roman"/>
          <w:sz w:val="20"/>
        </w:rPr>
      </w:pPr>
      <w:r>
        <w:rPr>
          <w:rFonts w:ascii="Times New Roman" w:hAnsi="Times New Roman"/>
          <w:sz w:val="20"/>
        </w:rPr>
        <w:t xml:space="preserve">Melco Resorts Leisure does not own the land or the buildings comprising the site for City of Dreams Manila. Rather, Melco Resorts Leisure leases the Project Reclaimed Land and buildings from Belle Corporation under a Contract of Lease dated October 25, 2012 (“Lease Agreement”). Under the Lease Agreement, Melco Resorts Leisure leases from Belle Corporation the land upon which City of Dreams Manila is located with a total area of 61,141 square meters, as well as the buildings erected thereon, which are classified into Phase 1 and Phase 2 Buildings (collectively, “Leased Premises”). The Lease Agreement commenced upon the handover of the Leased Premises to Melco Resorts Leisure in 2013 and will continue during the term of the Philippine License, subject to certain termination events. The Lease Premises shall be used exclusively as a hotel, casino and resort complex, with retail, entertainment, convention exhibition, food and beverage services as well as other related activities. In August 2022 and October 2022, we entered into amendment agreements to the Lease Agreement with Belle Corporation, under which the parties revised the rent payable (i) for the year ended December 31, 2022; and (ii) for the year ended December 31, 2022 through the year ending December 31, 2033, respectively, subject to adjustments based on the annual headline inflation and bonus rent pursuant to the terms thereof. </w:t>
      </w:r>
    </w:p>
    <w:p>
      <w:pPr>
        <w:pStyle w:val="TextBody"/>
        <w:spacing w:before="360" w:after="0"/>
        <w:jc w:val="left"/>
        <w:rPr>
          <w:rFonts w:ascii="Times New Roman" w:hAnsi="Times New Roman"/>
          <w:b/>
          <w:i/>
          <w:sz w:val="20"/>
        </w:rPr>
      </w:pPr>
      <w:r>
        <w:rPr>
          <w:rFonts w:ascii="Times New Roman" w:hAnsi="Times New Roman"/>
          <w:b/>
          <w:i/>
          <w:sz w:val="20"/>
        </w:rPr>
        <w:t xml:space="preserve">Cyprus Casinos </w:t>
      </w:r>
    </w:p>
    <w:p>
      <w:pPr>
        <w:pStyle w:val="TextBody"/>
        <w:spacing w:before="120" w:after="0"/>
        <w:jc w:val="left"/>
        <w:rPr>
          <w:rFonts w:ascii="Times New Roman" w:hAnsi="Times New Roman"/>
          <w:sz w:val="20"/>
        </w:rPr>
      </w:pPr>
      <w:r>
        <w:rPr>
          <w:rFonts w:ascii="Times New Roman" w:hAnsi="Times New Roman"/>
          <w:sz w:val="20"/>
        </w:rPr>
        <w:t xml:space="preserve">We currently have the following casinos in operation with the total floor area of approximately 86,310 square feet at various locations in Cyprus: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47"/>
        <w:gridCol w:w="60"/>
        <w:gridCol w:w="1295"/>
        <w:gridCol w:w="120"/>
        <w:gridCol w:w="4942"/>
        <w:gridCol w:w="120"/>
        <w:gridCol w:w="141"/>
        <w:gridCol w:w="1604"/>
        <w:gridCol w:w="76"/>
      </w:tblGrid>
      <w:tr>
        <w:trPr/>
        <w:tc>
          <w:tcPr>
            <w:tcW w:w="18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9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04"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1847"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Cyprus Casinos</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Opening Month</w:t>
            </w:r>
          </w:p>
        </w:tc>
        <w:tc>
          <w:tcPr>
            <w:tcW w:w="120" w:type="dxa"/>
            <w:tcBorders/>
            <w:shd w:fill="auto" w:val="clear"/>
            <w:vAlign w:val="center"/>
          </w:tcPr>
          <w:p>
            <w:pPr>
              <w:pStyle w:val="TableContents"/>
              <w:spacing w:before="0" w:after="283"/>
              <w:rPr/>
            </w:pPr>
            <w:r>
              <w:rPr/>
              <w:t>  </w:t>
            </w:r>
          </w:p>
        </w:tc>
        <w:tc>
          <w:tcPr>
            <w:tcW w:w="4942"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Location</w:t>
            </w:r>
          </w:p>
        </w:tc>
        <w:tc>
          <w:tcPr>
            <w:tcW w:w="120" w:type="dxa"/>
            <w:tcBorders/>
            <w:shd w:fill="auto" w:val="clear"/>
            <w:vAlign w:val="center"/>
          </w:tcPr>
          <w:p>
            <w:pPr>
              <w:pStyle w:val="TableContents"/>
              <w:spacing w:before="0" w:after="283"/>
              <w:rPr/>
            </w:pPr>
            <w:r>
              <w:rPr/>
              <w:t>  </w:t>
            </w:r>
          </w:p>
        </w:tc>
        <w:tc>
          <w:tcPr>
            <w:tcW w:w="17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Floor Area</w:t>
            </w:r>
          </w:p>
        </w:tc>
        <w:tc>
          <w:tcPr>
            <w:tcW w:w="76" w:type="dxa"/>
            <w:tcBorders/>
            <w:shd w:fill="auto" w:val="clear"/>
            <w:vAlign w:val="center"/>
          </w:tcPr>
          <w:p>
            <w:pPr>
              <w:pStyle w:val="TableContents"/>
              <w:spacing w:before="0" w:after="283"/>
              <w:rPr/>
            </w:pPr>
            <w:r>
              <w:rPr/>
              <w:t> </w:t>
            </w:r>
          </w:p>
        </w:tc>
      </w:tr>
      <w:tr>
        <w:trPr/>
        <w:tc>
          <w:tcPr>
            <w:tcW w:w="18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94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5" w:type="dxa"/>
            <w:gridSpan w:val="2"/>
            <w:tcBorders/>
            <w:shd w:fill="auto" w:val="clear"/>
            <w:vAlign w:val="center"/>
          </w:tcPr>
          <w:p>
            <w:pPr>
              <w:pStyle w:val="TableContents"/>
              <w:spacing w:before="0" w:after="283"/>
              <w:jc w:val="center"/>
              <w:rPr>
                <w:b/>
              </w:rPr>
            </w:pPr>
            <w:r>
              <w:rPr>
                <w:b/>
              </w:rPr>
              <w:t>(In square feet)</w:t>
            </w:r>
          </w:p>
        </w:tc>
        <w:tc>
          <w:tcPr>
            <w:tcW w:w="76" w:type="dxa"/>
            <w:tcBorders/>
            <w:shd w:fill="auto" w:val="clear"/>
            <w:vAlign w:val="center"/>
          </w:tcPr>
          <w:p>
            <w:pPr>
              <w:pStyle w:val="TableContents"/>
              <w:spacing w:before="0" w:after="283"/>
              <w:rPr/>
            </w:pPr>
            <w:r>
              <w:rPr/>
              <w:t> </w:t>
            </w:r>
          </w:p>
        </w:tc>
      </w:tr>
      <w:tr>
        <w:trPr/>
        <w:tc>
          <w:tcPr>
            <w:tcW w:w="184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Limassol (temporary casino)</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June 2018</w:t>
            </w:r>
          </w:p>
        </w:tc>
        <w:tc>
          <w:tcPr>
            <w:tcW w:w="120" w:type="dxa"/>
            <w:tcBorders/>
            <w:shd w:fill="CCEEFF" w:val="clear"/>
            <w:vAlign w:val="center"/>
          </w:tcPr>
          <w:p>
            <w:pPr>
              <w:pStyle w:val="TableContents"/>
              <w:spacing w:before="0" w:after="283"/>
              <w:rPr/>
            </w:pPr>
            <w:r>
              <w:rPr/>
              <w:t>  </w:t>
            </w:r>
          </w:p>
        </w:tc>
        <w:tc>
          <w:tcPr>
            <w:tcW w:w="494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271 Franklin Roosevelt Ave.</w:t>
            </w:r>
          </w:p>
          <w:p>
            <w:pPr>
              <w:pStyle w:val="TableContents"/>
              <w:spacing w:before="0" w:after="20"/>
              <w:rPr>
                <w:rFonts w:ascii="Times New Roman" w:hAnsi="Times New Roman"/>
                <w:sz w:val="20"/>
              </w:rPr>
            </w:pPr>
            <w:r>
              <w:rPr>
                <w:rFonts w:ascii="Times New Roman" w:hAnsi="Times New Roman"/>
                <w:sz w:val="20"/>
              </w:rPr>
              <w:t>3046 Limassol, Cyprus</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67,270</w:t>
            </w:r>
          </w:p>
        </w:tc>
        <w:tc>
          <w:tcPr>
            <w:tcW w:w="76" w:type="dxa"/>
            <w:tcBorders/>
            <w:shd w:fill="CCEEFF" w:val="clear"/>
            <w:vAlign w:val="center"/>
          </w:tcPr>
          <w:p>
            <w:pPr>
              <w:pStyle w:val="TableContents"/>
              <w:spacing w:before="0" w:after="283"/>
              <w:rPr/>
            </w:pPr>
            <w:r>
              <w:rPr/>
              <w:t> </w:t>
            </w:r>
          </w:p>
        </w:tc>
      </w:tr>
      <w:tr>
        <w:trPr/>
        <w:tc>
          <w:tcPr>
            <w:tcW w:w="184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Nicosia</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December 2018</w:t>
            </w:r>
          </w:p>
        </w:tc>
        <w:tc>
          <w:tcPr>
            <w:tcW w:w="120" w:type="dxa"/>
            <w:tcBorders/>
            <w:shd w:fill="auto" w:val="clear"/>
            <w:vAlign w:val="center"/>
          </w:tcPr>
          <w:p>
            <w:pPr>
              <w:pStyle w:val="TableContents"/>
              <w:spacing w:before="0" w:after="283"/>
              <w:rPr/>
            </w:pPr>
            <w:r>
              <w:rPr/>
              <w:t>  </w:t>
            </w:r>
          </w:p>
        </w:tc>
        <w:tc>
          <w:tcPr>
            <w:tcW w:w="4942" w:type="dxa"/>
            <w:tcBorders/>
            <w:shd w:fill="auto" w:val="clear"/>
            <w:vAlign w:val="center"/>
          </w:tcPr>
          <w:p>
            <w:pPr>
              <w:pStyle w:val="TableContents"/>
              <w:spacing w:before="0" w:after="283"/>
              <w:rPr/>
            </w:pPr>
            <w:r>
              <w:rPr/>
              <w:t>Neas Engomis Street No.35, Engomi, 2409 Nicosia, Cyprus.</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04" w:type="dxa"/>
            <w:tcBorders/>
            <w:shd w:fill="auto" w:val="clear"/>
            <w:vAlign w:val="center"/>
          </w:tcPr>
          <w:p>
            <w:pPr>
              <w:pStyle w:val="TableContents"/>
              <w:spacing w:before="0" w:after="283"/>
              <w:jc w:val="right"/>
              <w:rPr/>
            </w:pPr>
            <w:r>
              <w:rPr/>
              <w:t>10,600</w:t>
            </w:r>
          </w:p>
        </w:tc>
        <w:tc>
          <w:tcPr>
            <w:tcW w:w="76" w:type="dxa"/>
            <w:tcBorders/>
            <w:shd w:fill="auto" w:val="clear"/>
            <w:vAlign w:val="center"/>
          </w:tcPr>
          <w:p>
            <w:pPr>
              <w:pStyle w:val="TableContents"/>
              <w:spacing w:before="0" w:after="283"/>
              <w:rPr/>
            </w:pPr>
            <w:r>
              <w:rPr/>
              <w:t> </w:t>
            </w:r>
          </w:p>
        </w:tc>
      </w:tr>
      <w:tr>
        <w:trPr/>
        <w:tc>
          <w:tcPr>
            <w:tcW w:w="1847"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Ayia Napa</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July 2019</w:t>
            </w:r>
          </w:p>
        </w:tc>
        <w:tc>
          <w:tcPr>
            <w:tcW w:w="120" w:type="dxa"/>
            <w:tcBorders/>
            <w:shd w:fill="CCEEFF" w:val="clear"/>
            <w:vAlign w:val="center"/>
          </w:tcPr>
          <w:p>
            <w:pPr>
              <w:pStyle w:val="TableContents"/>
              <w:spacing w:before="0" w:after="283"/>
              <w:rPr/>
            </w:pPr>
            <w:r>
              <w:rPr/>
              <w:t>  </w:t>
            </w:r>
          </w:p>
        </w:tc>
        <w:tc>
          <w:tcPr>
            <w:tcW w:w="4942" w:type="dxa"/>
            <w:tcBorders/>
            <w:shd w:fill="CCEEFF" w:val="clear"/>
            <w:vAlign w:val="center"/>
          </w:tcPr>
          <w:p>
            <w:pPr>
              <w:pStyle w:val="TableContents"/>
              <w:spacing w:before="0" w:after="283"/>
              <w:rPr/>
            </w:pPr>
            <w:r>
              <w:rPr/>
              <w:t>Archiepiscopou Makariou III, 34 Ayia Napa, Cyprus</w:t>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3,970</w:t>
            </w:r>
          </w:p>
        </w:tc>
        <w:tc>
          <w:tcPr>
            <w:tcW w:w="76" w:type="dxa"/>
            <w:tcBorders/>
            <w:shd w:fill="CCEEFF" w:val="clear"/>
            <w:vAlign w:val="center"/>
          </w:tcPr>
          <w:p>
            <w:pPr>
              <w:pStyle w:val="TableContents"/>
              <w:spacing w:before="0" w:after="283"/>
              <w:rPr/>
            </w:pPr>
            <w:r>
              <w:rPr/>
              <w:t> </w:t>
            </w:r>
          </w:p>
        </w:tc>
      </w:tr>
      <w:tr>
        <w:trPr/>
        <w:tc>
          <w:tcPr>
            <w:tcW w:w="1847"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Paphos</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February 2020</w:t>
            </w:r>
          </w:p>
        </w:tc>
        <w:tc>
          <w:tcPr>
            <w:tcW w:w="120" w:type="dxa"/>
            <w:tcBorders/>
            <w:shd w:fill="auto" w:val="clear"/>
            <w:vAlign w:val="center"/>
          </w:tcPr>
          <w:p>
            <w:pPr>
              <w:pStyle w:val="TableContents"/>
              <w:spacing w:before="0" w:after="283"/>
              <w:rPr/>
            </w:pPr>
            <w:r>
              <w:rPr/>
              <w:t>  </w:t>
            </w:r>
          </w:p>
        </w:tc>
        <w:tc>
          <w:tcPr>
            <w:tcW w:w="494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9 Theas Aphroditis 8204 Paphos, Cyprus</w:t>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04" w:type="dxa"/>
            <w:tcBorders/>
            <w:shd w:fill="auto" w:val="clear"/>
            <w:vAlign w:val="center"/>
          </w:tcPr>
          <w:p>
            <w:pPr>
              <w:pStyle w:val="TableContents"/>
              <w:spacing w:before="0" w:after="283"/>
              <w:jc w:val="right"/>
              <w:rPr/>
            </w:pPr>
            <w:r>
              <w:rPr/>
              <w:t>4,470</w:t>
            </w:r>
          </w:p>
        </w:tc>
        <w:tc>
          <w:tcPr>
            <w:tcW w:w="76" w:type="dxa"/>
            <w:tcBorders/>
            <w:shd w:fill="auto" w:val="clear"/>
            <w:vAlign w:val="center"/>
          </w:tcPr>
          <w:p>
            <w:pPr>
              <w:pStyle w:val="TableContents"/>
              <w:spacing w:before="0" w:after="283"/>
              <w:rPr/>
            </w:pPr>
            <w:r>
              <w:rPr/>
              <w:t> </w:t>
            </w:r>
          </w:p>
        </w:tc>
      </w:tr>
      <w:tr>
        <w:trPr/>
        <w:tc>
          <w:tcPr>
            <w:tcW w:w="18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9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pBdr>
                <w:top w:val="single" w:sz="2" w:space="1" w:color="000000"/>
              </w:pBdr>
              <w:spacing w:before="0" w:after="0"/>
              <w:rPr/>
            </w:pPr>
            <w:r>
              <w:rPr/>
              <w:t> </w:t>
            </w:r>
          </w:p>
        </w:tc>
        <w:tc>
          <w:tcPr>
            <w:tcW w:w="1604" w:type="dxa"/>
            <w:tcBorders/>
            <w:shd w:fill="auto" w:val="clear"/>
            <w:vAlign w:val="center"/>
          </w:tcPr>
          <w:p>
            <w:pPr>
              <w:pStyle w:val="TableContents"/>
              <w:pBdr>
                <w:top w:val="single" w:sz="2"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r>
        <w:trPr/>
        <w:tc>
          <w:tcPr>
            <w:tcW w:w="1847"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4942"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04" w:type="dxa"/>
            <w:tcBorders/>
            <w:shd w:fill="CCEEFF" w:val="clear"/>
            <w:vAlign w:val="center"/>
          </w:tcPr>
          <w:p>
            <w:pPr>
              <w:pStyle w:val="TableContents"/>
              <w:spacing w:before="0" w:after="283"/>
              <w:jc w:val="right"/>
              <w:rPr/>
            </w:pPr>
            <w:r>
              <w:rPr/>
              <w:t>86,310</w:t>
            </w:r>
          </w:p>
        </w:tc>
        <w:tc>
          <w:tcPr>
            <w:tcW w:w="76" w:type="dxa"/>
            <w:tcBorders/>
            <w:shd w:fill="CCEEFF" w:val="clear"/>
            <w:vAlign w:val="center"/>
          </w:tcPr>
          <w:p>
            <w:pPr>
              <w:pStyle w:val="TableContents"/>
              <w:spacing w:before="0" w:after="283"/>
              <w:rPr/>
            </w:pPr>
            <w:r>
              <w:rPr/>
              <w:t> </w:t>
            </w:r>
          </w:p>
        </w:tc>
      </w:tr>
      <w:tr>
        <w:trPr/>
        <w:tc>
          <w:tcPr>
            <w:tcW w:w="184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9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pBdr>
                <w:top w:val="double" w:sz="6" w:space="1" w:color="000000"/>
              </w:pBdr>
              <w:spacing w:before="0" w:after="0"/>
              <w:rPr/>
            </w:pPr>
            <w:r>
              <w:rPr/>
              <w:t> </w:t>
            </w:r>
          </w:p>
        </w:tc>
        <w:tc>
          <w:tcPr>
            <w:tcW w:w="1604" w:type="dxa"/>
            <w:tcBorders/>
            <w:shd w:fill="auto" w:val="clear"/>
            <w:vAlign w:val="center"/>
          </w:tcPr>
          <w:p>
            <w:pPr>
              <w:pStyle w:val="TableContents"/>
              <w:pBdr>
                <w:top w:val="double" w:sz="6" w:space="1" w:color="000000"/>
              </w:pBdr>
              <w:spacing w:before="0" w:after="0"/>
              <w:rPr/>
            </w:pPr>
            <w:r>
              <w:rPr/>
              <w:t> </w:t>
            </w:r>
          </w:p>
        </w:tc>
        <w:tc>
          <w:tcPr>
            <w:tcW w:w="76"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above premises in Cyprus are being operated under leases that expire at various dates. The lease of our temporary casino in Limassol was extended on December 1, 2022 for a further period to July 31, 2023. The leases for our three satellite casinos run up to 2023 to 2024 and are renewable for two five-year terms unless we elect not to renew those leases. </w:t>
      </w:r>
    </w:p>
    <w:p>
      <w:pPr>
        <w:pStyle w:val="TextBody"/>
        <w:spacing w:before="360" w:after="0"/>
        <w:jc w:val="left"/>
        <w:rPr>
          <w:rFonts w:ascii="Times New Roman" w:hAnsi="Times New Roman"/>
          <w:b/>
          <w:i/>
          <w:sz w:val="20"/>
        </w:rPr>
      </w:pPr>
      <w:r>
        <w:rPr>
          <w:rFonts w:ascii="Times New Roman" w:hAnsi="Times New Roman"/>
          <w:b/>
          <w:i/>
          <w:sz w:val="20"/>
        </w:rPr>
        <w:t xml:space="preserve">City of Dreams Mediterranean </w:t>
      </w:r>
    </w:p>
    <w:p>
      <w:pPr>
        <w:pStyle w:val="TextBody"/>
        <w:spacing w:before="120" w:after="0"/>
        <w:jc w:val="left"/>
        <w:rPr>
          <w:rFonts w:ascii="Times New Roman" w:hAnsi="Times New Roman"/>
          <w:sz w:val="20"/>
        </w:rPr>
      </w:pPr>
      <w:r>
        <w:rPr>
          <w:rFonts w:ascii="Times New Roman" w:hAnsi="Times New Roman"/>
          <w:sz w:val="20"/>
        </w:rPr>
        <w:t xml:space="preserve">The site of City of Dreams Mediterranean, which is currently under development, is located at Zakaki, in western Limassol, Cyprus (“Cyprus Project Land”). Prior to our acquisition of Melco International’s 75% equity interest in ICR Cyprus on July 31, 2019, The Cyprus Phassouri (Zakaki) Limited, the current owner of a 25% equity interest in ICR Cyprus, acquired such 25% equity interest in ICR Cyprus by contributing its freehold interest over the Cyprus Project Land and as a result, a subsidiary of ICR Cyprus became owner of the freehold interest over the Cyprus Project Land. The Cyprus Project land has a total site area of 367,000 square meters (equivalent to approximately 3.95 million square feet) and a total gross floor area of 86,000 square meters (equivalent to approximately 925,700 square feet). Following the extension granted by the government of Cyprus, the Cyprus License currently requires us to open the City of Dreams Mediterranean by June 30, 2023. The City of Dreams Mediterranean is targeted to open in the second quarter of 2023, subject to regulatory approvals.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Other Premises </w:t>
      </w:r>
    </w:p>
    <w:p>
      <w:pPr>
        <w:pStyle w:val="TextBody"/>
        <w:spacing w:before="120" w:after="0"/>
        <w:jc w:val="left"/>
        <w:rPr>
          <w:rFonts w:ascii="Times New Roman" w:hAnsi="Times New Roman"/>
          <w:sz w:val="20"/>
        </w:rPr>
      </w:pPr>
      <w:r>
        <w:rPr>
          <w:rFonts w:ascii="Times New Roman" w:hAnsi="Times New Roman"/>
          <w:sz w:val="20"/>
        </w:rPr>
        <w:t xml:space="preserve">We completed the disposal of a ski resort in Nagano, Japan with a site area of approximately 2.0 million square meters (equivalent to approximately 21.5 million square feet) (the “Japan Ski Resort”) in late December 2022. </w:t>
      </w:r>
    </w:p>
    <w:p>
      <w:pPr>
        <w:pStyle w:val="TextBody"/>
        <w:spacing w:before="240" w:after="0"/>
        <w:jc w:val="left"/>
        <w:rPr>
          <w:rFonts w:ascii="Times New Roman" w:hAnsi="Times New Roman"/>
          <w:sz w:val="20"/>
        </w:rPr>
      </w:pPr>
      <w:r>
        <w:rPr>
          <w:rFonts w:ascii="Times New Roman" w:hAnsi="Times New Roman"/>
          <w:sz w:val="20"/>
        </w:rPr>
        <w:t xml:space="preserve">Apart from the aforesaid property sites, we maintain various offices and storage locations in Macau, Hong Kong, Cyprus and Singapore. We lease all of our office and storage premises. </w:t>
      </w:r>
    </w:p>
    <w:p>
      <w:pPr>
        <w:pStyle w:val="TextBody"/>
        <w:spacing w:before="360" w:after="0"/>
        <w:jc w:val="left"/>
        <w:rPr>
          <w:rFonts w:ascii="Times New Roman" w:hAnsi="Times New Roman"/>
          <w:b/>
          <w:sz w:val="20"/>
        </w:rPr>
      </w:pPr>
      <w:r>
        <w:rPr>
          <w:rFonts w:ascii="Times New Roman" w:hAnsi="Times New Roman"/>
          <w:b/>
          <w:sz w:val="20"/>
        </w:rPr>
        <w:t xml:space="preserve">Advertising and Marketing </w:t>
      </w:r>
    </w:p>
    <w:p>
      <w:pPr>
        <w:pStyle w:val="TextBody"/>
        <w:spacing w:before="120" w:after="0"/>
        <w:jc w:val="left"/>
        <w:rPr>
          <w:rFonts w:ascii="Times New Roman" w:hAnsi="Times New Roman"/>
          <w:sz w:val="20"/>
        </w:rPr>
      </w:pPr>
      <w:r>
        <w:rPr>
          <w:rFonts w:ascii="Times New Roman" w:hAnsi="Times New Roman"/>
          <w:sz w:val="20"/>
        </w:rPr>
        <w:t xml:space="preserve">We seek to attract customers to our properties and to grow our customer base over time by undertaking several forms of advertising, sales and marketing activities and plans. We utilize local and regional media to publicize and promote our projects and operations. We have built public relations and marketing and branding teams that cultivate media relationships, promote our brands and explores media opportunities in various markets. We use a variety of media platforms that include social media, digital, print, television, online, outdoor, on collaterals and direct mail pieces. A resorts marketing team has been established that directly liaises with current and potential customers within target Asian and other countries in order to grow and retain high-end customers. We hold various promotions and special events, operate loyalty programs with our patrons and have developed a series of programs. In Macau, the Philippines and Cyprus, we employ a tiered loyalty program at our properties to ensure that each customer segment is specifically recognized and incentivized. Dedicated customer hosting programs provide personalized service to our most valuable customers. In addition, we utilize sophisticated analytical programs and capabilities to track the behavior and spending patterns of our patrons. We believe these tools help deepen our understanding of our customers to optimize yields and make continued improvements to our properties. As our advertising and marketing activities occur in various jurisdictions, we aim to ensure we are in compliance with all applicable laws in relation to our advertising and marketing activities. </w:t>
      </w:r>
    </w:p>
    <w:p>
      <w:pPr>
        <w:pStyle w:val="TextBody"/>
        <w:spacing w:before="360" w:after="0"/>
        <w:jc w:val="left"/>
        <w:rPr>
          <w:rFonts w:ascii="Times New Roman" w:hAnsi="Times New Roman"/>
          <w:b/>
          <w:sz w:val="20"/>
        </w:rPr>
      </w:pPr>
      <w:r>
        <w:rPr>
          <w:rFonts w:ascii="Times New Roman" w:hAnsi="Times New Roman"/>
          <w:b/>
          <w:sz w:val="20"/>
        </w:rPr>
        <w:t xml:space="preserve">Customers </w:t>
      </w:r>
    </w:p>
    <w:p>
      <w:pPr>
        <w:pStyle w:val="TextBody"/>
        <w:spacing w:before="120" w:after="0"/>
        <w:jc w:val="left"/>
        <w:rPr>
          <w:rFonts w:ascii="Times New Roman" w:hAnsi="Times New Roman"/>
          <w:sz w:val="20"/>
        </w:rPr>
      </w:pPr>
      <w:r>
        <w:rPr>
          <w:rFonts w:ascii="Times New Roman" w:hAnsi="Times New Roman"/>
          <w:sz w:val="20"/>
        </w:rPr>
        <w:t xml:space="preserve">We seek to cater to a broad range of customers through our diverse gaming and non-gaming facilities and amenities across our operating properties. </w:t>
      </w:r>
    </w:p>
    <w:p>
      <w:pPr>
        <w:pStyle w:val="TextBody"/>
        <w:spacing w:before="360" w:after="0"/>
        <w:jc w:val="left"/>
        <w:rPr>
          <w:rFonts w:ascii="Times New Roman" w:hAnsi="Times New Roman"/>
          <w:b/>
          <w:i/>
          <w:sz w:val="20"/>
        </w:rPr>
      </w:pPr>
      <w:r>
        <w:rPr>
          <w:rFonts w:ascii="Times New Roman" w:hAnsi="Times New Roman"/>
          <w:b/>
          <w:i/>
          <w:sz w:val="20"/>
        </w:rPr>
        <w:t xml:space="preserve">Non-Gaming Patrons </w:t>
      </w:r>
    </w:p>
    <w:p>
      <w:pPr>
        <w:pStyle w:val="TextBody"/>
        <w:spacing w:before="120" w:after="0"/>
        <w:jc w:val="left"/>
        <w:rPr>
          <w:rFonts w:ascii="Times New Roman" w:hAnsi="Times New Roman"/>
          <w:sz w:val="20"/>
        </w:rPr>
      </w:pPr>
      <w:r>
        <w:rPr>
          <w:rFonts w:ascii="Times New Roman" w:hAnsi="Times New Roman"/>
          <w:sz w:val="20"/>
        </w:rPr>
        <w:t xml:space="preserve">City of Dreams offers visitors to Macau an array of multi-dimensional entertainment amenities, four hotels, as well as a selection of restaurants, bars and retail outlets. Since the third quarter of 2021, Altira Macau has strategically repositioned to cater to the premium mass segment. Mocha Clubs are targeted to deliver a relaxed, café-style non-casino based electronic gaming experience. Studio City is designated to primarily target mass market guests through its vast array of non-gaming amenities and entertainment attractions. </w:t>
      </w:r>
    </w:p>
    <w:p>
      <w:pPr>
        <w:pStyle w:val="TextBody"/>
        <w:spacing w:before="240" w:after="0"/>
        <w:jc w:val="left"/>
        <w:rPr>
          <w:rFonts w:ascii="Times New Roman" w:hAnsi="Times New Roman"/>
          <w:sz w:val="20"/>
        </w:rPr>
      </w:pPr>
      <w:r>
        <w:rPr>
          <w:rFonts w:ascii="Times New Roman" w:hAnsi="Times New Roman"/>
          <w:sz w:val="20"/>
        </w:rPr>
        <w:t xml:space="preserve">City of Dreams Manila features different entertainment venues: DreamPlay, a family entertainment center which features activities catering to children aged four and above, and CenterPlay, a live performance central lounge within the casino. With these diverse entertainment venues and attractions, we believe City of Dreams Manila will be able to leverage on the experiences of City of Dreams in Macau, which has developed world-class attractions such as The House of Dancing Water. </w:t>
      </w:r>
    </w:p>
    <w:p>
      <w:pPr>
        <w:pStyle w:val="TextBody"/>
        <w:spacing w:before="240" w:after="0"/>
        <w:jc w:val="left"/>
        <w:rPr>
          <w:rFonts w:ascii="Times New Roman" w:hAnsi="Times New Roman"/>
          <w:sz w:val="20"/>
        </w:rPr>
      </w:pPr>
      <w:r>
        <w:rPr>
          <w:rFonts w:ascii="Times New Roman" w:hAnsi="Times New Roman"/>
          <w:sz w:val="20"/>
        </w:rPr>
        <w:t xml:space="preserve">Our Cyprus casinos do not specifically target non-gaming patrons but do offer a selection of food and beverage options at the premises. We plan to focus on attracting non-gaming patrons at the City of Dreams Mediterranean when it opens.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Gaming Patrons </w:t>
      </w:r>
    </w:p>
    <w:p>
      <w:pPr>
        <w:pStyle w:val="TextBody"/>
        <w:spacing w:before="120" w:after="0"/>
        <w:jc w:val="left"/>
        <w:rPr>
          <w:rFonts w:ascii="Times New Roman" w:hAnsi="Times New Roman"/>
          <w:sz w:val="20"/>
        </w:rPr>
      </w:pPr>
      <w:r>
        <w:rPr>
          <w:rFonts w:ascii="Times New Roman" w:hAnsi="Times New Roman"/>
          <w:sz w:val="20"/>
        </w:rPr>
        <w:t xml:space="preserve">Our gaming patrons include table game rolling chip players, table game mass market players and gaming machine players. </w:t>
      </w:r>
    </w:p>
    <w:p>
      <w:pPr>
        <w:pStyle w:val="TextBody"/>
        <w:spacing w:before="240" w:after="0"/>
        <w:jc w:val="left"/>
        <w:rPr>
          <w:rFonts w:ascii="Times New Roman" w:hAnsi="Times New Roman"/>
          <w:sz w:val="20"/>
        </w:rPr>
      </w:pPr>
      <w:r>
        <w:rPr>
          <w:rFonts w:ascii="Times New Roman" w:hAnsi="Times New Roman"/>
          <w:sz w:val="20"/>
        </w:rPr>
        <w:t xml:space="preserve">Mass market players are non-rolling chip players who come to our properties for a variety of reasons, including our high-quality hotel brands, our broad dining options and a variety of other non-gaming attractions and activities. </w:t>
      </w:r>
    </w:p>
    <w:p>
      <w:pPr>
        <w:pStyle w:val="TextBody"/>
        <w:spacing w:before="240" w:after="0"/>
        <w:jc w:val="left"/>
        <w:rPr>
          <w:rFonts w:ascii="Times New Roman" w:hAnsi="Times New Roman"/>
          <w:sz w:val="20"/>
        </w:rPr>
      </w:pPr>
      <w:r>
        <w:rPr>
          <w:rFonts w:ascii="Times New Roman" w:hAnsi="Times New Roman"/>
          <w:sz w:val="20"/>
        </w:rPr>
        <w:t xml:space="preserve">Rolling chip players at our casinos are patrons who participate in our in-house rolling chip programs or, in some cases, in the rolling chip programs of gaming promoters, if any. Our rolling chip players or premium direct players play mostly in our VIP rooms or designated gaming areas and can earn a variety of gaming-related rebates, such as cash, rooms, food and beverage and other complimentary products or services. </w:t>
      </w:r>
    </w:p>
    <w:p>
      <w:pPr>
        <w:pStyle w:val="TextBody"/>
        <w:spacing w:before="360" w:after="0"/>
        <w:jc w:val="left"/>
        <w:rPr>
          <w:rFonts w:ascii="Times New Roman" w:hAnsi="Times New Roman"/>
          <w:b/>
          <w:i/>
          <w:sz w:val="20"/>
        </w:rPr>
      </w:pPr>
      <w:r>
        <w:rPr>
          <w:rFonts w:ascii="Times New Roman" w:hAnsi="Times New Roman"/>
          <w:b/>
          <w:i/>
          <w:sz w:val="20"/>
        </w:rPr>
        <w:t xml:space="preserve">Gaming Promoters </w:t>
      </w:r>
    </w:p>
    <w:p>
      <w:pPr>
        <w:pStyle w:val="TextBody"/>
        <w:spacing w:before="120" w:after="0"/>
        <w:jc w:val="left"/>
        <w:rPr>
          <w:rFonts w:ascii="Times New Roman" w:hAnsi="Times New Roman"/>
          <w:sz w:val="20"/>
        </w:rPr>
      </w:pPr>
      <w:r>
        <w:rPr>
          <w:rFonts w:ascii="Times New Roman" w:hAnsi="Times New Roman"/>
          <w:sz w:val="20"/>
        </w:rPr>
        <w:t xml:space="preserve">A portion of our rolling chip play in Macau in past years was brought to us by gaming promoters, also known as junket operators. In December 2021, we terminated our arrangements with all gaming promoters in Macau, including at the Studio City Casino. Gaming promoters in Macau are independent third parties that include both individuals and corporate entities, all of which are officially required to be licensed by the DICJ. We may engage gaming promoters in Macau in the future. </w:t>
      </w:r>
    </w:p>
    <w:p>
      <w:pPr>
        <w:pStyle w:val="TextBody"/>
        <w:spacing w:before="240" w:after="0"/>
        <w:jc w:val="left"/>
        <w:rPr>
          <w:rFonts w:ascii="Times New Roman" w:hAnsi="Times New Roman"/>
          <w:sz w:val="20"/>
        </w:rPr>
      </w:pPr>
      <w:r>
        <w:rPr>
          <w:rFonts w:ascii="Times New Roman" w:hAnsi="Times New Roman"/>
          <w:sz w:val="20"/>
        </w:rPr>
        <w:t xml:space="preserve">We continue to work with gaming promoters in Cyprus and the Philippines. In Cyprus, there are currently two licensed gaming promoters, although only one of them is currently active. Gaming promoters in the Philippines are not subject to licensing requirements, but gaming operators are subject to certain notice requirements related to the engagement of gaming promoters and need to demonstrate the fitness and propriety of gaming promoters. </w:t>
      </w:r>
    </w:p>
    <w:p>
      <w:pPr>
        <w:pStyle w:val="TextBody"/>
        <w:spacing w:before="240" w:after="0"/>
        <w:jc w:val="left"/>
        <w:rPr>
          <w:rFonts w:ascii="Times New Roman" w:hAnsi="Times New Roman"/>
          <w:sz w:val="20"/>
        </w:rPr>
      </w:pPr>
      <w:r>
        <w:rPr>
          <w:rFonts w:ascii="Times New Roman" w:hAnsi="Times New Roman"/>
          <w:sz w:val="20"/>
        </w:rPr>
        <w:t xml:space="preserve">We have procedures to screen prospective gaming promoters prior to their engagement and conduct periodic checks that are designed to ensure that the gaming promoters with whom we associate meet suitability standards. Where licensing requirements apply, we only engage gaming promoters who have been licensed by the relevant authority. </w:t>
      </w:r>
    </w:p>
    <w:p>
      <w:pPr>
        <w:pStyle w:val="TextBody"/>
        <w:spacing w:before="240" w:after="0"/>
        <w:jc w:val="left"/>
        <w:rPr>
          <w:rFonts w:ascii="Times New Roman" w:hAnsi="Times New Roman"/>
          <w:sz w:val="20"/>
        </w:rPr>
      </w:pPr>
      <w:r>
        <w:rPr>
          <w:rFonts w:ascii="Times New Roman" w:hAnsi="Times New Roman"/>
          <w:sz w:val="20"/>
        </w:rPr>
        <w:t xml:space="preserve">In the Philippines, our gaming promoters are compensated through commission arrangements that are calculated on a monthly or a per trip basis. We generally offer commission payment structures that are calculated by reference to revenue share or monthly rolling chip volume. Under the revenue share-based arrangements, the gaming promoter participates in our gaming wins or losses from the rolling chip patrons brought in by the gaming promoter. In Cyprus, our gaming promoter is compensated through a profit sharing scheme. Our gaming promoters may also receive complimentary allowances for food and beverage, hotel accommodation and transportation. </w:t>
      </w:r>
    </w:p>
    <w:p>
      <w:pPr>
        <w:pStyle w:val="TextBody"/>
        <w:spacing w:before="240" w:after="0"/>
        <w:jc w:val="left"/>
        <w:rPr>
          <w:rFonts w:ascii="Times New Roman" w:hAnsi="Times New Roman"/>
          <w:sz w:val="20"/>
        </w:rPr>
      </w:pPr>
      <w:r>
        <w:rPr>
          <w:rFonts w:ascii="Times New Roman" w:hAnsi="Times New Roman"/>
          <w:sz w:val="20"/>
        </w:rPr>
        <w:t xml:space="preserve">We conduct, and expect to continue to conduct, our table gaming activities at our casinos on a credit basis as well as a cash basis. In Manila, as a customary practice in the Manila gaming market, we grant interest-free credit to a significant portion of our gaming promoters for short-term, renewable periods. Credit is also granted to certain gaming promoters on a revolving basis. The credit we extend is typically unsecured. The gaming promoters bear the responsibility for issuing credit to and, subsequently collecting, from their players. In Macau, we may also grant credit to gaming promoters in the future. Gaming promoters’ rolling chip programs are currently not implemented in Cyprus due to a lack of demand. See “Item 3. Key Information — D. Risk Factors — Risks Relating to Our Business and Operations —We depend upon gaming promoters for a portion of our gaming revenues in the Philippines and Cyprus and may depend on gaming promoters in Macau in the future. If we are unable to establish, maintain and increase the number of successful relationships with gaming promoters in the Philippines, Cyprus or Macau, the financial resources of our gaming promoters are insufficient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allow them to continue doing business or we are unable to find alternative means to attract VIP rolling chip patrons in markets such as Macau where gaming promoters have become subject to restrictions on doing business due to legal and regulatory requirements, our results of operations could be materially and adversely impacted.” and “— Risks Relating to Our Business and Operations — We extend credit to a portion of our customers, and we may not be able to collect gaming receivables from our credit customers.” </w:t>
      </w:r>
    </w:p>
    <w:p>
      <w:pPr>
        <w:pStyle w:val="TextBody"/>
        <w:spacing w:before="360" w:after="0"/>
        <w:jc w:val="left"/>
        <w:rPr>
          <w:rFonts w:ascii="Times New Roman" w:hAnsi="Times New Roman"/>
          <w:b/>
          <w:sz w:val="20"/>
        </w:rPr>
      </w:pPr>
      <w:r>
        <w:rPr>
          <w:rFonts w:ascii="Times New Roman" w:hAnsi="Times New Roman"/>
          <w:b/>
          <w:sz w:val="20"/>
        </w:rPr>
        <w:t xml:space="preserve">Market and Competition </w:t>
      </w:r>
    </w:p>
    <w:p>
      <w:pPr>
        <w:pStyle w:val="TextBody"/>
        <w:spacing w:before="120" w:after="0"/>
        <w:jc w:val="left"/>
        <w:rPr>
          <w:rFonts w:ascii="Times New Roman" w:hAnsi="Times New Roman"/>
          <w:sz w:val="20"/>
        </w:rPr>
      </w:pPr>
      <w:r>
        <w:rPr>
          <w:rFonts w:ascii="Times New Roman" w:hAnsi="Times New Roman"/>
          <w:sz w:val="20"/>
        </w:rPr>
        <w:t xml:space="preserve">We believe that the gaming markets in Macau and the Philippines are and will continue to be intensely competitive. Our competitors in Macau and elsewhere in Asia include all the current concession holders, other PAGCOR license holders and many of the largest gaming, hospitality, leisure and property development companies in the world. Some of these current and future competitors are larger than us and have significantly longer track records in the operation of major hotel casino resort properties. Compared to Macau and the Philippines, the competitive environment in Cyprus is more favorable with our exclusive license to operate casinos in the Republic of Cyprus until 2032, but we may face competition from casinos in the occupied part of Cyprus or from casinos in nearby parts of Europe and the Middle East. </w:t>
      </w:r>
    </w:p>
    <w:p>
      <w:pPr>
        <w:pStyle w:val="TextBody"/>
        <w:spacing w:before="360" w:after="0"/>
        <w:jc w:val="left"/>
        <w:rPr>
          <w:rFonts w:ascii="Times New Roman" w:hAnsi="Times New Roman"/>
          <w:b/>
          <w:i/>
          <w:sz w:val="20"/>
        </w:rPr>
      </w:pPr>
      <w:r>
        <w:rPr>
          <w:rFonts w:ascii="Times New Roman" w:hAnsi="Times New Roman"/>
          <w:b/>
          <w:i/>
          <w:sz w:val="20"/>
        </w:rPr>
        <w:t xml:space="preserve">Macau Gaming Market </w:t>
      </w:r>
    </w:p>
    <w:p>
      <w:pPr>
        <w:pStyle w:val="TextBody"/>
        <w:spacing w:before="120" w:after="0"/>
        <w:jc w:val="left"/>
        <w:rPr>
          <w:rFonts w:ascii="Times New Roman" w:hAnsi="Times New Roman"/>
          <w:sz w:val="20"/>
        </w:rPr>
      </w:pPr>
      <w:r>
        <w:rPr>
          <w:rFonts w:ascii="Times New Roman" w:hAnsi="Times New Roman"/>
          <w:sz w:val="20"/>
        </w:rPr>
        <w:t xml:space="preserve">In 2022, 2021 and 2020, Macau generated approximately US$5.2 billion, US$10.8 billion and US$7.5 billion of gross gaming revenue, respectively, according to the DICJ. Macau is currently the only market in Greater China, and one of only several in Asia, to offer legalized casino gaming. </w:t>
      </w:r>
    </w:p>
    <w:p>
      <w:pPr>
        <w:pStyle w:val="TextBody"/>
        <w:spacing w:before="240" w:after="0"/>
        <w:jc w:val="left"/>
        <w:rPr>
          <w:rFonts w:ascii="Times New Roman" w:hAnsi="Times New Roman"/>
          <w:sz w:val="20"/>
        </w:rPr>
      </w:pPr>
      <w:r>
        <w:rPr>
          <w:rFonts w:ascii="Times New Roman" w:hAnsi="Times New Roman"/>
          <w:sz w:val="20"/>
        </w:rPr>
        <w:t xml:space="preserve">We believe the COVID-19 outbreak and the related policies implemented globally, especially the travel or visa restrictions imposed by the PRC resulted in a significant decline in inbound tourism, among other things, leading to an 85.6% decrease in gross gaming revenue in 2022 compared to 2019, according to the DICJ. While travel restrictions globally have eased and travel restrictions between Macau and the PRC have been significantly relaxed in 2023, contributing to an increase in gross gaming revenues in Macau by 55.3% on a year-over-year basis in the first two months of 2023 compared to 2022 according to the DICJ, we believe that disruptions from COVID-19 are ongoing and, according to the DICJ, gross gaming revenues in Macau in the first two months of 2023 are still 56.5% below the first two months of 2019, the last financial year before COVID-19 outbreaks. The disruptions to our business caused by COVID-19 outbreaks have had an adverse effect on our operations. For the years ended December 31, 2022, 2021 and 2020, our operating revenues generated amounted to US$1.35 billion, US$2.01 billion and US$1.73 billion. Lower operating revenues since 2020 were mainly due to the effects of COVID-19. </w:t>
      </w:r>
    </w:p>
    <w:p>
      <w:pPr>
        <w:pStyle w:val="TextBody"/>
        <w:spacing w:before="240" w:after="0"/>
        <w:jc w:val="left"/>
        <w:rPr>
          <w:rFonts w:ascii="Times New Roman" w:hAnsi="Times New Roman"/>
          <w:sz w:val="20"/>
        </w:rPr>
      </w:pPr>
      <w:r>
        <w:rPr>
          <w:rFonts w:ascii="Times New Roman" w:hAnsi="Times New Roman"/>
          <w:sz w:val="20"/>
        </w:rPr>
        <w:t xml:space="preserve">In addition to the effects of COVID-19, Macau continues to be impacted by a range of external factors, including uneven growth in the Chinese economy and government policies that may adversely affect the Macau gaming market. For example, the Chinese government has taken measures to deter marketing of gaming activities to mainland Chinese residents by offshore casinos and to reduce capital outflow. Such measures include reducing the amount that PRC-issued ATM cardholders can withdraw in each withdrawal, setting a limit for annual withdrawals and the launch of facial recognition and identity card checks with respect to certain ATM users. </w:t>
      </w:r>
    </w:p>
    <w:p>
      <w:pPr>
        <w:pStyle w:val="TextBody"/>
        <w:spacing w:before="240" w:after="0"/>
        <w:jc w:val="left"/>
        <w:rPr>
          <w:rFonts w:ascii="Times New Roman" w:hAnsi="Times New Roman"/>
          <w:sz w:val="20"/>
        </w:rPr>
      </w:pPr>
      <w:r>
        <w:rPr>
          <w:rFonts w:ascii="Times New Roman" w:hAnsi="Times New Roman"/>
          <w:sz w:val="20"/>
        </w:rPr>
        <w:t xml:space="preserve">The mass market table games segment accounted for 68.5% of market-wide gross gaming revenues in 2022, compared to 61.8% of market-wide gross gaming revenues in 2021 and 50.8% in 2020, according to the DICJ. With our strategic focus on the premium mass market in the Cotai region, we believe we are well positioned to cater to this increasingly important, and more profitable, segment of the market. Moreover, we believe the long-term growth in gaming and non-gaming revenues in Macau are supported by, among other things, the continuing emergence of a wealthier demographic in the PRC, a robust regulatory framework and significant new infrastructure developments in Macau and the PRC, as well as by the anticipated new supply of gaming and non-gaming facilities in Macau, which is predominantly focused on the Cotai region. According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DSEC, visitation to Macau totaled more than 5.7 million in 2022, a decrease of 26.0% compared to 2021 and well below the 39.4 million visitors in 2019. Visitors from the PRC represented 89.6% of all visitors to Macau in 2022, compared to 91.4% in 2021, and visitors from Hong Kong and Taiwan represented 9.0% and 1.2%, of all visitors to Macau in 2022, respectively. </w:t>
      </w:r>
    </w:p>
    <w:p>
      <w:pPr>
        <w:pStyle w:val="TextBody"/>
        <w:spacing w:before="240" w:after="0"/>
        <w:jc w:val="left"/>
        <w:rPr>
          <w:rFonts w:ascii="Times New Roman" w:hAnsi="Times New Roman"/>
          <w:sz w:val="20"/>
        </w:rPr>
      </w:pPr>
      <w:r>
        <w:rPr>
          <w:rFonts w:ascii="Times New Roman" w:hAnsi="Times New Roman"/>
          <w:sz w:val="20"/>
        </w:rPr>
        <w:t xml:space="preserve">In terms of competition, gaming in Macau is administered through concessions awarded by the Macau government to six different concessionaires: Melco Resorts Macau; SJM, in which family members of Mr. Lawrence Ho, our chairman and chief executive officer, have shareholding interests; Wynn Macau, a subsidiary of Wynn Resorts Ltd.; Galaxy; MGM Grand Paradise, which was originally formed as a joint venture by MGM-Mirage and Ms. Pansy Ho, sister of Mr. Lawrence Ho; and VML, a subsidiary of Sands China Ltd and Las Vegas Sands Corporation. </w:t>
      </w:r>
    </w:p>
    <w:p>
      <w:pPr>
        <w:pStyle w:val="TextBody"/>
        <w:spacing w:before="240" w:after="0"/>
        <w:jc w:val="left"/>
        <w:rPr>
          <w:rFonts w:ascii="Times New Roman" w:hAnsi="Times New Roman"/>
          <w:sz w:val="20"/>
        </w:rPr>
      </w:pPr>
      <w:r>
        <w:rPr>
          <w:rFonts w:ascii="Times New Roman" w:hAnsi="Times New Roman"/>
          <w:sz w:val="20"/>
        </w:rPr>
        <w:t xml:space="preserve">SJM currently operates multiple casinos throughout Macau. SJM (through its predecessor, Tourism and Entertainment Company of Macau Limited) commenced its gaming operations in Macau in 1962. In July 2021, SJM opened Grand Lisboa Palace, in Cotai. </w:t>
      </w:r>
    </w:p>
    <w:p>
      <w:pPr>
        <w:pStyle w:val="TextBody"/>
        <w:spacing w:before="240" w:after="0"/>
        <w:jc w:val="left"/>
        <w:rPr>
          <w:rFonts w:ascii="Times New Roman" w:hAnsi="Times New Roman"/>
          <w:sz w:val="20"/>
        </w:rPr>
      </w:pPr>
      <w:r>
        <w:rPr>
          <w:rFonts w:ascii="Times New Roman" w:hAnsi="Times New Roman"/>
          <w:sz w:val="20"/>
        </w:rPr>
        <w:t xml:space="preserve">Wynn Macau opened the Wynn Macau in September 2006 on the Macau peninsula and an extension called Encore in 2010. In August 2016, Wynn Macau opened Wynn Palace, in Cotai. </w:t>
      </w:r>
    </w:p>
    <w:p>
      <w:pPr>
        <w:pStyle w:val="TextBody"/>
        <w:spacing w:before="240" w:after="0"/>
        <w:jc w:val="left"/>
        <w:rPr>
          <w:rFonts w:ascii="Times New Roman" w:hAnsi="Times New Roman"/>
          <w:sz w:val="20"/>
        </w:rPr>
      </w:pPr>
      <w:r>
        <w:rPr>
          <w:rFonts w:ascii="Times New Roman" w:hAnsi="Times New Roman"/>
          <w:sz w:val="20"/>
        </w:rPr>
        <w:t xml:space="preserve">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is currently developing Phase 3 of the Galaxy Macau Resort, which is completed and is currently expected to be progressively opened in the second quarter of 2023, while Phase 4 is currently under development. </w:t>
      </w:r>
    </w:p>
    <w:p>
      <w:pPr>
        <w:pStyle w:val="TextBody"/>
        <w:spacing w:before="240" w:after="0"/>
        <w:jc w:val="left"/>
        <w:rPr>
          <w:rFonts w:ascii="Times New Roman" w:hAnsi="Times New Roman"/>
          <w:sz w:val="20"/>
        </w:rPr>
      </w:pPr>
      <w:r>
        <w:rPr>
          <w:rFonts w:ascii="Times New Roman" w:hAnsi="Times New Roman"/>
          <w:sz w:val="20"/>
        </w:rPr>
        <w:t xml:space="preserve">VML operates Sands Macao on the Macau peninsula, The Venetian Macao, the Plaza Casino at The Four Seasons Hotel Macao and the Parisian Macao. VML also operated Sands Cotai Central in Cotai in the past, which has been rebranded and redeveloped as The Londoner Macao, which opened in February 2021. </w:t>
      </w:r>
    </w:p>
    <w:p>
      <w:pPr>
        <w:pStyle w:val="TextBody"/>
        <w:spacing w:before="240" w:after="0"/>
        <w:jc w:val="left"/>
        <w:rPr>
          <w:rFonts w:ascii="Times New Roman" w:hAnsi="Times New Roman"/>
          <w:sz w:val="20"/>
        </w:rPr>
      </w:pPr>
      <w:r>
        <w:rPr>
          <w:rFonts w:ascii="Times New Roman" w:hAnsi="Times New Roman"/>
          <w:sz w:val="20"/>
        </w:rPr>
        <w:t xml:space="preserve">MGM Grand Paradise opened its MGM Macau facilities in December 2007, which are located next to Wynn Macau on the Macau peninsula, and its MGM Cotai resort in February 2018. </w:t>
      </w:r>
    </w:p>
    <w:p>
      <w:pPr>
        <w:pStyle w:val="TextBody"/>
        <w:spacing w:before="240" w:after="0"/>
        <w:jc w:val="left"/>
        <w:rPr>
          <w:rFonts w:ascii="Times New Roman" w:hAnsi="Times New Roman"/>
          <w:sz w:val="20"/>
        </w:rPr>
      </w:pPr>
      <w:r>
        <w:rPr>
          <w:rFonts w:ascii="Times New Roman" w:hAnsi="Times New Roman"/>
          <w:sz w:val="20"/>
        </w:rPr>
        <w:t xml:space="preserve">In addition to facing competition from existing operations of these concessionaires, we will face increased competition when any of them constructs new, or renovates pre-existing, hotels and casinos in Macau or enters into leasing, services or other arrangements with hotel owners, developers or other parties for the operation of casinos and gaming activities in new or renovated properties. </w:t>
      </w:r>
    </w:p>
    <w:p>
      <w:pPr>
        <w:pStyle w:val="TextBody"/>
        <w:spacing w:before="240" w:after="0"/>
        <w:jc w:val="left"/>
        <w:rPr>
          <w:rFonts w:ascii="Times New Roman" w:hAnsi="Times New Roman"/>
          <w:sz w:val="20"/>
        </w:rPr>
      </w:pPr>
      <w:r>
        <w:rPr>
          <w:rFonts w:ascii="Times New Roman" w:hAnsi="Times New Roman"/>
          <w:sz w:val="20"/>
        </w:rPr>
        <w:t xml:space="preserve">The existing concessions do not place any limits on the number of gaming facilities that may be operated. The Macau government does, however, limit the aggregate number of gaming tables and gaming machines in Macau and the opening of a new facility is subject to Macau government approval. The current cap of gaming tables and gaming machines are 6,000 and 12,000 respectively. </w:t>
      </w:r>
    </w:p>
    <w:p>
      <w:pPr>
        <w:pStyle w:val="TextBody"/>
        <w:spacing w:before="240" w:after="0"/>
        <w:jc w:val="left"/>
        <w:rPr>
          <w:rFonts w:ascii="Times New Roman" w:hAnsi="Times New Roman"/>
          <w:sz w:val="20"/>
        </w:rPr>
      </w:pPr>
      <w:r>
        <w:rPr>
          <w:rFonts w:ascii="Times New Roman" w:hAnsi="Times New Roman"/>
          <w:sz w:val="20"/>
        </w:rPr>
        <w:t xml:space="preserve">Law no. 7/2022 which amends the Macau Gaming Operations Law (Law no. 16/2001) came into force in June 2022. Principal changes under the amended Macau Gaming Operations Law include, among others, the following: </w:t>
      </w:r>
    </w:p>
    <w:p>
      <w:pPr>
        <w:pStyle w:val="TextBody"/>
        <w:spacing w:before="0" w:after="0"/>
        <w:jc w:val="left"/>
        <w:rPr/>
      </w:pPr>
      <w:r>
        <w:rPr/>
        <w:t> </w:t>
      </w:r>
    </w:p>
    <w:tbl>
      <w:tblPr>
        <w:tblW w:w="8005" w:type="dxa"/>
        <w:jc w:val="left"/>
        <w:tblInd w:w="0" w:type="dxa"/>
        <w:tblCellMar>
          <w:top w:w="0" w:type="dxa"/>
          <w:left w:w="0" w:type="dxa"/>
          <w:bottom w:w="0" w:type="dxa"/>
          <w:right w:w="0" w:type="dxa"/>
        </w:tblCellMar>
      </w:tblPr>
      <w:tblGrid>
        <w:gridCol w:w="75"/>
        <w:gridCol w:w="110"/>
        <w:gridCol w:w="60"/>
        <w:gridCol w:w="77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number of gaming concessions that may be awarded by the Macau government is up to six; </w:t>
            </w:r>
          </w:p>
        </w:tc>
      </w:tr>
    </w:tbl>
    <w:p>
      <w:pPr>
        <w:pStyle w:val="TextBody"/>
        <w:spacing w:before="0" w:after="0"/>
        <w:jc w:val="left"/>
        <w:rPr/>
      </w:pPr>
      <w:r>
        <w:rPr/>
        <w:t> </w:t>
      </w:r>
    </w:p>
    <w:tbl>
      <w:tblPr>
        <w:tblW w:w="8575" w:type="dxa"/>
        <w:jc w:val="left"/>
        <w:tblInd w:w="0" w:type="dxa"/>
        <w:tblCellMar>
          <w:top w:w="0" w:type="dxa"/>
          <w:left w:w="0" w:type="dxa"/>
          <w:bottom w:w="0" w:type="dxa"/>
          <w:right w:w="0" w:type="dxa"/>
        </w:tblCellMar>
      </w:tblPr>
      <w:tblGrid>
        <w:gridCol w:w="75"/>
        <w:gridCol w:w="110"/>
        <w:gridCol w:w="60"/>
        <w:gridCol w:w="8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term of the concessions may be up to ten years, subject to extension(s) of up to three years in total;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registered share capital of each concessionaire shall be at least MOP5 billion (equivalent to approximately US$621.6 million);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managing director of each concessionaire must be a Macau permanent resident and hold at least 15% of the concessionaire’s registered share capital;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rPr/>
      </w:pPr>
      <w:r>
        <w:rPr/>
      </w:r>
    </w:p>
    <w:p>
      <w:pPr>
        <w:pStyle w:val="Heading5"/>
        <w:rPr/>
      </w:pPr>
      <w:hyperlink w:anchor="toc">
        <w:r>
          <w:rPr>
            <w:rStyle w:val="InternetLink"/>
          </w:rPr>
          <w:t>Table of Contents</w:t>
        </w:r>
      </w:hyperlink>
    </w:p>
    <w:tbl>
      <w:tblPr>
        <w:tblW w:w="8440" w:type="dxa"/>
        <w:jc w:val="left"/>
        <w:tblInd w:w="0" w:type="dxa"/>
        <w:tblCellMar>
          <w:top w:w="0" w:type="dxa"/>
          <w:left w:w="0" w:type="dxa"/>
          <w:bottom w:w="0" w:type="dxa"/>
          <w:right w:w="0" w:type="dxa"/>
        </w:tblCellMar>
      </w:tblPr>
      <w:tblGrid>
        <w:gridCol w:w="75"/>
        <w:gridCol w:w="110"/>
        <w:gridCol w:w="60"/>
        <w:gridCol w:w="8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significant transactions should be notified by concessionaires to the Macau government in advance; </w:t>
            </w:r>
          </w:p>
        </w:tc>
      </w:tr>
    </w:tbl>
    <w:p>
      <w:pPr>
        <w:pStyle w:val="TextBody"/>
        <w:spacing w:before="0" w:after="0"/>
        <w:jc w:val="left"/>
        <w:rPr/>
      </w:pPr>
      <w:r>
        <w:rPr/>
        <w:t> </w:t>
      </w:r>
    </w:p>
    <w:tbl>
      <w:tblPr>
        <w:tblW w:w="4345" w:type="dxa"/>
        <w:jc w:val="left"/>
        <w:tblInd w:w="0" w:type="dxa"/>
        <w:tblCellMar>
          <w:top w:w="0" w:type="dxa"/>
          <w:left w:w="0" w:type="dxa"/>
          <w:bottom w:w="0" w:type="dxa"/>
          <w:right w:w="0" w:type="dxa"/>
        </w:tblCellMar>
      </w:tblPr>
      <w:tblGrid>
        <w:gridCol w:w="75"/>
        <w:gridCol w:w="110"/>
        <w:gridCol w:w="60"/>
        <w:gridCol w:w="41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administrative sanctions regime is established;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national security is one of the main objectives of the Macau gaming legal framework and a concession may be terminated without compensation in case it is considered a threat to national security;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per gaming table and per gaming machine special premium is due should gross gaming revenue fall below the gross gaming revenue threshold set by the Macau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sets the maximum number of gaming tables and gaming machines allocated to each concessionaire and the allocation of such gaming tables and gaming machines to a specific casino is subject to the approval of the Macau government; </w:t>
            </w:r>
          </w:p>
        </w:tc>
      </w:tr>
    </w:tbl>
    <w:p>
      <w:pPr>
        <w:pStyle w:val="TextBody"/>
        <w:spacing w:before="0" w:after="0"/>
        <w:jc w:val="left"/>
        <w:rPr/>
      </w:pPr>
      <w:r>
        <w:rPr/>
        <w:t> </w:t>
      </w:r>
    </w:p>
    <w:tbl>
      <w:tblPr>
        <w:tblW w:w="9265" w:type="dxa"/>
        <w:jc w:val="left"/>
        <w:tblInd w:w="0" w:type="dxa"/>
        <w:tblCellMar>
          <w:top w:w="0" w:type="dxa"/>
          <w:left w:w="0" w:type="dxa"/>
          <w:bottom w:w="0" w:type="dxa"/>
          <w:right w:w="0" w:type="dxa"/>
        </w:tblCellMar>
      </w:tblPr>
      <w:tblGrid>
        <w:gridCol w:w="75"/>
        <w:gridCol w:w="110"/>
        <w:gridCol w:w="60"/>
        <w:gridCol w:w="9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may reduce the number of gaming tables or gaming machines in certain circumstances; </w:t>
            </w:r>
          </w:p>
        </w:tc>
      </w:tr>
    </w:tbl>
    <w:p>
      <w:pPr>
        <w:pStyle w:val="TextBody"/>
        <w:spacing w:before="0" w:after="0"/>
        <w:jc w:val="left"/>
        <w:rPr/>
      </w:pPr>
      <w:r>
        <w:rPr/>
        <w:t> </w:t>
      </w:r>
    </w:p>
    <w:tbl>
      <w:tblPr>
        <w:tblW w:w="9415" w:type="dxa"/>
        <w:jc w:val="left"/>
        <w:tblInd w:w="0" w:type="dxa"/>
        <w:tblCellMar>
          <w:top w:w="0" w:type="dxa"/>
          <w:left w:w="0" w:type="dxa"/>
          <w:bottom w:w="0" w:type="dxa"/>
          <w:right w:w="0" w:type="dxa"/>
        </w:tblCellMar>
      </w:tblPr>
      <w:tblGrid>
        <w:gridCol w:w="75"/>
        <w:gridCol w:w="110"/>
        <w:gridCol w:w="60"/>
        <w:gridCol w:w="9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of gaming chips of each concessionaire in circulation is subject to Macau government approval;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w:t>
            </w:r>
          </w:p>
        </w:tc>
      </w:tr>
    </w:tbl>
    <w:p>
      <w:pPr>
        <w:pStyle w:val="TextBody"/>
        <w:spacing w:before="240" w:after="0"/>
        <w:jc w:val="left"/>
        <w:rPr>
          <w:rFonts w:ascii="Times New Roman" w:hAnsi="Times New Roman"/>
          <w:sz w:val="20"/>
        </w:rPr>
      </w:pPr>
      <w:r>
        <w:rPr>
          <w:rFonts w:ascii="Times New Roman" w:hAnsi="Times New Roman"/>
          <w:sz w:val="20"/>
        </w:rPr>
        <w:t xml:space="preserve">See “Item 4. Information on the Company — B. Business Overview — Regulations — Macau Regulations — Gaming Operation Regulations” for a discussion of the amendments made to the gaming law in Macau. </w:t>
      </w:r>
    </w:p>
    <w:p>
      <w:pPr>
        <w:pStyle w:val="TextBody"/>
        <w:spacing w:before="360" w:after="0"/>
        <w:jc w:val="left"/>
        <w:rPr>
          <w:rFonts w:ascii="Times New Roman" w:hAnsi="Times New Roman"/>
          <w:b/>
          <w:i/>
          <w:sz w:val="20"/>
        </w:rPr>
      </w:pPr>
      <w:r>
        <w:rPr>
          <w:rFonts w:ascii="Times New Roman" w:hAnsi="Times New Roman"/>
          <w:b/>
          <w:i/>
          <w:sz w:val="20"/>
        </w:rPr>
        <w:t xml:space="preserve">Philippine Gaming Market </w:t>
      </w:r>
    </w:p>
    <w:p>
      <w:pPr>
        <w:pStyle w:val="TextBody"/>
        <w:spacing w:before="120" w:after="0"/>
        <w:jc w:val="left"/>
        <w:rPr>
          <w:rFonts w:ascii="Times New Roman" w:hAnsi="Times New Roman"/>
          <w:sz w:val="20"/>
        </w:rPr>
      </w:pPr>
      <w:r>
        <w:rPr>
          <w:rFonts w:ascii="Times New Roman" w:hAnsi="Times New Roman"/>
          <w:sz w:val="20"/>
        </w:rPr>
        <w:t xml:space="preserve">The Philippine economy has been one of the faster growing economies in the region, with favorable demographics and consumer spending that are beneficial to the Philippine gaming market. City of Dreams Manila, however, presently faces stronger competition in the Philippine market from hotels and resorts owned by both Philippine nationals and foreigners, including many of the largest gaming, hospitality, leisure and resort companies in the world, such as Travellers International Hotel Group, Inc., Bloomberry Resorts Corporation and Tiger Resorts Leisure and Entertainment Inc. as well as the Philippine Amusement and Gaming Corporation, an entity owned and controlled by the government of the Philippines, which operates certain gaming facilities across the Philippines. </w:t>
      </w:r>
    </w:p>
    <w:p>
      <w:pPr>
        <w:pStyle w:val="TextBody"/>
        <w:spacing w:before="360" w:after="0"/>
        <w:jc w:val="left"/>
        <w:rPr>
          <w:rFonts w:ascii="Times New Roman" w:hAnsi="Times New Roman"/>
          <w:b/>
          <w:i/>
          <w:sz w:val="20"/>
        </w:rPr>
      </w:pPr>
      <w:r>
        <w:rPr>
          <w:rFonts w:ascii="Times New Roman" w:hAnsi="Times New Roman"/>
          <w:b/>
          <w:i/>
          <w:sz w:val="20"/>
        </w:rPr>
        <w:t xml:space="preserve">Cyprus Gaming Market </w:t>
      </w:r>
    </w:p>
    <w:p>
      <w:pPr>
        <w:pStyle w:val="TextBody"/>
        <w:spacing w:before="120" w:after="0"/>
        <w:jc w:val="left"/>
        <w:rPr>
          <w:rFonts w:ascii="Times New Roman" w:hAnsi="Times New Roman"/>
          <w:sz w:val="20"/>
        </w:rPr>
      </w:pPr>
      <w:r>
        <w:rPr>
          <w:rFonts w:ascii="Times New Roman" w:hAnsi="Times New Roman"/>
          <w:sz w:val="20"/>
        </w:rPr>
        <w:t xml:space="preserve">We currently operate one temporary casino and three satellite casinos in Cyprus. The temporary casino opened in Limassol in June 2018 as the first licensed casino in Cyprus. We opened two satellite casinos in Nicosia and Larnaca in December 2018, one satellite casino in Ayia Napa in July 2019 and one satellite casino in Paphos in February 2020. In June 2020, we ceased operations of the satellite casino in Larnaca. When we launch City of Dreams Mediterranean, we are required to cease operations of the temporary casino but we expect to continue the operation of the satellite casinos. Although we have an exclusive license to operate casinos in the Republic of Cyprus until 2032, we may face competition from casinos in the occupied part of Cyprus or from casinos in nearby parts of Europe and the Middle East. </w:t>
      </w:r>
    </w:p>
    <w:p>
      <w:pPr>
        <w:pStyle w:val="TextBody"/>
        <w:spacing w:before="360" w:after="0"/>
        <w:jc w:val="left"/>
        <w:rPr>
          <w:rFonts w:ascii="Times New Roman" w:hAnsi="Times New Roman"/>
          <w:b/>
          <w:i/>
          <w:sz w:val="20"/>
        </w:rPr>
      </w:pPr>
      <w:r>
        <w:rPr>
          <w:rFonts w:ascii="Times New Roman" w:hAnsi="Times New Roman"/>
          <w:b/>
          <w:i/>
          <w:sz w:val="20"/>
        </w:rPr>
        <w:t xml:space="preserve">Other Regional Markets </w:t>
      </w:r>
    </w:p>
    <w:p>
      <w:pPr>
        <w:pStyle w:val="TextBody"/>
        <w:spacing w:before="120" w:after="0"/>
        <w:jc w:val="left"/>
        <w:rPr>
          <w:rFonts w:ascii="Times New Roman" w:hAnsi="Times New Roman"/>
          <w:sz w:val="20"/>
        </w:rPr>
      </w:pPr>
      <w:r>
        <w:rPr>
          <w:rFonts w:ascii="Times New Roman" w:hAnsi="Times New Roman"/>
          <w:sz w:val="20"/>
        </w:rPr>
        <w:t xml:space="preserve">We may also face competition from casinos and gaming resorts located in other Asian or European destinations together with cruise ships. Casinos and integrated gaming resorts are becoming increasingly popular in Asia, giving rise to more opportunities for industry participants and increasing regional competition. There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Kangwon Land operates the only casino in the country that is open to Korean nationals. There are also casinos in Vietnam and Cambodia, although they are relatively small compared to those in Macau. There are two major gaming facilities in Singapore located on Sentosa and at Marina Bay. </w:t>
      </w:r>
    </w:p>
    <w:p>
      <w:pPr>
        <w:pStyle w:val="TextBody"/>
        <w:spacing w:before="240" w:after="0"/>
        <w:jc w:val="left"/>
        <w:rPr>
          <w:rFonts w:ascii="Times New Roman" w:hAnsi="Times New Roman"/>
          <w:sz w:val="20"/>
        </w:rPr>
      </w:pPr>
      <w:r>
        <w:rPr>
          <w:rFonts w:ascii="Times New Roman" w:hAnsi="Times New Roman"/>
          <w:sz w:val="20"/>
        </w:rPr>
        <w:t xml:space="preserve">In December 2016, a law which conceptually enables the development of integrated resorts in Japan took effect, with corresponding legislation providing a legislative framework for the development and implementation of integrated resorts in Japan taking effect in July 2018 and a proposed project in Osaka announced in September 2021. In addition, several other Asian countries are considering or are in the process of legalizing gambling and establishing casino-based entertainment complexes. </w:t>
      </w:r>
    </w:p>
    <w:p>
      <w:pPr>
        <w:pStyle w:val="TextBody"/>
        <w:spacing w:before="360" w:after="0"/>
        <w:jc w:val="left"/>
        <w:rPr>
          <w:rFonts w:ascii="Times New Roman" w:hAnsi="Times New Roman"/>
          <w:b/>
          <w:sz w:val="20"/>
        </w:rPr>
      </w:pPr>
      <w:r>
        <w:rPr>
          <w:rFonts w:ascii="Times New Roman" w:hAnsi="Times New Roman"/>
          <w:b/>
          <w:sz w:val="20"/>
        </w:rPr>
        <w:t xml:space="preserve">Seasonality </w:t>
      </w:r>
    </w:p>
    <w:p>
      <w:pPr>
        <w:pStyle w:val="TextBody"/>
        <w:spacing w:before="120" w:after="0"/>
        <w:jc w:val="left"/>
        <w:rPr>
          <w:rFonts w:ascii="Times New Roman" w:hAnsi="Times New Roman"/>
          <w:sz w:val="20"/>
        </w:rPr>
      </w:pPr>
      <w:r>
        <w:rPr>
          <w:rFonts w:ascii="Times New Roman" w:hAnsi="Times New Roman"/>
          <w:sz w:val="20"/>
        </w:rPr>
        <w:t xml:space="preserve">Macau, our principal market of operation, experiences many peaks and seasonal effects. The “Golden Week” and “Chinese New Year” holidays are in general the key periods where business and visitation increase considerably in Macau. In the Philippines, business considerably slows down during the “Holy Week,” as well as during the “Chinese New Year” and the “Chinese Ghost Month.” In Cyprus, summer is generally the key period where business and visitation experience significant increase, while business considerably slows down during winter. While we may experience fluctuations in revenues and cash flows from month to month, we do not believe that our business is materially impacted by seasonality. </w:t>
      </w:r>
    </w:p>
    <w:p>
      <w:pPr>
        <w:pStyle w:val="TextBody"/>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spacing w:before="120" w:after="0"/>
        <w:jc w:val="left"/>
        <w:rPr>
          <w:rFonts w:ascii="Times New Roman" w:hAnsi="Times New Roman"/>
          <w:sz w:val="20"/>
        </w:rPr>
      </w:pPr>
      <w:r>
        <w:rPr>
          <w:rFonts w:ascii="Times New Roman" w:hAnsi="Times New Roman"/>
          <w:sz w:val="20"/>
        </w:rPr>
        <w:t xml:space="preserve">We have applied for and/or registered certain trademarks, including “Melco,” “Morpheus,” “Altira,” “Mocha Club,” “City of Dreams,” “Nüwa,” “The Countdown,” “The House of Dancing Water,” “City of Dreams Manila,” “Studio City,” “Melco Resorts Philippines” and “Melco Resorts &amp; Entertainment” in Macau, the Philippines, Cyprus and/or other jurisdictions. We have also applied for or registered in Macau, the Philippines, Cyprus and other jurisdictions certain other trademarks and service marks used or to be used in connection with the operations of our hotel casino projects in Macau, Manila and Cyprus. </w:t>
      </w:r>
    </w:p>
    <w:p>
      <w:pPr>
        <w:pStyle w:val="TextBody"/>
        <w:spacing w:before="240" w:after="0"/>
        <w:jc w:val="left"/>
        <w:rPr>
          <w:rFonts w:ascii="Times New Roman" w:hAnsi="Times New Roman"/>
          <w:sz w:val="20"/>
        </w:rPr>
      </w:pPr>
      <w:r>
        <w:rPr>
          <w:rFonts w:ascii="Times New Roman" w:hAnsi="Times New Roman"/>
          <w:sz w:val="20"/>
        </w:rPr>
        <w:t xml:space="preserve">For our license or hotel management agreements that are required for our operations, see “Item 5. Operating and Financial Review and Prospects — C. Research and Development, Patents and Licenses, etc.” </w:t>
      </w:r>
    </w:p>
    <w:p>
      <w:pPr>
        <w:pStyle w:val="TextBody"/>
        <w:spacing w:before="360" w:after="0"/>
        <w:jc w:val="left"/>
        <w:rPr>
          <w:rFonts w:ascii="Times New Roman" w:hAnsi="Times New Roman"/>
          <w:b/>
          <w:sz w:val="20"/>
        </w:rPr>
      </w:pPr>
      <w:r>
        <w:rPr>
          <w:rFonts w:ascii="Times New Roman" w:hAnsi="Times New Roman"/>
          <w:b/>
          <w:sz w:val="20"/>
        </w:rPr>
        <w:t xml:space="preserve">Regulations </w:t>
      </w:r>
    </w:p>
    <w:p>
      <w:pPr>
        <w:pStyle w:val="TextBody"/>
        <w:spacing w:before="120" w:after="0"/>
        <w:jc w:val="left"/>
        <w:rPr>
          <w:rFonts w:ascii="Times New Roman" w:hAnsi="Times New Roman"/>
          <w:b/>
          <w:i/>
          <w:sz w:val="20"/>
        </w:rPr>
      </w:pPr>
      <w:r>
        <w:rPr>
          <w:rFonts w:ascii="Times New Roman" w:hAnsi="Times New Roman"/>
          <w:b/>
          <w:i/>
          <w:sz w:val="20"/>
        </w:rPr>
        <w:t xml:space="preserve">Macau Regulations </w:t>
      </w:r>
    </w:p>
    <w:p>
      <w:pPr>
        <w:pStyle w:val="TextBody"/>
        <w:spacing w:before="120" w:after="0"/>
        <w:jc w:val="left"/>
        <w:rPr>
          <w:rFonts w:ascii="Times New Roman" w:hAnsi="Times New Roman"/>
          <w:b/>
          <w:i/>
          <w:sz w:val="20"/>
        </w:rPr>
      </w:pPr>
      <w:r>
        <w:rPr>
          <w:rFonts w:ascii="Times New Roman" w:hAnsi="Times New Roman"/>
          <w:b/>
          <w:i/>
          <w:sz w:val="20"/>
        </w:rPr>
        <w:t xml:space="preserve">Gaming Operation Regulations </w:t>
      </w:r>
    </w:p>
    <w:p>
      <w:pPr>
        <w:pStyle w:val="TextBody"/>
        <w:spacing w:before="120" w:after="0"/>
        <w:jc w:val="left"/>
        <w:rPr>
          <w:rFonts w:ascii="Times New Roman" w:hAnsi="Times New Roman"/>
          <w:sz w:val="20"/>
        </w:rPr>
      </w:pPr>
      <w:r>
        <w:rPr>
          <w:rFonts w:ascii="Times New Roman" w:hAnsi="Times New Roman"/>
          <w:sz w:val="20"/>
        </w:rPr>
        <w:t xml:space="preserve">The ownership and operation of casino gaming facilities in Macau are subject to the general civil and commercial laws and specific gaming laws, in particular, Law no. 16/2001, as amended in June 2022 pursuant Law no. 7/2022, or the Macau Gaming Operations Law. Macau’s gaming operations are also subject to the grant of a concession by, and regulatory control of, the Macau government. See “— Gaming Licenses” below for more details. </w:t>
      </w:r>
    </w:p>
    <w:p>
      <w:pPr>
        <w:pStyle w:val="TextBody"/>
        <w:spacing w:before="240" w:after="0"/>
        <w:jc w:val="left"/>
        <w:rPr>
          <w:rFonts w:ascii="Times New Roman" w:hAnsi="Times New Roman"/>
          <w:sz w:val="20"/>
        </w:rPr>
      </w:pPr>
      <w:r>
        <w:rPr>
          <w:rFonts w:ascii="Times New Roman" w:hAnsi="Times New Roman"/>
          <w:sz w:val="20"/>
        </w:rPr>
        <w:t xml:space="preserve">The DICJ is the supervisory authority and regulator of the gaming industry in Macau. The core functions of the DICJ are: </w:t>
      </w:r>
    </w:p>
    <w:p>
      <w:pPr>
        <w:pStyle w:val="TextBody"/>
        <w:spacing w:before="0" w:after="0"/>
        <w:jc w:val="left"/>
        <w:rPr/>
      </w:pPr>
      <w:r>
        <w:rPr/>
        <w:t> </w:t>
      </w:r>
    </w:p>
    <w:tbl>
      <w:tblPr>
        <w:tblW w:w="4435" w:type="dxa"/>
        <w:jc w:val="left"/>
        <w:tblInd w:w="0" w:type="dxa"/>
        <w:tblCellMar>
          <w:top w:w="0" w:type="dxa"/>
          <w:left w:w="0" w:type="dxa"/>
          <w:bottom w:w="0" w:type="dxa"/>
          <w:right w:w="0" w:type="dxa"/>
        </w:tblCellMar>
      </w:tblPr>
      <w:tblGrid>
        <w:gridCol w:w="75"/>
        <w:gridCol w:w="110"/>
        <w:gridCol w:w="60"/>
        <w:gridCol w:w="4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1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collaborate in the definition of gaming policies; </w:t>
            </w:r>
          </w:p>
        </w:tc>
      </w:tr>
    </w:tbl>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supervise and monitor the activities of the concessionaires;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investigate and monitor the continuing suitability and financial capacity requirements of concessionaires and gaming promoters;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rPr/>
      </w:pPr>
      <w:r>
        <w:rPr/>
      </w:r>
    </w:p>
    <w:p>
      <w:pPr>
        <w:pStyle w:val="Heading5"/>
        <w:rPr/>
      </w:pPr>
      <w:hyperlink w:anchor="toc">
        <w:r>
          <w:rPr>
            <w:rStyle w:val="InternetLink"/>
          </w:rPr>
          <w:t>Table of Contents</w:t>
        </w:r>
      </w:hyperlink>
    </w:p>
    <w:tbl>
      <w:tblPr>
        <w:tblW w:w="3415" w:type="dxa"/>
        <w:jc w:val="left"/>
        <w:tblInd w:w="0" w:type="dxa"/>
        <w:tblCellMar>
          <w:top w:w="0" w:type="dxa"/>
          <w:left w:w="0" w:type="dxa"/>
          <w:bottom w:w="0" w:type="dxa"/>
          <w:right w:w="0" w:type="dxa"/>
        </w:tblCellMar>
      </w:tblPr>
      <w:tblGrid>
        <w:gridCol w:w="75"/>
        <w:gridCol w:w="110"/>
        <w:gridCol w:w="6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issue licenses to gaming promoters; </w:t>
            </w:r>
          </w:p>
        </w:tc>
      </w:tr>
    </w:tbl>
    <w:p>
      <w:pPr>
        <w:pStyle w:val="TextBody"/>
        <w:spacing w:before="0" w:after="0"/>
        <w:jc w:val="left"/>
        <w:rPr/>
      </w:pPr>
      <w:r>
        <w:rPr/>
        <w:t> </w:t>
      </w:r>
    </w:p>
    <w:tbl>
      <w:tblPr>
        <w:tblW w:w="4000" w:type="dxa"/>
        <w:jc w:val="left"/>
        <w:tblInd w:w="0" w:type="dxa"/>
        <w:tblCellMar>
          <w:top w:w="0" w:type="dxa"/>
          <w:left w:w="0" w:type="dxa"/>
          <w:bottom w:w="0" w:type="dxa"/>
          <w:right w:w="0" w:type="dxa"/>
        </w:tblCellMar>
      </w:tblPr>
      <w:tblGrid>
        <w:gridCol w:w="75"/>
        <w:gridCol w:w="110"/>
        <w:gridCol w:w="60"/>
        <w:gridCol w:w="37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license and certify gaming equipment; and </w:t>
            </w:r>
          </w:p>
        </w:tc>
      </w:tr>
    </w:tbl>
    <w:p>
      <w:pPr>
        <w:pStyle w:val="TextBody"/>
        <w:spacing w:before="0" w:after="0"/>
        <w:jc w:val="left"/>
        <w:rPr/>
      </w:pPr>
      <w:r>
        <w:rPr/>
        <w:t> </w:t>
      </w:r>
    </w:p>
    <w:tbl>
      <w:tblPr>
        <w:tblW w:w="7870" w:type="dxa"/>
        <w:jc w:val="left"/>
        <w:tblInd w:w="0" w:type="dxa"/>
        <w:tblCellMar>
          <w:top w:w="0" w:type="dxa"/>
          <w:left w:w="0" w:type="dxa"/>
          <w:bottom w:w="0" w:type="dxa"/>
          <w:right w:w="0" w:type="dxa"/>
        </w:tblCellMar>
      </w:tblPr>
      <w:tblGrid>
        <w:gridCol w:w="75"/>
        <w:gridCol w:w="110"/>
        <w:gridCol w:w="60"/>
        <w:gridCol w:w="76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issue directives and recommend practices with respect to the ordinary operation of casinos. </w:t>
            </w:r>
          </w:p>
        </w:tc>
      </w:tr>
    </w:tbl>
    <w:p>
      <w:pPr>
        <w:pStyle w:val="TextBody"/>
        <w:spacing w:before="240" w:after="0"/>
        <w:jc w:val="left"/>
        <w:rPr>
          <w:rFonts w:ascii="Times New Roman" w:hAnsi="Times New Roman"/>
          <w:sz w:val="20"/>
        </w:rPr>
      </w:pPr>
      <w:r>
        <w:rPr>
          <w:rFonts w:ascii="Times New Roman" w:hAnsi="Times New Roman"/>
          <w:sz w:val="20"/>
        </w:rPr>
        <w:t xml:space="preserve">Below are the main features of the Macau Gaming Operations Law, including amended provisions, as supplemented by Administrative Regulation no. 26/2001 (as amended in July 2022 pursuant to Administrative Regulation no. 28/2022), that are currently applicable to our business.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If we breach the Macau Gaming Operations Law, Melco Resorts Macau’s Concession Contract could be limited, conditioned, suspended or revoked, subject to compliance with certain statutory and regulatory procedures. In addition, we, and the persons involved, could be subject to substantial fines for each separate breach of Macau Gaming Operations Law or of the Concession Contract at the discretion of the Macau government. Further, if we terminate or suspend the operation of all or a part of our gaming operations without permission for reasons not due to </w:t>
            </w:r>
            <w:r>
              <w:rPr>
                <w:rFonts w:ascii="Times New Roman" w:hAnsi="Times New Roman"/>
                <w:i/>
                <w:sz w:val="20"/>
              </w:rPr>
              <w:t>force majeure</w:t>
            </w:r>
            <w:r>
              <w:rPr>
                <w:rFonts w:ascii="Times New Roman" w:hAnsi="Times New Roman"/>
                <w:sz w:val="20"/>
              </w:rPr>
              <w:t xml:space="preserve">, or in the event of serious disruptions or deficiencies in our organization and operation or in the general condition of our facilities and equipment which may affect the normal operation of our gaming business, the Macau government would be entitled to replace Melco Resorts Macau during such disruption and to ensure the continued operation of the gaming business. Under such circumstances, we would bear the expenses required for maintaining the normal operation of the gaming business.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also has the power to supervise concessionaires in order to assure financial stability and capability. See “— Gaming Licenses — The Concession Contract in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person who fails or refuses to apply for a finding of suitability after being ordered to do so by the Macau government may be found unsuitable. Any shareholder of a concessionaire holding shares equal to or in excess of 5% of such 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Melco Resorts Macau may be subject to administrative sanctions if, after it receives notice that a person is unsuitable to be a shareholder or to have any other relationship with it, Melco Resorts Macau: </w:t>
            </w:r>
          </w:p>
        </w:tc>
      </w:tr>
    </w:tbl>
    <w:p>
      <w:pPr>
        <w:pStyle w:val="TextBody"/>
        <w:spacing w:before="0" w:after="0"/>
        <w:jc w:val="left"/>
        <w:rPr/>
      </w:pPr>
      <w:r>
        <w:rPr/>
        <w:t> </w:t>
      </w:r>
    </w:p>
    <w:tbl>
      <w:tblPr>
        <w:tblW w:w="4930" w:type="dxa"/>
        <w:jc w:val="left"/>
        <w:tblInd w:w="0" w:type="dxa"/>
        <w:tblCellMar>
          <w:top w:w="0" w:type="dxa"/>
          <w:left w:w="0" w:type="dxa"/>
          <w:bottom w:w="0" w:type="dxa"/>
          <w:right w:w="0" w:type="dxa"/>
        </w:tblCellMar>
      </w:tblPr>
      <w:tblGrid>
        <w:gridCol w:w="75"/>
        <w:gridCol w:w="110"/>
        <w:gridCol w:w="60"/>
        <w:gridCol w:w="4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pays that person any dividend or interest upon its shares; </w:t>
            </w:r>
          </w:p>
        </w:tc>
      </w:tr>
    </w:tbl>
    <w:p>
      <w:pPr>
        <w:pStyle w:val="TextBody"/>
        <w:spacing w:before="0" w:after="0"/>
        <w:jc w:val="left"/>
        <w:rPr/>
      </w:pPr>
      <w:r>
        <w:rPr/>
        <w:t> </w:t>
      </w:r>
    </w:p>
    <w:tbl>
      <w:tblPr>
        <w:tblW w:w="9595" w:type="dxa"/>
        <w:jc w:val="left"/>
        <w:tblInd w:w="0" w:type="dxa"/>
        <w:tblCellMar>
          <w:top w:w="0" w:type="dxa"/>
          <w:left w:w="0" w:type="dxa"/>
          <w:bottom w:w="0" w:type="dxa"/>
          <w:right w:w="0" w:type="dxa"/>
        </w:tblCellMar>
      </w:tblPr>
      <w:tblGrid>
        <w:gridCol w:w="75"/>
        <w:gridCol w:w="110"/>
        <w:gridCol w:w="60"/>
        <w:gridCol w:w="93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allows that person to exercise, directly or indirectly, any voting right conferred through shares held by that person; </w:t>
            </w:r>
          </w:p>
        </w:tc>
      </w:tr>
    </w:tbl>
    <w:p>
      <w:pPr>
        <w:pStyle w:val="TextBody"/>
        <w:spacing w:before="0" w:after="0"/>
        <w:jc w:val="left"/>
        <w:rPr/>
      </w:pPr>
      <w:r>
        <w:rPr/>
        <w:t> </w:t>
      </w:r>
    </w:p>
    <w:tbl>
      <w:tblPr>
        <w:tblW w:w="6970" w:type="dxa"/>
        <w:jc w:val="left"/>
        <w:tblInd w:w="0" w:type="dxa"/>
        <w:tblCellMar>
          <w:top w:w="0" w:type="dxa"/>
          <w:left w:w="0" w:type="dxa"/>
          <w:bottom w:w="0" w:type="dxa"/>
          <w:right w:w="0" w:type="dxa"/>
        </w:tblCellMar>
      </w:tblPr>
      <w:tblGrid>
        <w:gridCol w:w="75"/>
        <w:gridCol w:w="110"/>
        <w:gridCol w:w="60"/>
        <w:gridCol w:w="6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pays remuneration in any form to that person for services rendered or otherwise; or </w:t>
            </w:r>
          </w:p>
        </w:tc>
      </w:tr>
    </w:tbl>
    <w:p>
      <w:pPr>
        <w:pStyle w:val="TextBody"/>
        <w:spacing w:before="0" w:after="0"/>
        <w:jc w:val="left"/>
        <w:rPr/>
      </w:pPr>
      <w:r>
        <w:rPr/>
        <w:t> </w:t>
      </w:r>
    </w:p>
    <w:tbl>
      <w:tblPr>
        <w:tblW w:w="7960" w:type="dxa"/>
        <w:jc w:val="left"/>
        <w:tblInd w:w="0" w:type="dxa"/>
        <w:tblCellMar>
          <w:top w:w="0" w:type="dxa"/>
          <w:left w:w="0" w:type="dxa"/>
          <w:bottom w:w="0" w:type="dxa"/>
          <w:right w:w="0" w:type="dxa"/>
        </w:tblCellMar>
      </w:tblPr>
      <w:tblGrid>
        <w:gridCol w:w="75"/>
        <w:gridCol w:w="110"/>
        <w:gridCol w:w="60"/>
        <w:gridCol w:w="7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fails to pursue all lawful efforts to require that unsuitable person to relinquish his or her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also requires prior approval for the creation of a lien over shares or gaming equipment and utensils of a concession holder.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 must give its prior approval to changes in control through a merger, consolidation, shares acquisition, or any act or conduct by any person whereby such person obtains control. Entities seeking to acquire control of a concessionaire must satisfy the Macau government with regards to a variety of stringent standards prior to assuming control. The Macau government may also require controlling shareholders, directors and key employees, to be investigated for suitability as part of the approval process of the transaction. </w:t>
            </w:r>
          </w:p>
        </w:tc>
      </w:tr>
    </w:tbl>
    <w:p>
      <w:pPr>
        <w:pStyle w:val="TextBody"/>
        <w:spacing w:before="0" w:after="0"/>
        <w:jc w:val="left"/>
        <w:rPr/>
      </w:pPr>
      <w:r>
        <w:rPr/>
        <w:t> </w:t>
      </w:r>
    </w:p>
    <w:tbl>
      <w:tblPr>
        <w:tblW w:w="4555" w:type="dxa"/>
        <w:jc w:val="left"/>
        <w:tblInd w:w="0" w:type="dxa"/>
        <w:tblCellMar>
          <w:top w:w="0" w:type="dxa"/>
          <w:left w:w="0" w:type="dxa"/>
          <w:bottom w:w="0" w:type="dxa"/>
          <w:right w:w="0" w:type="dxa"/>
        </w:tblCellMar>
      </w:tblPr>
      <w:tblGrid>
        <w:gridCol w:w="75"/>
        <w:gridCol w:w="110"/>
        <w:gridCol w:w="60"/>
        <w:gridCol w:w="4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maximum number of gaming concessions is six.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term of a gaming concession is set in the concession contract and cannot exceed 10 years but the Chief Executive of Macau may exceptionally authorize, based on justified reasons, one or more extensions of the term of the concession up to the total period of three years.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general contractual compliance is subject to review by the DICJ every three years. In the event that the results of the review reveal non-compliance or lack of proactiveness in complying with the concession contracts, concessionaires should improve compliance within the deadline determined by the Secretary for Economy and Finance.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registered share capital shall not be less than MOP5 billion (equivalent to approximately US$621.6 million) and during the term of the concession their net assets shall not be less than such amount. The concessionaires must mandatorily notify the Chief Executive of Macau prior to executing large financial initiatives, which are defined as those with a value greater than MOP2.5 billion (equivalent to approximately US$310.8 million) regarding the internal movement of funds and MOP500 million (equivalent to approximately US$62.2 million) regarding salaries, remunerations, benefits of employees, and any other financial decisions.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main objectives of the gaming law are, amongst others, safeguarding of national and Macau security, adequate diversification and sustainable development of the Macau economy, assurance that the development and operation of games of chance in casinos are in line with Macau’s policies and mechanisms in respect of combating the illegal flow of cross-border capital and preventing money laundering, and the scale, operation and practice of games of chance in casinos are subject to legal restrictions. A concession may be terminated if it poses a threat to national security or that of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operation of games of chance in casinos is limited to the locations and premises authorized by the Chief Executive of Macau with such authorization having to take into account, amongst others, Macau urban planning, its impact on the social community and the opinion of the Specialized Committee for the Games of Chance Sector.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concessionaires undertake to operate games of chance in self owned premises or premises leased or otherwise granted a right to use by the Macau government. Premises owned by a concessionaire will revert to the Macau government without compensation upon the concession expiration or earlier termination. The concessionaires may continue to operate games of chance in casinos by means of a contract in properties that are not owned by them for a period of three years from January 1, 2023 under authorization of the Chief Executive of Macau. After the end of such three-year transition period the concessionaires may only continue to operate games of chance in properties that are not owned by them by engaging a managing company. If such locations are closed pursuant to the law or the concession contracts, new operation of games of chance in casino will not be permitted in such locations. The Macau government owns the City of Dreams, Altira and Studio City Casinos gaming and gaming support areas, and the Macau government has transferred these areas to us for usage in our operations during the duration of the concession for a fee 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shall assume certain corporate social responsibilities, including support for the development of local small and medium-sized enterprises; support the diversification of local industries, guaranteeing labor rights and interests, namely those concerning the guarantee of labor credits, on-the-job training and professional advancement of local employees, as well as a pension scheme designed to protect employees; hiring disabled or rehabilitated individuals; support for public interest activities; support for activities of an educational, scientific and technological, environmental protection, cultural and sporting nature, among others.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and the shareholders holding 5% or more of their registered share capital shall not hold directly any capital of another concessionaire for the operation of games of chance in casinos in Macau, and shall not hold indirectly 5% or more of its registered share capital.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Management companies are entities that have management powers over all or some casinos from one concessionaire and are subject to suitability reviews at DICJ’s discretion. The execution of a contract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between a concessionaire and a managing company pursuant to which the company assumes or may assume management powers relating to the concessionaire is prohibited and any such contract will be deemed null and void. Notwithstanding, the Chief Executive of Macau may authorize and approve the engagement of a management company by a concessionaire provided that under such engagement, a concessionaire may only pay to the managing company management fees, with casino revenue sharing or payment of commissions not being permitted by any means. Members of the corporate bodies of a management company may not be members of a corporate body of a concessionaire or gaming promoter.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must have a managing-director who is a Macau permanent resident and holds at least 15% of the registered share capital of the concessionaire.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are subject to the payment of an annual premium, established in the concession contracts, which varies depending on the number of casinos that each concessionaire is authorized to operate, the number of authorized gaming tables and gaming machines, the type of games of chance operated, the location of the casinos, and other relevant criteria set by the Macau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If the average gross gaming revenue of the gaming tables or gaming machines does not reach a set minimum limit, the concessionaire must pay a special premium, in an amount equal to the difference between the amount of the special tax on gaming, calculated according to the average gross gaming revenue, and such minimum limit. The average gross revenue is calculated according to the maximum number of gaming tables and gaming machines authorized for the concessionaire in the year to which it relates, with the exception of the number of gaming tables and gaming machines authorized to operate provisionally during the period designated for such purpose. The annual minimum limit of the gross gaming revenue of each gaming table and each gaming machine, as well as the period designated for the provisional operation of gaming tables and gaming machines, are determined by dispatch from the Chief Executive of Macau. The annual minimum limit of the gross gaming revenue must be set out in view of the past gross gaming revenue of Macau and the current situation of the economic development of Macau, and may be adjusted exceptionally in case of extraordinary, unpredictable or force majeure incidents, and is currently in the amount of MOP7 million (equivalent to approximately US$870,233) annual gross gaming revenue for gaming tables and MOP300,000 (equivalent to approximately US$37,296) annual gross gaming revenue for gaming machines.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With respect to the gaming promotion activities, the concessionaires must inform the DICJ of any facts that may affect the solvency of gaming promoters, including the fact that they have been named as defendants in civil proceedings or have entered into loan or financing agreements that exceed their solvency, within a period of five days counted from the date of occurrence of the respective facts or the concessionaires’ knowledge thereof; inform the DICJ of facts that indicate the practice, by gaming promoters, of crimes and administrative offenses provided for in the law, within five days from the date of the concessionaires’ knowledge thereof, without prejudice to duties provided in other laws; supervise the activity of the gaming promoters, including their fulfillment of the duties provided in gaming laws and regulations; and adopt appropriate measures to prevent gaming promoters from conducting illegal activities in the casinos of the concessionaires.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Each gaming promoter can only conduct gaming promotion activities with one concessionaire and may only receive commission, not being a gaming promoter permitted to share with the concessionaires, in any form whatsoever, the casino revenue.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maximum number of gaming tables and gaming machines that may be operated by the concessionaires is determined by dispatch from the Chief Executive of Macau and the number of gaming tables and gaming machines to be installed, added or reduced in each casino by the concessionaires is subject to authorization of the Secretary for Economy and Finance. The Secretary for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Economy and Finance may reduce the number of gaming tables or gaming machines if the gross gaming revenue from gaming tables or gaming machines fails, for two consecutive years, to reach the minimum limit of the annual gross revenue determined by dispatch from the Chief Executive of Macau or if the authorized gaming tables or gaming machines are not fully utilized without just cause, by the concessionaires, within the deadline set out by the Secretary for Economy and Finance. Currently the maximum number of gaming tables that may be operated in Macau is 6,000 and the maximum number of gaming machines is 12,000 and Melco Resorts Macau has been authorized to operate 750 gaming tables and 2,100 gaming machines.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circulation of chips is subject to authorization from the Secretary for Economy and Finance, which may establish the maximum limit of the total amount of chips in circulation.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can only disseminate information or activities related to gaming in the zones for games of chance of the casinos, under the applicable laws and regulations.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concessionaires and the companies of which they are dominant shareholders cannot be admitted to listing on stock exchanges.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administrative sanctions regime is established with fines ranging from MOP100,000 (equivalent to approximately US$12,432) and MOP5,000,000 (equivalent to approximately US$621,595) and, depending on the seriousness of the offense, damages, fault, benefits obtained, economic situation and previous conduct, a supplemental penalty of total or partial closure of gaming areas for periods ranging from one month to one year.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event of dissolution of a current concessionaire for failing to obtain a new concession in the next tender, the shareholders of the concessionaire holding 5% or more of the concessionaire’s share capital as of the date of termination of the concession contract or the date of termination of the concession are jointly and severally liable for the concessionaire’s outstanding chips. </w:t>
            </w:r>
          </w:p>
        </w:tc>
      </w:tr>
    </w:tbl>
    <w:p>
      <w:pPr>
        <w:pStyle w:val="TextBody"/>
        <w:spacing w:before="240" w:after="0"/>
        <w:jc w:val="left"/>
        <w:rPr>
          <w:rFonts w:ascii="Times New Roman" w:hAnsi="Times New Roman"/>
          <w:sz w:val="20"/>
        </w:rPr>
      </w:pPr>
      <w:r>
        <w:rPr>
          <w:rFonts w:ascii="Times New Roman" w:hAnsi="Times New Roman"/>
          <w:sz w:val="20"/>
        </w:rPr>
        <w:t xml:space="preserve">Non-compliance with these obligations could lead to the revocation of Melco Resorts Macau’s Concession Contract and could materially and adversely affect our gaming operations. </w:t>
      </w:r>
    </w:p>
    <w:p>
      <w:pPr>
        <w:pStyle w:val="TextBody"/>
        <w:spacing w:before="240" w:after="0"/>
        <w:jc w:val="left"/>
        <w:rPr>
          <w:rFonts w:ascii="Times New Roman" w:hAnsi="Times New Roman"/>
          <w:sz w:val="20"/>
        </w:rPr>
      </w:pPr>
      <w:r>
        <w:rPr>
          <w:rFonts w:ascii="Times New Roman" w:hAnsi="Times New Roman"/>
          <w:sz w:val="20"/>
        </w:rPr>
        <w:t xml:space="preserve">The Macau government has also enacted other gaming legislation, rules and policies. Further, it imposed policies, regulations and restrictions that affect the minimum age required for entrance into casinos in Macau, location requirements for sites with gaming machine lounges, supply and requirements of gaming machines, equipment and systems, instructions on promoting responsible gaming, restrictions on the reallocation of gaming tables between properties and other matters. In addition, the Macau government may consider enacting new regulations that may adversely affect our gaming operations. Our inability to address the requirements or restrictions imposed by the Macau government under such legislation or rules could adversely affect our gaming operations. </w:t>
      </w:r>
    </w:p>
    <w:p>
      <w:pPr>
        <w:pStyle w:val="TextBody"/>
        <w:spacing w:before="360" w:after="0"/>
        <w:jc w:val="left"/>
        <w:rPr>
          <w:rFonts w:ascii="Times New Roman" w:hAnsi="Times New Roman"/>
          <w:b/>
          <w:i/>
          <w:sz w:val="20"/>
        </w:rPr>
      </w:pPr>
      <w:r>
        <w:rPr>
          <w:rFonts w:ascii="Times New Roman" w:hAnsi="Times New Roman"/>
          <w:b/>
          <w:i/>
          <w:sz w:val="20"/>
        </w:rPr>
        <w:t xml:space="preserve">Gaming Activities Regulations </w:t>
      </w:r>
    </w:p>
    <w:p>
      <w:pPr>
        <w:pStyle w:val="TextBody"/>
        <w:spacing w:before="120" w:after="0"/>
        <w:jc w:val="left"/>
        <w:rPr>
          <w:rFonts w:ascii="Times New Roman" w:hAnsi="Times New Roman"/>
          <w:sz w:val="20"/>
        </w:rPr>
      </w:pPr>
      <w:r>
        <w:rPr>
          <w:rFonts w:ascii="Times New Roman" w:hAnsi="Times New Roman"/>
          <w:sz w:val="20"/>
        </w:rPr>
        <w:t xml:space="preserve">Macau Law no. 16/2022 regulates, among other things, the exercise of the gaming promotion activity. Such activity is subject to a gaming promoter license. Licenses are subject to annual renewal and a list of licensed gaming promoters is published in the DICJ’s website and is subject to regular updates. The issuance, renewal and cancellation of gaming promoter licenses are the responsibility of the Secretary for Economy and Finance, who also determines the maximum annual number of gaming promoters which each concessionaire may engage as published on the DICJ’s website. </w:t>
      </w:r>
    </w:p>
    <w:p>
      <w:pPr>
        <w:pStyle w:val="TextBody"/>
        <w:spacing w:before="240" w:after="0"/>
        <w:jc w:val="left"/>
        <w:rPr>
          <w:rFonts w:ascii="Times New Roman" w:hAnsi="Times New Roman"/>
          <w:sz w:val="20"/>
        </w:rPr>
      </w:pPr>
      <w:r>
        <w:rPr>
          <w:rFonts w:ascii="Times New Roman" w:hAnsi="Times New Roman"/>
          <w:sz w:val="20"/>
        </w:rPr>
        <w:t xml:space="preserve">The granting or renewal of a gaming promoter license may be requested by a commercial company that fulfills certain cumulative requirements, such as having its registered office in Macau, being a limited liability company by shares with the activity of gaming promotion as its exclusive business purpose, having a registered capital of not less than MOP10 million (equivalent to approximately US$1.2 million) fully paid up in cash,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net assets of not less than such amount during the license period, having as shareholders individuals only, having 50% or more of its registered capital being held by permanent residents of Macau who are at least 21 years of age, having agreed with one concessionaire the provision of gaming promotion services to the same, having provided a security deposit, not having any debts or fines imposed for breach of legal provisions relating to gaming under tax enforcement proceedings, having adequate financial capacity, not having the company and its shareholders, directors and key employees previously being declared insolvent or bankrupt, nor being responsible for debts arising from the insolvency or bankruptcy of third parties, and the company and its shareholders, directors and key employees being deemed suitable. </w:t>
      </w:r>
    </w:p>
    <w:p>
      <w:pPr>
        <w:pStyle w:val="TextBody"/>
        <w:spacing w:before="240" w:after="0"/>
        <w:jc w:val="left"/>
        <w:rPr>
          <w:rFonts w:ascii="Times New Roman" w:hAnsi="Times New Roman"/>
          <w:sz w:val="20"/>
        </w:rPr>
      </w:pPr>
      <w:r>
        <w:rPr>
          <w:rFonts w:ascii="Times New Roman" w:hAnsi="Times New Roman"/>
          <w:sz w:val="20"/>
        </w:rPr>
        <w:t xml:space="preserve">Each gaming promoter can only conduct the gaming promotion activity with one concessionaire, and only for a commission. Gaming promoters are prohibited from resorting to the support of entities that are not their directors, employees or collaborators, in the exercise of the gaming promotion activity; from sharing, by any means, the revenues from the casinos with the concessionaire; from making, through the sharing of revenues from the casinos, the payment of commissions to any entity with which it cooperates; from cooperating with those who are prohibited from carrying out the activity of gaming promotion or of collaborator; and from depositing, by themselves or through third parties, chips or funds from third parties. The DICJ and the Macau Financial Services Bureau monitor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 </w:t>
      </w:r>
    </w:p>
    <w:p>
      <w:pPr>
        <w:pStyle w:val="TextBody"/>
        <w:spacing w:before="240" w:after="0"/>
        <w:jc w:val="left"/>
        <w:rPr>
          <w:rFonts w:ascii="Times New Roman" w:hAnsi="Times New Roman"/>
          <w:sz w:val="20"/>
        </w:rPr>
      </w:pPr>
      <w:r>
        <w:rPr>
          <w:rFonts w:ascii="Times New Roman" w:hAnsi="Times New Roman"/>
          <w:sz w:val="20"/>
        </w:rPr>
        <w:t xml:space="preserve">In addition, concessionaires are jointly and severally liable for administrative fines and civil liability arising from the exercise in their casinos of the authorized gaming promotion activity by gaming promoters, their directors and key employees, as well as their collaborators. Such joint and several liability may be excluded when it is proved that the concessionaire has responsibly fulfilled its supervision duty. Law no. 16/2022 also clarified that under Macau Administrative Regulation no. 6/2002, concessionaires may only be jointly and severally liable for the acceptance, in their casinos, of the deposit of funds or chips from third parties, by gaming promoters, their directors and their collaborators, as well as by the employees of the gaming promoters who exercise duties in the casinos, if such funds or chips were used in games of chance in their casino or were earned in these games. When assessing whether the funds or chips deposited were used in games of chance in casino or were earned in these games, the law provides that it shall be taken into account, in particular, the concessionaire’s records. </w:t>
      </w:r>
    </w:p>
    <w:p>
      <w:pPr>
        <w:pStyle w:val="TextBody"/>
        <w:spacing w:before="240" w:after="0"/>
        <w:jc w:val="left"/>
        <w:rPr>
          <w:rFonts w:ascii="Times New Roman" w:hAnsi="Times New Roman"/>
          <w:sz w:val="20"/>
        </w:rPr>
      </w:pPr>
      <w:r>
        <w:rPr>
          <w:rFonts w:ascii="Times New Roman" w:hAnsi="Times New Roman"/>
          <w:sz w:val="20"/>
        </w:rPr>
        <w:t xml:space="preserve">Furthermore, gaming promoters, including their shareholders, directors, and key employees, are subject to verification of suitability based on criteria such as reputation, tendency to take on excessive risks in view of how they usually conduct business or the nature of their professional activities, their economic and financial situation, existence of well-founded suspicions on the legality of the origin of the funds to be used in the gaming promotion activity or regarding the true identity of the holder of such funds, existence of improper transactions with criminal groups, and indictment or conviction for crime punishable by imprisonment of three years or more. </w:t>
      </w:r>
    </w:p>
    <w:p>
      <w:pPr>
        <w:pStyle w:val="TextBody"/>
        <w:spacing w:before="240" w:after="0"/>
        <w:jc w:val="left"/>
        <w:rPr>
          <w:rFonts w:ascii="Times New Roman" w:hAnsi="Times New Roman"/>
          <w:sz w:val="20"/>
        </w:rPr>
      </w:pPr>
      <w:r>
        <w:rPr>
          <w:rFonts w:ascii="Times New Roman" w:hAnsi="Times New Roman"/>
          <w:sz w:val="20"/>
        </w:rPr>
        <w:t xml:space="preserve">In addition to the licensing and suitability assessment process performed by the DICJ, all of our gaming promoters (if any) undergo thorough internal vetting procedures. We conduct background checks and also conduct periodic reviews of the activities of each gaming promoter (if any), its employees and its collaborators for possible non-compliance with Macau legal and regulatory requirements. Such reviews generally include investigations into compliance with applicable anti-money laundering laws and regulations as well as tax withholding requirements. </w:t>
      </w:r>
    </w:p>
    <w:p>
      <w:pPr>
        <w:pStyle w:val="TextBody"/>
        <w:spacing w:before="240" w:after="0"/>
        <w:jc w:val="left"/>
        <w:rPr>
          <w:rFonts w:ascii="Times New Roman" w:hAnsi="Times New Roman"/>
          <w:sz w:val="20"/>
        </w:rPr>
      </w:pPr>
      <w:r>
        <w:rPr>
          <w:rFonts w:ascii="Times New Roman" w:hAnsi="Times New Roman"/>
          <w:sz w:val="20"/>
        </w:rPr>
        <w:t xml:space="preserve">Concessionaires are required to report periodically on commissions paid to their gaming promoters. A 5% tax must be withheld on commissions paid by a concessionaire to its gaming promoters. Under Law no. 16/2022 and in accordance with the Secretary for Economy and Finance Dispatch no. 90/2022, a commission cap of 1.25% of net rolling has been in effect. Any advantages or liberalities offered or provided, in Macau or abroad, directly or indirectly, to the gaming promoter by the concessionaire, a company in which the concession holds participation, or others with which the concessionaire is in a group relationship, shall be considered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calculated as commission and be within such commission cap. The commission cap regulations impose fines, ranging from MOP2,000,000 (equivalent to approximately US$248,638) up to MOP5,000,000 (equivalent to approximately US$621,595) on concessionaires that do not comply with the cap and other fines, ranging from MOP600,000 (equivalent to approximately US$74,591) up to MOP1,500,000 (equivalent to approximately US$186,478) on concessionaires that do not comply with their reporting obligations regarding commission payments. If breached by the concessionaire, the legislation on commission caps has a sanction enabling the relevant government authority to determine the closure, in whole or in part, of the areas for games of chance, for a period of one month to one year, and/or to make public a government decision imposing a fine on a 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 </w:t>
      </w:r>
    </w:p>
    <w:p>
      <w:pPr>
        <w:pStyle w:val="TextBody"/>
        <w:spacing w:before="240" w:after="0"/>
        <w:jc w:val="left"/>
        <w:rPr>
          <w:rFonts w:ascii="Times New Roman" w:hAnsi="Times New Roman"/>
          <w:sz w:val="20"/>
        </w:rPr>
      </w:pPr>
      <w:r>
        <w:rPr>
          <w:rFonts w:ascii="Times New Roman" w:hAnsi="Times New Roman"/>
          <w:sz w:val="20"/>
        </w:rPr>
        <w:t xml:space="preserve">The exercise of the activity of collaborators and managing companies is also governed under Macau Law no. 16/2022. Collaborators, managing companies, as well as managing companies’ shareholders holding an amount equal to or greater than 5% of their registered capital, directors, and key employees are subject to suitability assessment process performed by the DICJ. </w:t>
      </w:r>
    </w:p>
    <w:p>
      <w:pPr>
        <w:pStyle w:val="TextBody"/>
        <w:spacing w:before="240" w:after="0"/>
        <w:jc w:val="left"/>
        <w:rPr>
          <w:rFonts w:ascii="Times New Roman" w:hAnsi="Times New Roman"/>
          <w:sz w:val="20"/>
        </w:rPr>
      </w:pPr>
      <w:r>
        <w:rPr>
          <w:rFonts w:ascii="Times New Roman" w:hAnsi="Times New Roman"/>
          <w:sz w:val="20"/>
        </w:rPr>
        <w:t xml:space="preserve">The issuance and renewal of the authorization of collaborator are the responsibility of the DICJ and may be requested by those who fulfill certain requirements, including having completed 21 years of age, being deemed suitable, having agreed to collaborate with, at least, one gaming promoter, and having provided a security deposit. The maximum annual total number of collaborators is set out by the DICJ and published on its website. Collaborators shall not perform operations of credit concession for gaming or betting in casino, on behalf of any person, and shall be prohibited from depositing, by itself or through third parties, chips or funds from third parties. </w:t>
      </w:r>
    </w:p>
    <w:p>
      <w:pPr>
        <w:pStyle w:val="TextBody"/>
        <w:spacing w:before="240" w:after="0"/>
        <w:jc w:val="left"/>
        <w:rPr>
          <w:rFonts w:ascii="Times New Roman" w:hAnsi="Times New Roman"/>
          <w:sz w:val="20"/>
        </w:rPr>
      </w:pPr>
      <w:r>
        <w:rPr>
          <w:rFonts w:ascii="Times New Roman" w:hAnsi="Times New Roman"/>
          <w:sz w:val="20"/>
        </w:rPr>
        <w:t xml:space="preserve">A concessionaire that intends to engage a managing company to provide casino management services must obtain authorization from the Chief Executive of Macau and submit the draft management agreement for approval. The business purpose of the managing company is limited to the management of the concessionaires’ casinos. A managing company can only enter into a managing agreement with one concessionaire, and can only receive management fees from the concessionaire, with casino revenue sharing or payment of commissions not being permitted. Managing companies are prohibited from managing the financial activities of casinos, including in matters of accounting or settlement of chips and gaming funds, as well as from depositing, by themselves or through third parties, chips or funds from third parties. </w:t>
      </w:r>
    </w:p>
    <w:p>
      <w:pPr>
        <w:pStyle w:val="TextBody"/>
        <w:spacing w:before="240" w:after="0"/>
        <w:jc w:val="left"/>
        <w:rPr>
          <w:rFonts w:ascii="Times New Roman" w:hAnsi="Times New Roman"/>
          <w:sz w:val="20"/>
        </w:rPr>
      </w:pPr>
      <w:r>
        <w:rPr>
          <w:rFonts w:ascii="Times New Roman" w:hAnsi="Times New Roman"/>
          <w:sz w:val="20"/>
        </w:rPr>
        <w:t xml:space="preserve">Macau Law no. 16/2022 further established the crime of unlawful deposit and the crime of disobedience. The crime of unlawful deposit is applicable to concessionaires, gaming promoters or managing companies, their directors or representatives, or persons under their authority, in the exercise of their duties, or collaborators, in the exercise of their activity, who deposit funds from third parties not intended for gaming, and is punishable by imprisonment from 2 to 5 years in case of individuals, or fines up to MOP18 million (equivalent to approximately US$2.2 million) or judicial dissolution in case of legal persons. The crime of disobedience is applicable to whoever refuses to fulfill the access and presence of the DICJ and Macau Financial Services Bureau supervisory personnel in the areas subject to supervision until the conclusion of the supervisory action, or the presentation or provision of the documents, data and assets required under the terms of the law by the supervisory personnel, or to whoever does not comply with the measure of preventive suspension of activity, with individuals being subject to imprisonment from 1 to 2 years and legal persons being punishable by fines up to MOP9 million (equivalent to approximately US$1.1 million) or judicial dissolution. In addition to such penalties, certain accessory penalties may be applied, including closure of gaming areas, prohibition of the exercise of the activity of gaming promotion, collaborator or management of casinos, for a period of 1 month to 2 years, interdiction on applying for a gaming promoter license or collaborator authorization for a period of 1 to 2 years, judicial injunction or publication of the decision in two Macau newspapers (in Chinese and Portuguese, respectively) and through public notice.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Gaming Credit Regulations </w:t>
      </w:r>
    </w:p>
    <w:p>
      <w:pPr>
        <w:pStyle w:val="TextBody"/>
        <w:spacing w:before="120" w:after="0"/>
        <w:jc w:val="left"/>
        <w:rPr>
          <w:rFonts w:ascii="Times New Roman" w:hAnsi="Times New Roman"/>
          <w:sz w:val="20"/>
        </w:rPr>
      </w:pPr>
      <w:r>
        <w:rPr>
          <w:rFonts w:ascii="Times New Roman" w:hAnsi="Times New Roman"/>
          <w:sz w:val="20"/>
        </w:rPr>
        <w:t xml:space="preserve">Macau Law no. 5/2004 has legalized the extension of gaming credit to patrons or gaming promoters by concessionaires. Gaming promoters may also extend credit to patrons upon obtaining an authorization by a 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courts in Macau. </w:t>
      </w:r>
    </w:p>
    <w:p>
      <w:pPr>
        <w:pStyle w:val="TextBody"/>
        <w:spacing w:before="360" w:after="0"/>
        <w:jc w:val="left"/>
        <w:rPr>
          <w:rFonts w:ascii="Times New Roman" w:hAnsi="Times New Roman"/>
          <w:b/>
          <w:i/>
          <w:sz w:val="20"/>
        </w:rPr>
      </w:pPr>
      <w:r>
        <w:rPr>
          <w:rFonts w:ascii="Times New Roman" w:hAnsi="Times New Roman"/>
          <w:b/>
          <w:i/>
          <w:sz w:val="20"/>
        </w:rPr>
        <w:t xml:space="preserve">Access to Casinos and Gaming Areas Regulations </w:t>
      </w:r>
    </w:p>
    <w:p>
      <w:pPr>
        <w:pStyle w:val="TextBody"/>
        <w:spacing w:before="120" w:after="0"/>
        <w:jc w:val="left"/>
        <w:rPr>
          <w:rFonts w:ascii="Times New Roman" w:hAnsi="Times New Roman"/>
          <w:sz w:val="20"/>
        </w:rPr>
      </w:pPr>
      <w:r>
        <w:rPr>
          <w:rFonts w:ascii="Times New Roman" w:hAnsi="Times New Roman"/>
          <w:sz w:val="20"/>
        </w:rPr>
        <w:t xml:space="preserve">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concessionaires and gaming promoters may not, starting from December 2019, access any casinos or gaming areas, except during the Chinese New Year festive season or under specific circumstances. </w:t>
      </w:r>
    </w:p>
    <w:p>
      <w:pPr>
        <w:pStyle w:val="TextBody"/>
        <w:spacing w:before="360" w:after="0"/>
        <w:jc w:val="left"/>
        <w:rPr>
          <w:rFonts w:ascii="Times New Roman" w:hAnsi="Times New Roman"/>
          <w:b/>
          <w:i/>
          <w:sz w:val="20"/>
        </w:rPr>
      </w:pPr>
      <w:r>
        <w:rPr>
          <w:rFonts w:ascii="Times New Roman" w:hAnsi="Times New Roman"/>
          <w:b/>
          <w:i/>
          <w:sz w:val="20"/>
        </w:rPr>
        <w:t xml:space="preserve">Smoking Regulations </w:t>
      </w:r>
    </w:p>
    <w:p>
      <w:pPr>
        <w:pStyle w:val="TextBody"/>
        <w:spacing w:before="120" w:after="0"/>
        <w:jc w:val="left"/>
        <w:rPr>
          <w:rFonts w:ascii="Times New Roman" w:hAnsi="Times New Roman"/>
          <w:sz w:val="20"/>
        </w:rPr>
      </w:pPr>
      <w:r>
        <w:rPr>
          <w:rFonts w:ascii="Times New Roman" w:hAnsi="Times New Roman"/>
          <w:sz w:val="20"/>
        </w:rPr>
        <w:t xml:space="preserve">Under the Smoking Prevention and Tobacco Control Law, as amended pursuant to Law no. 9/2017, smoking on casino premises is only permitted in authorized segregated smoking lounges with no gaming activities and such smoking lounges are required to meet certain standards determined by the Macau government. </w:t>
      </w:r>
    </w:p>
    <w:p>
      <w:pPr>
        <w:pStyle w:val="TextBody"/>
        <w:spacing w:before="360" w:after="0"/>
        <w:jc w:val="left"/>
        <w:rPr>
          <w:rFonts w:ascii="Times New Roman" w:hAnsi="Times New Roman"/>
          <w:b/>
          <w:i/>
          <w:sz w:val="20"/>
        </w:rPr>
      </w:pPr>
      <w:r>
        <w:rPr>
          <w:rFonts w:ascii="Times New Roman" w:hAnsi="Times New Roman"/>
          <w:b/>
          <w:i/>
          <w:sz w:val="20"/>
        </w:rPr>
        <w:t xml:space="preserve">Anti-Money Laundering and Terrorism Financing Regulations </w:t>
      </w:r>
    </w:p>
    <w:p>
      <w:pPr>
        <w:pStyle w:val="TextBody"/>
        <w:spacing w:before="120" w:after="0"/>
        <w:jc w:val="left"/>
        <w:rPr>
          <w:rFonts w:ascii="Times New Roman" w:hAnsi="Times New Roman"/>
          <w:sz w:val="20"/>
        </w:rPr>
      </w:pPr>
      <w:r>
        <w:rPr>
          <w:rFonts w:ascii="Times New Roman" w:hAnsi="Times New Roman"/>
          <w:sz w:val="20"/>
        </w:rPr>
        <w:t xml:space="preserve">In conjunction with current gaming laws and regulations, we are required to comply with the laws and regulations relating to anti-money laundering activities in Macau. Law no. 2/2006 (as amended pursuant to Law no. 3/2017), the Administrative Regulation no. 7/2006 (as amended pursuant to Administrative Regulation no. 17/2017) and the DICJ Instruction no. 1/2016 in effect from May 13, 2016 (as amended pursuant to DICJ Instruction no. 1/2019), govern our compliance requirements with respect to identifying, reporting and preventing anti-money laundering and terrorism financing crimes at our casinos in Macau. Under these laws and regulations, we are required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implement internal procedures and rules governing the prevention of anti-money laundering and terrorism financing crimes which are subject to prior approval from DICJ; </w:t>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75"/>
        <w:gridCol w:w="110"/>
        <w:gridCol w:w="6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identify and evaluate the money laundering and terrorism financing risk inherent to gaming activities;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identify any customer who is in a stable business relationship with Melco Resorts Macau, who is a politically exposed person or any customer or transaction where there is a sign of money laundering or financing of terrorism or which involves significant sums of money in the context of the transaction, even if any sign of money laundering is absent; </w:t>
            </w:r>
          </w:p>
        </w:tc>
      </w:tr>
    </w:tbl>
    <w:p>
      <w:pPr>
        <w:pStyle w:val="TextBody"/>
        <w:spacing w:before="0" w:after="0"/>
        <w:jc w:val="left"/>
        <w:rPr/>
      </w:pPr>
      <w:r>
        <w:rPr/>
        <w:t> </w:t>
      </w:r>
    </w:p>
    <w:tbl>
      <w:tblPr>
        <w:tblW w:w="7840" w:type="dxa"/>
        <w:jc w:val="left"/>
        <w:tblInd w:w="0" w:type="dxa"/>
        <w:tblCellMar>
          <w:top w:w="0" w:type="dxa"/>
          <w:left w:w="0" w:type="dxa"/>
          <w:bottom w:w="0" w:type="dxa"/>
          <w:right w:w="0" w:type="dxa"/>
        </w:tblCellMar>
      </w:tblPr>
      <w:tblGrid>
        <w:gridCol w:w="75"/>
        <w:gridCol w:w="110"/>
        <w:gridCol w:w="60"/>
        <w:gridCol w:w="75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refuse to deal with any of our customers who fail to provide any information requested by us; </w:t>
            </w:r>
          </w:p>
        </w:tc>
      </w:tr>
    </w:tbl>
    <w:p>
      <w:pPr>
        <w:pStyle w:val="TextBody"/>
        <w:spacing w:before="0" w:after="0"/>
        <w:jc w:val="left"/>
        <w:rPr/>
      </w:pPr>
      <w:r>
        <w:rPr/>
        <w:t> </w:t>
      </w:r>
    </w:p>
    <w:tbl>
      <w:tblPr>
        <w:tblW w:w="6250" w:type="dxa"/>
        <w:jc w:val="left"/>
        <w:tblInd w:w="0" w:type="dxa"/>
        <w:tblCellMar>
          <w:top w:w="0" w:type="dxa"/>
          <w:left w:w="0" w:type="dxa"/>
          <w:bottom w:w="0" w:type="dxa"/>
          <w:right w:w="0" w:type="dxa"/>
        </w:tblCellMar>
      </w:tblPr>
      <w:tblGrid>
        <w:gridCol w:w="75"/>
        <w:gridCol w:w="110"/>
        <w:gridCol w:w="60"/>
        <w:gridCol w:w="6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keep records on the identification of a customer for a period of five years; </w:t>
            </w:r>
          </w:p>
        </w:tc>
      </w:tr>
    </w:tbl>
    <w:p>
      <w:pPr>
        <w:pStyle w:val="TextBody"/>
        <w:spacing w:before="0" w:after="0"/>
        <w:jc w:val="left"/>
        <w:rPr/>
      </w:pPr>
      <w:r>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 a regime for electronic transfers; </w:t>
            </w:r>
          </w:p>
        </w:tc>
      </w:tr>
    </w:tbl>
    <w:p>
      <w:pPr>
        <w:pStyle w:val="TextBody"/>
        <w:spacing w:before="0" w:after="0"/>
        <w:jc w:val="left"/>
        <w:rPr/>
      </w:pPr>
      <w:r>
        <w:rPr/>
        <w:t> </w:t>
      </w:r>
    </w:p>
    <w:tbl>
      <w:tblPr>
        <w:tblW w:w="7795" w:type="dxa"/>
        <w:jc w:val="left"/>
        <w:tblInd w:w="0" w:type="dxa"/>
        <w:tblCellMar>
          <w:top w:w="0" w:type="dxa"/>
          <w:left w:w="0" w:type="dxa"/>
          <w:bottom w:w="0" w:type="dxa"/>
          <w:right w:w="0" w:type="dxa"/>
        </w:tblCellMar>
      </w:tblPr>
      <w:tblGrid>
        <w:gridCol w:w="75"/>
        <w:gridCol w:w="110"/>
        <w:gridCol w:w="60"/>
        <w:gridCol w:w="7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keep individual records of all transactions related to gaming which involve credit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keep records of all electronic transactions for amounts equal to or exceeding MOP8,000 (equivalent to approximately US$995) in cases of occasional transactions and MOP120,000 (equivalent to approximately US$14,918) in cases of transactions that arose in the context of a continuous business relationship;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rPr/>
      </w:pPr>
      <w:r>
        <w:rPr/>
      </w:r>
    </w:p>
    <w:p>
      <w:pPr>
        <w:pStyle w:val="Heading5"/>
        <w:rPr/>
      </w:pPr>
      <w:hyperlink w:anchor="toc">
        <w:r>
          <w:rPr>
            <w:rStyle w:val="InternetLink"/>
          </w:rPr>
          <w:t>Table of Contents</w:t>
        </w:r>
      </w:hyperlink>
    </w:p>
    <w:tbl>
      <w:tblPr>
        <w:tblW w:w="9385" w:type="dxa"/>
        <w:jc w:val="left"/>
        <w:tblInd w:w="0" w:type="dxa"/>
        <w:tblCellMar>
          <w:top w:w="0" w:type="dxa"/>
          <w:left w:w="0" w:type="dxa"/>
          <w:bottom w:w="0" w:type="dxa"/>
          <w:right w:w="0" w:type="dxa"/>
        </w:tblCellMar>
      </w:tblPr>
      <w:tblGrid>
        <w:gridCol w:w="75"/>
        <w:gridCol w:w="110"/>
        <w:gridCol w:w="60"/>
        <w:gridCol w:w="9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notify the Macau Finance Information Bureau if there is any sign of money laundering or financing of terrorism; </w:t>
            </w:r>
          </w:p>
        </w:tc>
      </w:tr>
    </w:tbl>
    <w:p>
      <w:pPr>
        <w:pStyle w:val="TextBody"/>
        <w:spacing w:before="0" w:after="0"/>
        <w:jc w:val="left"/>
        <w:rPr/>
      </w:pPr>
      <w:r>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adopt as compliance function and appoint compliance officers;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cooperate with the Macau government by providing all required information and documentation requested in relation to anti-money laundering activities. </w:t>
            </w:r>
          </w:p>
        </w:tc>
      </w:tr>
    </w:tbl>
    <w:p>
      <w:pPr>
        <w:pStyle w:val="TextBody"/>
        <w:spacing w:before="240" w:after="0"/>
        <w:jc w:val="left"/>
        <w:rPr>
          <w:rFonts w:ascii="Times New Roman" w:hAnsi="Times New Roman"/>
          <w:sz w:val="20"/>
        </w:rPr>
      </w:pPr>
      <w:r>
        <w:rPr>
          <w:rFonts w:ascii="Times New Roman" w:hAnsi="Times New Roman"/>
          <w:sz w:val="20"/>
        </w:rPr>
        <w:t xml:space="preserve">Under Article 2 of Administrative Regulation no. 7/2006 (as amended pursuant to Administrative Regulation no. 17/2017) and the DICJ Instruction no. 1/2016 (as amended pursuant to DICJ Instruction no.1/2019), we are required to track and report transactions and granting of credit that are of MOP500,000 (equivalent to approximately US$62,159) or above. Pursuant to the legal requirements above, if the customer provides all required information, after submitting the reports, we may continue to deal with those customers that were reported to the DICJ and, in case of suspicious transactions, to the Macau Finance Information Bureau. </w:t>
      </w:r>
    </w:p>
    <w:p>
      <w:pPr>
        <w:pStyle w:val="TextBody"/>
        <w:spacing w:before="240" w:after="0"/>
        <w:jc w:val="left"/>
        <w:rPr>
          <w:rFonts w:ascii="Times New Roman" w:hAnsi="Times New Roman"/>
          <w:sz w:val="20"/>
        </w:rPr>
      </w:pPr>
      <w:r>
        <w:rPr>
          <w:rFonts w:ascii="Times New Roman" w:hAnsi="Times New Roman"/>
          <w:sz w:val="20"/>
        </w:rPr>
        <w:t xml:space="preserve">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Concession Contract. </w:t>
      </w:r>
    </w:p>
    <w:p>
      <w:pPr>
        <w:pStyle w:val="TextBody"/>
        <w:spacing w:before="240" w:after="0"/>
        <w:jc w:val="left"/>
        <w:rPr>
          <w:rFonts w:ascii="Times New Roman" w:hAnsi="Times New Roman"/>
          <w:sz w:val="20"/>
        </w:rPr>
      </w:pPr>
      <w:r>
        <w:rPr>
          <w:rFonts w:ascii="Times New Roman" w:hAnsi="Times New Roman"/>
          <w:sz w:val="20"/>
        </w:rPr>
        <w:t xml:space="preserve">We have developed a comprehensive anti-money laundering policy and related procedures covering our anti-money laundering responsibilities, which have been approved by the DICJ, and has training programs in place to ensure that all relevant employees understand such anti-money laundering policy and procedures. We also use an integrated IT system to track and automatically generate significant cash transaction reports and, as permitted by the DICJ and the Macau Finance Information Bureau, submit those reports electronically. </w:t>
      </w:r>
    </w:p>
    <w:p>
      <w:pPr>
        <w:pStyle w:val="TextBody"/>
        <w:spacing w:before="360" w:after="0"/>
        <w:jc w:val="left"/>
        <w:rPr>
          <w:rFonts w:ascii="Times New Roman" w:hAnsi="Times New Roman"/>
          <w:b/>
          <w:i/>
          <w:sz w:val="20"/>
        </w:rPr>
      </w:pPr>
      <w:r>
        <w:rPr>
          <w:rFonts w:ascii="Times New Roman" w:hAnsi="Times New Roman"/>
          <w:b/>
          <w:i/>
          <w:sz w:val="20"/>
        </w:rPr>
        <w:t xml:space="preserve">Responsible Gaming Regulations </w:t>
      </w:r>
    </w:p>
    <w:p>
      <w:pPr>
        <w:pStyle w:val="TextBody"/>
        <w:spacing w:before="120" w:after="0"/>
        <w:jc w:val="left"/>
        <w:rPr>
          <w:rFonts w:ascii="Times New Roman" w:hAnsi="Times New Roman"/>
          <w:sz w:val="20"/>
        </w:rPr>
      </w:pPr>
      <w:r>
        <w:rPr>
          <w:rFonts w:ascii="Times New Roman" w:hAnsi="Times New Roman"/>
          <w:sz w:val="20"/>
        </w:rPr>
        <w:t xml:space="preserve">On October 18, 2019, the DICJ issued Instruction no. 4/2019, which came into effect on December 27, 2019, setting out measures for the implementation of responsible gaming principles. Under this instruction, 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self-exclusion and exclusion at third party request procedures, off-duty gaming related employees entry restriction procedures, physical entry requirements, preventive measures for restricted access by persons under 21 years of age; public exhibition of time; creation and training of teams and a coordinator responsible for promoting responsible gambling. </w:t>
      </w:r>
    </w:p>
    <w:p>
      <w:pPr>
        <w:pStyle w:val="TextBody"/>
        <w:spacing w:before="240" w:after="0"/>
        <w:jc w:val="left"/>
        <w:rPr>
          <w:rFonts w:ascii="Times New Roman" w:hAnsi="Times New Roman"/>
          <w:sz w:val="20"/>
        </w:rPr>
      </w:pPr>
      <w:r>
        <w:rPr>
          <w:rFonts w:ascii="Times New Roman" w:hAnsi="Times New Roman"/>
          <w:sz w:val="20"/>
        </w:rPr>
        <w:t xml:space="preserve">Law no. 16/2001, as amended in June 2022 pursuant to Law no. 7/2022, or the Macau Gaming Operations Law, also sets out responsible gaming obligations, including the obligation of the concessionaires to prepare a plan for the promotion of responsible gaming, as well as to adopt measures that allow the public, including tourists, to have sufficient information to assume a responsible, moderate and controlled posture towards gaming. These measures include providing players with information about responsible gaming behaviors, as well as about gaming dependency and addiction issues, including the information on responsible gaming; adequate measures to ensure the prohibition of entry into casinos of those to whom access is prohibited; information on the dissemination of the measure of interdiction of entry in casino upon request, as well as the means of submitting such request; creation of a specialized gaming group to provide adequate assistance and counseling services to those in need; and training and recycling actions on responsible gaming aimed at employees, as well as counselling services. Furthermore, the concessionaires must annually submit to the DICJ a report on the execution of the plan for the promotion of responsible gaming of such year, as well as a plan for the promotion of responsible gaming for the subsequent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Control of Cross-border Transportation of Cash Regulations </w:t>
      </w:r>
    </w:p>
    <w:p>
      <w:pPr>
        <w:pStyle w:val="TextBody"/>
        <w:spacing w:before="120" w:after="0"/>
        <w:jc w:val="left"/>
        <w:rPr>
          <w:rFonts w:ascii="Times New Roman" w:hAnsi="Times New Roman"/>
          <w:sz w:val="20"/>
        </w:rPr>
      </w:pPr>
      <w:r>
        <w:rPr>
          <w:rFonts w:ascii="Times New Roman" w:hAnsi="Times New Roman"/>
          <w:sz w:val="20"/>
        </w:rPr>
        <w:t xml:space="preserve">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US$14,918)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US$124) and not exceeding MOP500,000 (equivalent to approximately US$62,159)).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Operating in the Gaming Industry in Macau — Our gaming operations in Macau could be adversely affected by restrictions on the export of the Renminbi and any unfavorable fluctuations in the currency exchange rates of the Renminbi.” </w:t>
      </w:r>
    </w:p>
    <w:p>
      <w:pPr>
        <w:pStyle w:val="TextBody"/>
        <w:spacing w:before="360" w:after="0"/>
        <w:jc w:val="left"/>
        <w:rPr>
          <w:rFonts w:ascii="Times New Roman" w:hAnsi="Times New Roman"/>
          <w:b/>
          <w:i/>
          <w:sz w:val="20"/>
        </w:rPr>
      </w:pPr>
      <w:r>
        <w:rPr>
          <w:rFonts w:ascii="Times New Roman" w:hAnsi="Times New Roman"/>
          <w:b/>
          <w:i/>
          <w:sz w:val="20"/>
        </w:rPr>
        <w:t xml:space="preserve">Prevention and Suppression of Corruption in External Trade Regulations </w:t>
      </w:r>
    </w:p>
    <w:p>
      <w:pPr>
        <w:pStyle w:val="TextBody"/>
        <w:spacing w:before="120" w:after="0"/>
        <w:jc w:val="left"/>
        <w:rPr>
          <w:rFonts w:ascii="Times New Roman" w:hAnsi="Times New Roman"/>
          <w:sz w:val="20"/>
        </w:rPr>
      </w:pPr>
      <w:r>
        <w:rPr>
          <w:rFonts w:ascii="Times New Roman" w:hAnsi="Times New Roman"/>
          <w:sz w:val="20"/>
        </w:rPr>
        <w:t xml:space="preserve">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 </w:t>
      </w:r>
    </w:p>
    <w:p>
      <w:pPr>
        <w:pStyle w:val="TextBody"/>
        <w:spacing w:before="360" w:after="0"/>
        <w:jc w:val="left"/>
        <w:rPr>
          <w:rFonts w:ascii="Times New Roman" w:hAnsi="Times New Roman"/>
          <w:b/>
          <w:i/>
          <w:sz w:val="20"/>
        </w:rPr>
      </w:pPr>
      <w:r>
        <w:rPr>
          <w:rFonts w:ascii="Times New Roman" w:hAnsi="Times New Roman"/>
          <w:b/>
          <w:i/>
          <w:sz w:val="20"/>
        </w:rPr>
        <w:t xml:space="preserve">Asset Freezing Enforcement Regulations </w:t>
      </w:r>
    </w:p>
    <w:p>
      <w:pPr>
        <w:pStyle w:val="TextBody"/>
        <w:spacing w:before="120" w:after="0"/>
        <w:jc w:val="left"/>
        <w:rPr>
          <w:rFonts w:ascii="Times New Roman" w:hAnsi="Times New Roman"/>
          <w:sz w:val="20"/>
        </w:rPr>
      </w:pPr>
      <w:r>
        <w:rPr>
          <w:rFonts w:ascii="Times New Roman" w:hAnsi="Times New Roman"/>
          <w:sz w:val="20"/>
        </w:rPr>
        <w:t xml:space="preserve">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concessionaires are subject to certain obligations and duties regarding the freezing of assets ordered by the United Nations Security Council sanctions resolutions, including reporting and cooperation obligations. </w:t>
      </w:r>
    </w:p>
    <w:p>
      <w:pPr>
        <w:pStyle w:val="TextBody"/>
        <w:spacing w:before="360" w:after="0"/>
        <w:jc w:val="left"/>
        <w:rPr>
          <w:rFonts w:ascii="Times New Roman" w:hAnsi="Times New Roman"/>
          <w:b/>
          <w:i/>
          <w:sz w:val="20"/>
        </w:rPr>
      </w:pPr>
      <w:r>
        <w:rPr>
          <w:rFonts w:ascii="Times New Roman" w:hAnsi="Times New Roman"/>
          <w:b/>
          <w:i/>
          <w:sz w:val="20"/>
        </w:rPr>
        <w:t xml:space="preserve">Foreign Exchange Regulations </w:t>
      </w:r>
    </w:p>
    <w:p>
      <w:pPr>
        <w:pStyle w:val="TextBody"/>
        <w:spacing w:before="120" w:after="0"/>
        <w:jc w:val="left"/>
        <w:rPr>
          <w:rFonts w:ascii="Times New Roman" w:hAnsi="Times New Roman"/>
          <w:sz w:val="20"/>
        </w:rPr>
      </w:pPr>
      <w:r>
        <w:rPr>
          <w:rFonts w:ascii="Times New Roman" w:hAnsi="Times New Roman"/>
          <w:sz w:val="20"/>
        </w:rPr>
        <w:t xml:space="preserve">Concessionaires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 </w:t>
      </w:r>
    </w:p>
    <w:p>
      <w:pPr>
        <w:pStyle w:val="TextBody"/>
        <w:spacing w:before="360" w:after="0"/>
        <w:jc w:val="left"/>
        <w:rPr>
          <w:rFonts w:ascii="Times New Roman" w:hAnsi="Times New Roman"/>
          <w:b/>
          <w:i/>
          <w:sz w:val="20"/>
        </w:rPr>
      </w:pPr>
      <w:r>
        <w:rPr>
          <w:rFonts w:ascii="Times New Roman" w:hAnsi="Times New Roman"/>
          <w:b/>
          <w:i/>
          <w:sz w:val="20"/>
        </w:rPr>
        <w:t xml:space="preserve">Intellectual Property Rights Regulations </w:t>
      </w:r>
    </w:p>
    <w:p>
      <w:pPr>
        <w:pStyle w:val="TextBody"/>
        <w:spacing w:before="120" w:after="0"/>
        <w:jc w:val="left"/>
        <w:rPr>
          <w:rFonts w:ascii="Times New Roman" w:hAnsi="Times New Roman"/>
          <w:sz w:val="20"/>
        </w:rPr>
      </w:pPr>
      <w:r>
        <w:rPr>
          <w:rFonts w:ascii="Times New Roman" w:hAnsi="Times New Roman"/>
          <w:sz w:val="20"/>
        </w:rPr>
        <w:t xml:space="preserve">Our subsidiaries incorporated in Macau are subject to local intellectual property regulations. Intellectual property protection in Macau is supervised by the Intellectual Property Department of the Economic and Technological Development Bureau of the Macau government. </w:t>
      </w:r>
    </w:p>
    <w:p>
      <w:pPr>
        <w:pStyle w:val="TextBody"/>
        <w:spacing w:before="240" w:after="0"/>
        <w:jc w:val="left"/>
        <w:rPr>
          <w:rFonts w:ascii="Times New Roman" w:hAnsi="Times New Roman"/>
          <w:sz w:val="20"/>
        </w:rPr>
      </w:pPr>
      <w:r>
        <w:rPr>
          <w:rFonts w:ascii="Times New Roman" w:hAnsi="Times New Roman"/>
          <w:sz w:val="20"/>
        </w:rPr>
        <w:t xml:space="preserve">The applicable regime in Macau with regard to intellectual property rights is defined by two main laws. The Industrial Property Code (Decree-Law no. 97/99/M, as amended pursuant to Law no. 11/2001), covers (i) inventions meeting the patentability requirements; (ii) semiconductor topography products; (iii) trademarks;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and Operations — A failure to establish and protect our intellectual property rights could have an adverse effect on our business, financial condition and results of operations.” </w:t>
      </w:r>
    </w:p>
    <w:p>
      <w:pPr>
        <w:pStyle w:val="TextBody"/>
        <w:spacing w:before="360" w:after="0"/>
        <w:jc w:val="left"/>
        <w:rPr>
          <w:rFonts w:ascii="Times New Roman" w:hAnsi="Times New Roman"/>
          <w:b/>
          <w:i/>
          <w:sz w:val="20"/>
        </w:rPr>
      </w:pPr>
      <w:r>
        <w:rPr>
          <w:rFonts w:ascii="Times New Roman" w:hAnsi="Times New Roman"/>
          <w:b/>
          <w:i/>
          <w:sz w:val="20"/>
        </w:rPr>
        <w:t xml:space="preserve">Personal Data Regulations </w:t>
      </w:r>
    </w:p>
    <w:p>
      <w:pPr>
        <w:pStyle w:val="TextBody"/>
        <w:spacing w:before="120" w:after="0"/>
        <w:jc w:val="left"/>
        <w:rPr>
          <w:rFonts w:ascii="Times New Roman" w:hAnsi="Times New Roman"/>
          <w:sz w:val="20"/>
        </w:rPr>
      </w:pPr>
      <w:r>
        <w:rPr>
          <w:rFonts w:ascii="Times New Roman" w:hAnsi="Times New Roman"/>
          <w:sz w:val="20"/>
        </w:rPr>
        <w:t xml:space="preserve">Processing of personal data by our subsidiaries in Macau is subject to compliance with the Personal Data Protection Act (Law no. 8/2005), in the case of Melco Resorts Macau, any instructions issued by DICJ from time to time. The Office for Personal Data Protection, or GPDP, is the regulatory authority in Macau specially in charge of supervising and enforcing the Personal Data Protection Act. Breaches are subject to civil liability, administrative and criminal sanctions. </w:t>
      </w:r>
    </w:p>
    <w:p>
      <w:pPr>
        <w:pStyle w:val="TextBody"/>
        <w:spacing w:before="240" w:after="0"/>
        <w:jc w:val="left"/>
        <w:rPr>
          <w:rFonts w:ascii="Times New Roman" w:hAnsi="Times New Roman"/>
          <w:sz w:val="20"/>
        </w:rPr>
      </w:pPr>
      <w:r>
        <w:rPr>
          <w:rFonts w:ascii="Times New Roman" w:hAnsi="Times New Roman"/>
          <w:sz w:val="20"/>
        </w:rPr>
        <w:t xml:space="preserve">The legal framework and the instructions issued by DICJ require that certain procedures must be adopted before collecting, processing and/or transferring personal data, including obtaining consent from the data subject and/or notifying or requesting authorization from the GPDP and/or DICJ, as applicable, prior to processing personal data. </w:t>
      </w:r>
    </w:p>
    <w:p>
      <w:pPr>
        <w:pStyle w:val="TextBody"/>
        <w:spacing w:before="360" w:after="0"/>
        <w:jc w:val="left"/>
        <w:rPr>
          <w:rFonts w:ascii="Times New Roman" w:hAnsi="Times New Roman"/>
          <w:b/>
          <w:i/>
          <w:sz w:val="20"/>
        </w:rPr>
      </w:pPr>
      <w:r>
        <w:rPr>
          <w:rFonts w:ascii="Times New Roman" w:hAnsi="Times New Roman"/>
          <w:b/>
          <w:i/>
          <w:sz w:val="20"/>
        </w:rPr>
        <w:t xml:space="preserve">Cybersecurity Regulations </w:t>
      </w:r>
    </w:p>
    <w:p>
      <w:pPr>
        <w:pStyle w:val="TextBody"/>
        <w:spacing w:before="120" w:after="0"/>
        <w:jc w:val="left"/>
        <w:rPr>
          <w:rFonts w:ascii="Times New Roman" w:hAnsi="Times New Roman"/>
          <w:sz w:val="20"/>
        </w:rPr>
      </w:pPr>
      <w:r>
        <w:rPr>
          <w:rFonts w:ascii="Times New Roman" w:hAnsi="Times New Roman"/>
          <w:sz w:val="20"/>
        </w:rPr>
        <w:t xml:space="preserve">Law no. 13/2019, the Cybersecurity Law came into effect on December 21, 2019 and is intended to protect networks, systems and data of public and private operators of critical infra-structures, among which operators of games of chance in casino are included. </w:t>
      </w:r>
    </w:p>
    <w:p>
      <w:pPr>
        <w:pStyle w:val="TextBody"/>
        <w:spacing w:before="240" w:after="0"/>
        <w:jc w:val="left"/>
        <w:rPr>
          <w:rFonts w:ascii="Times New Roman" w:hAnsi="Times New Roman"/>
          <w:sz w:val="20"/>
        </w:rPr>
      </w:pPr>
      <w:r>
        <w:rPr>
          <w:rFonts w:ascii="Times New Roman" w:hAnsi="Times New Roman"/>
          <w:sz w:val="20"/>
        </w:rPr>
        <w:t xml:space="preserve">The cybersecurity system is composed of a Cybersecurity Commission, a Cybersecurity Alert and Response Incident Centre (“CARIC”) and cybersecurity supervisory entities. </w:t>
      </w:r>
    </w:p>
    <w:p>
      <w:pPr>
        <w:pStyle w:val="TextBody"/>
        <w:spacing w:before="240" w:after="0"/>
        <w:jc w:val="left"/>
        <w:rPr>
          <w:rFonts w:ascii="Times New Roman" w:hAnsi="Times New Roman"/>
          <w:sz w:val="20"/>
        </w:rPr>
      </w:pPr>
      <w:r>
        <w:rPr>
          <w:rFonts w:ascii="Times New Roman" w:hAnsi="Times New Roman"/>
          <w:sz w:val="20"/>
        </w:rPr>
        <w:t xml:space="preserve">Among other duties, private infrastructure operators are required to appoint a suitable and experienced person to be responsible for handling its cybersecurity and to be permanently reachable by CARIC, create a cybersecurity department, implement adequate internal cybersecurity procedures, conduct evaluations of its networks’ security and risks, submit annual reports to their supervisory entity and inform CARIC and the respective supervisory entity of any cybersecurity incidents. </w:t>
      </w:r>
    </w:p>
    <w:p>
      <w:pPr>
        <w:pStyle w:val="TextBody"/>
        <w:spacing w:before="240" w:after="0"/>
        <w:jc w:val="left"/>
        <w:rPr>
          <w:rFonts w:ascii="Times New Roman" w:hAnsi="Times New Roman"/>
          <w:sz w:val="20"/>
        </w:rPr>
      </w:pPr>
      <w:r>
        <w:rPr>
          <w:rFonts w:ascii="Times New Roman" w:hAnsi="Times New Roman"/>
          <w:sz w:val="20"/>
        </w:rPr>
        <w:t xml:space="preserve">Additional regulations have been enacted to further determine and detail how the above-mentioned obligations are to be fulfilled. </w:t>
      </w:r>
    </w:p>
    <w:p>
      <w:pPr>
        <w:pStyle w:val="TextBody"/>
        <w:spacing w:before="360" w:after="0"/>
        <w:jc w:val="left"/>
        <w:rPr>
          <w:rFonts w:ascii="Times New Roman" w:hAnsi="Times New Roman"/>
          <w:b/>
          <w:i/>
          <w:sz w:val="20"/>
        </w:rPr>
      </w:pPr>
      <w:r>
        <w:rPr>
          <w:rFonts w:ascii="Times New Roman" w:hAnsi="Times New Roman"/>
          <w:b/>
          <w:i/>
          <w:sz w:val="20"/>
        </w:rPr>
        <w:t xml:space="preserve">Labor Quotas Regulations </w:t>
      </w:r>
    </w:p>
    <w:p>
      <w:pPr>
        <w:pStyle w:val="TextBody"/>
        <w:spacing w:before="120" w:after="0"/>
        <w:jc w:val="left"/>
        <w:rPr>
          <w:rFonts w:ascii="Times New Roman" w:hAnsi="Times New Roman"/>
          <w:sz w:val="20"/>
        </w:rPr>
      </w:pPr>
      <w:r>
        <w:rPr>
          <w:rFonts w:ascii="Times New Roman" w:hAnsi="Times New Roman"/>
          <w:sz w:val="20"/>
        </w:rPr>
        <w:t xml:space="preserve">All businesses in Macau must apply to the Labor Affairs Bureau for labor quotas to import non-resident unskilled workers from the PRC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We have, through our subsidiaries, two main groups of labor quotas in Macau, one to import non-skilled workers from the PRC and the other to import non-skilled workers from all other countries. Melco Resorts Macau is not currently allowed to hire non-Macau resident dealers and supervisors under the Macau government’s policy. </w:t>
      </w:r>
    </w:p>
    <w:p>
      <w:pPr>
        <w:pStyle w:val="TextBody"/>
        <w:spacing w:before="240" w:after="0"/>
        <w:jc w:val="left"/>
        <w:rPr>
          <w:rFonts w:ascii="Times New Roman" w:hAnsi="Times New Roman"/>
          <w:sz w:val="20"/>
        </w:rPr>
      </w:pPr>
      <w:r>
        <w:rPr>
          <w:rFonts w:ascii="Times New Roman" w:hAnsi="Times New Roman"/>
          <w:sz w:val="20"/>
        </w:rPr>
        <w:t xml:space="preserve">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illnesses for all employees.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Minimum Salary Regulations </w:t>
      </w:r>
    </w:p>
    <w:p>
      <w:pPr>
        <w:pStyle w:val="TextBody"/>
        <w:spacing w:before="120" w:after="0"/>
        <w:jc w:val="left"/>
        <w:rPr>
          <w:rFonts w:ascii="Times New Roman" w:hAnsi="Times New Roman"/>
          <w:sz w:val="20"/>
        </w:rPr>
      </w:pPr>
      <w:r>
        <w:rPr>
          <w:rFonts w:ascii="Times New Roman" w:hAnsi="Times New Roman"/>
          <w:sz w:val="20"/>
        </w:rPr>
        <w:t xml:space="preserve">On April 27, 2020, Law no. 5/2020, with respect to minimum salary, was enacted. Such law came into effect on November 1, 2020. In accordance with such law, the monthly minimum salary in Macau is MOP6,656 (equivalent to approximately US$827) per month (excluding overtime, night and shift allowances and regular bonus related payments). The minimum salary requirement applies to all workers in Macau, except domestic helpers and special needs workers. </w:t>
      </w:r>
    </w:p>
    <w:p>
      <w:pPr>
        <w:pStyle w:val="TextBody"/>
        <w:spacing w:before="360" w:after="0"/>
        <w:jc w:val="left"/>
        <w:rPr>
          <w:rFonts w:ascii="Times New Roman" w:hAnsi="Times New Roman"/>
          <w:b/>
          <w:i/>
          <w:sz w:val="20"/>
        </w:rPr>
      </w:pPr>
      <w:r>
        <w:rPr>
          <w:rFonts w:ascii="Times New Roman" w:hAnsi="Times New Roman"/>
          <w:b/>
          <w:i/>
          <w:sz w:val="20"/>
        </w:rPr>
        <w:t xml:space="preserve">Land Regulations </w:t>
      </w:r>
    </w:p>
    <w:p>
      <w:pPr>
        <w:pStyle w:val="TextBody"/>
        <w:spacing w:before="120" w:after="0"/>
        <w:jc w:val="left"/>
        <w:rPr>
          <w:rFonts w:ascii="Times New Roman" w:hAnsi="Times New Roman"/>
          <w:sz w:val="20"/>
        </w:rPr>
      </w:pPr>
      <w:r>
        <w:rPr>
          <w:rFonts w:ascii="Times New Roman" w:hAnsi="Times New Roman"/>
          <w:sz w:val="20"/>
        </w:rPr>
        <w:t xml:space="preserve">Land in Macau is legally divided into plots. In most cases, private interests in real property located in Macau are obtained through long-term leases from the Macau government. </w:t>
      </w:r>
    </w:p>
    <w:p>
      <w:pPr>
        <w:pStyle w:val="TextBody"/>
        <w:spacing w:before="240" w:after="0"/>
        <w:jc w:val="left"/>
        <w:rPr>
          <w:rFonts w:ascii="Times New Roman" w:hAnsi="Times New Roman"/>
          <w:sz w:val="20"/>
        </w:rPr>
      </w:pPr>
      <w:r>
        <w:rPr>
          <w:rFonts w:ascii="Times New Roman" w:hAnsi="Times New Roman"/>
          <w:sz w:val="20"/>
        </w:rPr>
        <w:t xml:space="preserve">Our subsidiaries have entered into land concession contracts for the land on which our Altira Macau, City of Dreams and Studio City properties are located. Each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 </w:t>
      </w:r>
    </w:p>
    <w:p>
      <w:pPr>
        <w:pStyle w:val="TextBody"/>
        <w:spacing w:before="240" w:after="0"/>
        <w:jc w:val="left"/>
        <w:rPr>
          <w:rFonts w:ascii="Times New Roman" w:hAnsi="Times New Roman"/>
          <w:sz w:val="20"/>
        </w:rPr>
      </w:pPr>
      <w:r>
        <w:rPr>
          <w:rFonts w:ascii="Times New Roman" w:hAnsi="Times New Roman"/>
          <w:sz w:val="20"/>
        </w:rPr>
        <w:t xml:space="preserve">The land is initially granted on a provisional basis and registered as such with the Macau Real Property Registry and only upon completion of the development is the land concession converted into definitive status and so registered with the Macau Real Property Registry. </w:t>
      </w:r>
    </w:p>
    <w:p>
      <w:pPr>
        <w:pStyle w:val="TextBody"/>
        <w:spacing w:before="360" w:after="0"/>
        <w:jc w:val="left"/>
        <w:rPr>
          <w:rFonts w:ascii="Times New Roman" w:hAnsi="Times New Roman"/>
          <w:b/>
          <w:i/>
          <w:sz w:val="20"/>
        </w:rPr>
      </w:pPr>
      <w:r>
        <w:rPr>
          <w:rFonts w:ascii="Times New Roman" w:hAnsi="Times New Roman"/>
          <w:b/>
          <w:i/>
          <w:sz w:val="20"/>
        </w:rPr>
        <w:t xml:space="preserve">Restrictions on Distribution of Profits Regulations </w:t>
      </w:r>
    </w:p>
    <w:p>
      <w:pPr>
        <w:pStyle w:val="TextBody"/>
        <w:spacing w:before="120" w:after="0"/>
        <w:jc w:val="left"/>
        <w:rPr>
          <w:rFonts w:ascii="Times New Roman" w:hAnsi="Times New Roman"/>
          <w:sz w:val="20"/>
        </w:rPr>
      </w:pPr>
      <w:r>
        <w:rPr>
          <w:rFonts w:ascii="Times New Roman" w:hAnsi="Times New Roman"/>
          <w:sz w:val="20"/>
        </w:rPr>
        <w:t xml:space="preserve">All subsidiaries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 of directors or the shareholders (as applicable) of the relevant subsidiaries. </w:t>
      </w:r>
    </w:p>
    <w:p>
      <w:pPr>
        <w:pStyle w:val="TextBody"/>
        <w:spacing w:before="240" w:after="0"/>
        <w:jc w:val="left"/>
        <w:rPr>
          <w:rFonts w:ascii="Times New Roman" w:hAnsi="Times New Roman"/>
          <w:sz w:val="20"/>
        </w:rPr>
      </w:pPr>
      <w:r>
        <w:rPr>
          <w:rFonts w:ascii="Times New Roman" w:hAnsi="Times New Roman"/>
          <w:sz w:val="20"/>
        </w:rPr>
        <w:t xml:space="preserve">As of December 31, 2022, the aggregate balance of the reserves of all of our Macau subsidiaries amounted to US$31.5 million. </w:t>
      </w:r>
    </w:p>
    <w:p>
      <w:pPr>
        <w:pStyle w:val="TextBody"/>
        <w:spacing w:before="360" w:after="0"/>
        <w:jc w:val="left"/>
        <w:rPr>
          <w:rFonts w:ascii="Times New Roman" w:hAnsi="Times New Roman"/>
          <w:b/>
          <w:i/>
          <w:sz w:val="20"/>
        </w:rPr>
      </w:pPr>
      <w:r>
        <w:rPr>
          <w:rFonts w:ascii="Times New Roman" w:hAnsi="Times New Roman"/>
          <w:b/>
          <w:i/>
          <w:sz w:val="20"/>
        </w:rPr>
        <w:t xml:space="preserve">Philippines Regulations </w:t>
      </w:r>
    </w:p>
    <w:p>
      <w:pPr>
        <w:pStyle w:val="TextBody"/>
        <w:spacing w:before="120" w:after="0"/>
        <w:jc w:val="left"/>
        <w:rPr>
          <w:rFonts w:ascii="Times New Roman" w:hAnsi="Times New Roman"/>
          <w:b/>
          <w:i/>
          <w:sz w:val="20"/>
        </w:rPr>
      </w:pPr>
      <w:r>
        <w:rPr>
          <w:rFonts w:ascii="Times New Roman" w:hAnsi="Times New Roman"/>
          <w:b/>
          <w:i/>
          <w:sz w:val="20"/>
        </w:rPr>
        <w:t xml:space="preserve">Gaming Regulations </w:t>
      </w:r>
    </w:p>
    <w:p>
      <w:pPr>
        <w:pStyle w:val="TextBody"/>
        <w:spacing w:before="120" w:after="0"/>
        <w:jc w:val="left"/>
        <w:rPr>
          <w:rFonts w:ascii="Times New Roman" w:hAnsi="Times New Roman"/>
          <w:sz w:val="20"/>
        </w:rPr>
      </w:pPr>
      <w:r>
        <w:rPr>
          <w:rFonts w:ascii="Times New Roman" w:hAnsi="Times New Roman"/>
          <w:sz w:val="20"/>
        </w:rPr>
        <w:t xml:space="preserve">Melco Philippine Parties and Philippine Parties are co-licensees of the Philippine License dated April 29, 2015 issued by PAGCOR (previously the Provisional License) for the development of an integrated casino, hotel, retail and entertainment complex within the Entertainment City, Manila. As one of the Philippine Licensees, Melco Resorts Leisure has been named as the special purpose entity to operate the casino business and act as the sole and exclusive representative of the Philippine Licensees for the purposes of the Philippine License. The Philippine License is one of the four licenses granted to various parties to develop integrated tourism resorts and establish and operate casinos in Entertainment City. </w:t>
      </w:r>
    </w:p>
    <w:p>
      <w:pPr>
        <w:pStyle w:val="TextBody"/>
        <w:spacing w:before="240" w:after="0"/>
        <w:jc w:val="left"/>
        <w:rPr>
          <w:rFonts w:ascii="Times New Roman" w:hAnsi="Times New Roman"/>
          <w:sz w:val="20"/>
        </w:rPr>
      </w:pPr>
      <w:r>
        <w:rPr>
          <w:rFonts w:ascii="Times New Roman" w:hAnsi="Times New Roman"/>
          <w:sz w:val="20"/>
        </w:rPr>
        <w:t xml:space="preserve">The Casino Regulatory Manual (CRM) was originally issued in January 2013 by PAGCOR for the guidance of the Entertainment City licensees. It was developed to meet the following objectives of PAGCOR: (a) to ensure a level playing field among industry proponents; (b) maintain the orderly and predictable environment; (c) enforce license terms and conditions; (d) promote fairness and integrity in the conduct 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games; (e) provide an underlying platform for responsible gaming; (f) disallow access to gaming venues by minors and financially vulnerable persons; and (g) prevent licensed gaming venues from being used for illegal activities. </w:t>
      </w:r>
    </w:p>
    <w:p>
      <w:pPr>
        <w:pStyle w:val="TextBody"/>
        <w:spacing w:before="240" w:after="0"/>
        <w:jc w:val="left"/>
        <w:rPr>
          <w:rFonts w:ascii="Times New Roman" w:hAnsi="Times New Roman"/>
          <w:sz w:val="20"/>
        </w:rPr>
      </w:pPr>
      <w:r>
        <w:rPr>
          <w:rFonts w:ascii="Times New Roman" w:hAnsi="Times New Roman"/>
          <w:sz w:val="20"/>
        </w:rPr>
        <w:t xml:space="preserve">The CRM contains regulations and standards that the Entertainment City licensees, including City of Dreams Manila, should adhere to and observe. It should be read in conjunction with the Philippine License. It contains regulations on areas such as, but not limited to: casino layout, table games and electronic gaming machines, casino management systems, surveillance, gaming chips and plaques, procurement of gaming equipment and gaming paraphernalia as well as the accreditation of suppliers thereof, casino operational rules and guidelines, conduct of gaming, casino player incentives, marketing and promotions, chipwashing and junket operations, banned personalities, determination of gross gaming revenues for table games, electronic gaming machines and other fees; and determination, collection and remittance of PAGCOR license fees. The CRM is revised from time to time to incorporate changes and revisions to the CRM proposed by any of the Entertainment City licensees and approved by PAGCOR. To date, the CRM is now on its fourth (4th) version. </w:t>
      </w:r>
    </w:p>
    <w:p>
      <w:pPr>
        <w:pStyle w:val="TextBody"/>
        <w:spacing w:before="240" w:after="0"/>
        <w:jc w:val="left"/>
        <w:rPr>
          <w:rFonts w:ascii="Times New Roman" w:hAnsi="Times New Roman"/>
          <w:sz w:val="20"/>
        </w:rPr>
      </w:pPr>
      <w:r>
        <w:rPr>
          <w:rFonts w:ascii="Times New Roman" w:hAnsi="Times New Roman"/>
          <w:sz w:val="20"/>
        </w:rPr>
        <w:t xml:space="preserve">The ownership and operation of casino gaming facilities in the Philippines are subject to the regulatory supervision of PAGCOR. See “— Gaming Licenses — PAGCOR Licenses in the Philippines” below for more details. </w:t>
      </w:r>
    </w:p>
    <w:p>
      <w:pPr>
        <w:pStyle w:val="TextBody"/>
        <w:spacing w:before="360" w:after="0"/>
        <w:jc w:val="left"/>
        <w:rPr>
          <w:rFonts w:ascii="Times New Roman" w:hAnsi="Times New Roman"/>
          <w:b/>
          <w:i/>
          <w:sz w:val="20"/>
        </w:rPr>
      </w:pPr>
      <w:r>
        <w:rPr>
          <w:rFonts w:ascii="Times New Roman" w:hAnsi="Times New Roman"/>
          <w:b/>
          <w:i/>
          <w:sz w:val="20"/>
        </w:rPr>
        <w:t xml:space="preserve">Anti-Money Laundering Regulations in the Philippines </w:t>
      </w:r>
    </w:p>
    <w:p>
      <w:pPr>
        <w:pStyle w:val="TextBody"/>
        <w:spacing w:before="120" w:after="0"/>
        <w:jc w:val="left"/>
        <w:rPr>
          <w:rFonts w:ascii="Times New Roman" w:hAnsi="Times New Roman"/>
          <w:sz w:val="20"/>
        </w:rPr>
      </w:pPr>
      <w:r>
        <w:rPr>
          <w:rFonts w:ascii="Times New Roman" w:hAnsi="Times New Roman"/>
          <w:sz w:val="20"/>
        </w:rPr>
        <w:t xml:space="preserve">The Philippine AMLA criminalized money laundering and imposed certain requirements on customer identification, record keeping, and reporting of covered and suspicious transactions by covered persons as defined under the law. </w:t>
      </w:r>
    </w:p>
    <w:p>
      <w:pPr>
        <w:pStyle w:val="TextBody"/>
        <w:spacing w:before="240" w:after="0"/>
        <w:jc w:val="left"/>
        <w:rPr>
          <w:rFonts w:ascii="Times New Roman" w:hAnsi="Times New Roman"/>
          <w:sz w:val="20"/>
        </w:rPr>
      </w:pPr>
      <w:r>
        <w:rPr>
          <w:rFonts w:ascii="Times New Roman" w:hAnsi="Times New Roman"/>
          <w:sz w:val="20"/>
        </w:rPr>
        <w:t xml:space="preserve">Previously, City of Dreams Manila was covered by the Philippine AMLA only to a limited extent and was only required to report its foreign exchange transactions/money changer activities. However, with the new amendment to the existing Philippine AMLA, casinos are now included as covered persons subject to reporting and other requirements. Therefore, City of Dreams Manila, both in relation to its foreign exchange transactions/money changer activities, as well as its casino operations, is now required to report (i) transactions in cash or other equivalent monetary instrument involving a total amount in excess of PHP500,000 (equivalent to approximately US$8,910) within one (1) banking day, with respect to its foreign exchange transactions/money changer activities, and (ii) single casino cash transaction involving an amount in excess of PHP5,000,000 (equivalent to approximately US$89,095) or its equivalent in any other currency, with respect to its casino operations. Suspicious transactions, regardless of amount, are also required to be reported in connection with both its foreign exchange transactions/money changer activities and casino operations. </w:t>
      </w:r>
    </w:p>
    <w:p>
      <w:pPr>
        <w:pStyle w:val="TextBody"/>
        <w:spacing w:before="240" w:after="0"/>
        <w:jc w:val="left"/>
        <w:rPr>
          <w:rFonts w:ascii="Times New Roman" w:hAnsi="Times New Roman"/>
          <w:sz w:val="20"/>
        </w:rPr>
      </w:pPr>
      <w:r>
        <w:rPr>
          <w:rFonts w:ascii="Times New Roman" w:hAnsi="Times New Roman"/>
          <w:sz w:val="20"/>
        </w:rPr>
        <w:t xml:space="preserve">The Anti-Money Laundering Council and PAGCOR have also recently released regulations and guidelines on compliance and we have adjusted our anti-money laundering policies for our Philippine operations to these new rules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Environmental Laws </w:t>
      </w:r>
    </w:p>
    <w:p>
      <w:pPr>
        <w:pStyle w:val="TextBody"/>
        <w:spacing w:before="120" w:after="0"/>
        <w:jc w:val="left"/>
        <w:rPr>
          <w:rFonts w:ascii="Times New Roman" w:hAnsi="Times New Roman"/>
          <w:sz w:val="20"/>
        </w:rPr>
      </w:pPr>
      <w:r>
        <w:rPr>
          <w:rFonts w:ascii="Times New Roman" w:hAnsi="Times New Roman"/>
          <w:sz w:val="20"/>
        </w:rPr>
        <w:t xml:space="preserve">Development projects that are classified by law as Environmentally Critical Projects within statutorily defined Environmentally Critical Areas are required to obtain an Environmental Compliance Certificate (“ECC”) prior to commencement. </w:t>
      </w:r>
    </w:p>
    <w:p>
      <w:pPr>
        <w:pStyle w:val="TextBody"/>
        <w:spacing w:before="240" w:after="0"/>
        <w:jc w:val="left"/>
        <w:rPr>
          <w:rFonts w:ascii="Times New Roman" w:hAnsi="Times New Roman"/>
          <w:sz w:val="20"/>
        </w:rPr>
      </w:pPr>
      <w:r>
        <w:rPr>
          <w:rFonts w:ascii="Times New Roman" w:hAnsi="Times New Roman"/>
          <w:sz w:val="20"/>
        </w:rPr>
        <w:t xml:space="preserve">The Environmental Management Bureau of the Department of Environment and Natural Resources issued an ECC to Belle Corporation for City of Dreams Manila. Under the terms of its Philippine Economic Zone Authority registration, Melco Resorts Leisure is required, prior to the start of commercial operations of City of Dreams Manila, to either: (a) apply for an ECC with the Environmental Management Bureau of the Department of Environment and Natural Resources and submit an approved copy of the ECC 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Philippine Economic Zone Authority within 15 days from its issuance, or (b) submit the ECC issued to Belle Corporation, as the same may be amended to reflect any changes made to City of Dreams Manila, for the review and approval by the Philippine Economic Zone Authority. Accordingly, Belle Corporation applied for an Amended ECC to reflect the changes made to City of Dreams Manila. The Environmental Management Bureau of the Department of Environment and Natural Resources issued the Amended ECC to Belle Corporation on July 31, 2014. </w:t>
      </w:r>
    </w:p>
    <w:p>
      <w:pPr>
        <w:pStyle w:val="TextBody"/>
        <w:spacing w:before="360" w:after="0"/>
        <w:jc w:val="left"/>
        <w:rPr>
          <w:rFonts w:ascii="Times New Roman" w:hAnsi="Times New Roman"/>
          <w:b/>
          <w:i/>
          <w:sz w:val="20"/>
        </w:rPr>
      </w:pPr>
      <w:r>
        <w:rPr>
          <w:rFonts w:ascii="Times New Roman" w:hAnsi="Times New Roman"/>
          <w:b/>
          <w:i/>
          <w:sz w:val="20"/>
        </w:rPr>
        <w:t xml:space="preserve">Cyprus Regulations </w:t>
      </w:r>
    </w:p>
    <w:p>
      <w:pPr>
        <w:pStyle w:val="TextBody"/>
        <w:spacing w:before="120" w:after="0"/>
        <w:jc w:val="left"/>
        <w:rPr>
          <w:rFonts w:ascii="Times New Roman" w:hAnsi="Times New Roman"/>
          <w:b/>
          <w:i/>
          <w:sz w:val="20"/>
        </w:rPr>
      </w:pPr>
      <w:r>
        <w:rPr>
          <w:rFonts w:ascii="Times New Roman" w:hAnsi="Times New Roman"/>
          <w:b/>
          <w:i/>
          <w:sz w:val="20"/>
        </w:rPr>
        <w:t xml:space="preserve">Gaming Law and Regulations </w:t>
      </w:r>
    </w:p>
    <w:p>
      <w:pPr>
        <w:pStyle w:val="TextBody"/>
        <w:spacing w:before="120" w:after="0"/>
        <w:jc w:val="left"/>
        <w:rPr>
          <w:rFonts w:ascii="Times New Roman" w:hAnsi="Times New Roman"/>
          <w:sz w:val="20"/>
        </w:rPr>
      </w:pPr>
      <w:r>
        <w:rPr>
          <w:rFonts w:ascii="Times New Roman" w:hAnsi="Times New Roman"/>
          <w:sz w:val="20"/>
        </w:rPr>
        <w:t xml:space="preserve">The Cyprus Casino Operations and Control Law 2015 (“the Law”) and Casino Operations and Control Law (General) Regulations 2016 provide the main regulatory framework for the establishment, operation, function, supervision and control of casinos operating in Cyprus. The Law established The Cyprus Gaming and Casino Supervision Commission, known as the Cyprus Gaming Commission, in 2015. The Law also provided for a gaming license to be granted to a single operator, which was granted to Integrated Casino Resorts on June 26, 2017, to develop, operate and maintain an integrated casino resort in Limassol, Cyprus (and until the operation of such integrated casino resort, the operation of a temporary casino in Limassol) and up to four satellite casino premises in Cyprus, for a term of 30 years from the date of grant and with the right for exclusivity in Cyprus for the first 15 years of the term. These are the only lawful and regulated casino operations in Cyprus. The Cyprus Gaming Commission also issues binding directions to Integrated Casino Resorts concerning its operations from time to time. Such directions issued by the Cyprus Gaming Commission in the past cover casino advertising and promotions, anti-money laundering and combating the financing of terrorism, casino layout, casino surveillance, conduct of casino games and rules for games, use of agents for referrals of casino customers and the gaming equipment technical standards and others. </w:t>
      </w:r>
    </w:p>
    <w:p>
      <w:pPr>
        <w:pStyle w:val="TextBody"/>
        <w:spacing w:before="360" w:after="0"/>
        <w:jc w:val="left"/>
        <w:rPr>
          <w:rFonts w:ascii="Times New Roman" w:hAnsi="Times New Roman"/>
          <w:b/>
          <w:i/>
          <w:sz w:val="20"/>
        </w:rPr>
      </w:pPr>
      <w:r>
        <w:rPr>
          <w:rFonts w:ascii="Times New Roman" w:hAnsi="Times New Roman"/>
          <w:b/>
          <w:i/>
          <w:sz w:val="20"/>
        </w:rPr>
        <w:t xml:space="preserve">Anti-Money Laundering Law and Regulations </w:t>
      </w:r>
    </w:p>
    <w:p>
      <w:pPr>
        <w:pStyle w:val="TextBody"/>
        <w:spacing w:before="120" w:after="0"/>
        <w:jc w:val="left"/>
        <w:rPr>
          <w:rFonts w:ascii="Times New Roman" w:hAnsi="Times New Roman"/>
          <w:sz w:val="20"/>
        </w:rPr>
      </w:pPr>
      <w:r>
        <w:rPr>
          <w:rFonts w:ascii="Times New Roman" w:hAnsi="Times New Roman"/>
          <w:sz w:val="20"/>
        </w:rPr>
        <w:t xml:space="preserve">The Prevention and Suppression of Money Laundering Activities Laws of 2007 to 2021 (188(I)/2007) N. 61(I)/2021 (“Cyprus AML Law”) transposed the European Union’s Fifth AML Directive 2018/843 into national law of Cyprus. The CGC also issued an updated anti-money laundering Direction in December 2021 which requires us to implement more compliance measures, primarily to meet additional obligations relating to our monitoring and control obligations and CGC reporting requirements. The principal objectives of the Cyprus AML Law are to prevent the laundering of proceeds of serious criminal offences (“predicate offences”), including terrorist financing and related activities, to detect and prosecute money laundering activities and to provide for the restraint and confiscation of illicit funds. The law makes money laundering or assisting in it a criminal offense and establishes a Unit for Combating Money Laundering (MOKAS). </w:t>
      </w:r>
    </w:p>
    <w:p>
      <w:pPr>
        <w:pStyle w:val="TextBody"/>
        <w:spacing w:before="240" w:after="0"/>
        <w:jc w:val="left"/>
        <w:rPr>
          <w:rFonts w:ascii="Times New Roman" w:hAnsi="Times New Roman"/>
          <w:sz w:val="20"/>
        </w:rPr>
      </w:pPr>
      <w:r>
        <w:rPr>
          <w:rFonts w:ascii="Times New Roman" w:hAnsi="Times New Roman"/>
          <w:sz w:val="20"/>
        </w:rPr>
        <w:t xml:space="preserve">Casino operators are an obliged entity under the Cyprus AML Law. Integrated Casino Resorts is therefore required to have procedures in place for customer due diligence, recordkeeping and internal reporting and to appoint an appropriate person as money laundering compliance officer. The Cyprus AML Law also contains powers of MOKAS to confiscate the assets of persons who are convicted of a predicate offence and to restrain the assets of such persons and of persons who are reasonably suspected of involvement in money laundering activities. In addition, there are a number of regulations related to anti-corruption, anti-bribery, anti-money laundering and sanctions. The CGC also has supervisory powers for anti-money laundering and combating the financing of terrorism. </w:t>
      </w:r>
    </w:p>
    <w:p>
      <w:pPr>
        <w:pStyle w:val="TextBody"/>
        <w:spacing w:before="360" w:after="0"/>
        <w:jc w:val="left"/>
        <w:rPr>
          <w:rFonts w:ascii="Times New Roman" w:hAnsi="Times New Roman"/>
          <w:b/>
          <w:i/>
          <w:sz w:val="20"/>
        </w:rPr>
      </w:pPr>
      <w:r>
        <w:rPr>
          <w:rFonts w:ascii="Times New Roman" w:hAnsi="Times New Roman"/>
          <w:b/>
          <w:i/>
          <w:sz w:val="20"/>
        </w:rPr>
        <w:t xml:space="preserve">European Union (EU)’s General Data Protection Regulation </w:t>
      </w:r>
    </w:p>
    <w:p>
      <w:pPr>
        <w:pStyle w:val="TextBody"/>
        <w:spacing w:before="120" w:after="0"/>
        <w:jc w:val="left"/>
        <w:rPr>
          <w:rFonts w:ascii="Times New Roman" w:hAnsi="Times New Roman"/>
          <w:sz w:val="20"/>
        </w:rPr>
      </w:pPr>
      <w:r>
        <w:rPr>
          <w:rFonts w:ascii="Times New Roman" w:hAnsi="Times New Roman"/>
          <w:sz w:val="20"/>
        </w:rPr>
        <w:t xml:space="preserve">The European Union’s (“EU”) General Data Protection Regulation 2016/679 (“GDPR”), which came into force on May 25, 2018, is the EU’s data protection regulation which aims primarily to give control to individuals over their personal data and imposes strict requirements on organizations’ processing individuals’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personal data. It also addresses the transfer of personal data outside the EU and European Economic Area. Established within the EU, our operations in Cyprus are subject to the GDPR requirements. In order to comply with the GDPR requirements, Integrated Casino Resorts has developed and implemented policies and procedures which regulate the organization’s activities and aim to protect all personal data that is collected, processed and maintained by all business units. Integrated Casino Resorts has appointed an external Data Protection Officer in line with the GDPR and in addition to the implementation of various policies and procedures, it has also adopted a number of physical and technical safeguards in order to ensure the protection of all personal data it maintains. </w:t>
      </w:r>
    </w:p>
    <w:p>
      <w:pPr>
        <w:pStyle w:val="TextBody"/>
        <w:spacing w:before="360" w:after="0"/>
        <w:jc w:val="left"/>
        <w:rPr>
          <w:rFonts w:ascii="Times New Roman" w:hAnsi="Times New Roman"/>
          <w:b/>
          <w:i/>
          <w:sz w:val="20"/>
        </w:rPr>
      </w:pPr>
      <w:r>
        <w:rPr>
          <w:rFonts w:ascii="Times New Roman" w:hAnsi="Times New Roman"/>
          <w:b/>
          <w:i/>
          <w:sz w:val="20"/>
        </w:rPr>
        <w:t xml:space="preserve">Environmental Laws </w:t>
      </w:r>
    </w:p>
    <w:p>
      <w:pPr>
        <w:pStyle w:val="TextBody"/>
        <w:spacing w:before="120" w:after="0"/>
        <w:jc w:val="left"/>
        <w:rPr>
          <w:rFonts w:ascii="Times New Roman" w:hAnsi="Times New Roman"/>
          <w:sz w:val="20"/>
        </w:rPr>
      </w:pPr>
      <w:r>
        <w:rPr>
          <w:rFonts w:ascii="Times New Roman" w:hAnsi="Times New Roman"/>
          <w:sz w:val="20"/>
        </w:rPr>
        <w:t xml:space="preserve">The European Union’s Directive on the Assessment of the Effects of Certain Plans and Programmes on the Environment provides for a high level of protection of the environment with a view to contributing to the integration of environmental considerations for the preparation and adoption of plans and programmes promoting sustainable development. This aims to ensure that an Environmental Impact Assessment is conducted on certain plans and programmes which are likely to have significant effects on the environment., including those in the tourism sector. The Directive was transposed into Cyprus law in 2005 by the Environmental Impact Assessment from Certain Plans and/or Programmes Law 102(I)/2005, which is enforced by the Cyprus Department of Environment. To comply with the requirements of the environmental law, an Environmental Impact Assessment was conducted for our development of the City of Dreams Mediterranean project and a further Environmental Impact Assessment has also been conducted to further study the impacts to the nearby environment. </w:t>
      </w:r>
    </w:p>
    <w:p>
      <w:pPr>
        <w:pStyle w:val="TextBody"/>
        <w:spacing w:before="360" w:after="0"/>
        <w:jc w:val="left"/>
        <w:rPr>
          <w:rFonts w:ascii="Times New Roman" w:hAnsi="Times New Roman"/>
          <w:b/>
          <w:i/>
          <w:sz w:val="20"/>
        </w:rPr>
      </w:pPr>
      <w:r>
        <w:rPr>
          <w:rFonts w:ascii="Times New Roman" w:hAnsi="Times New Roman"/>
          <w:b/>
          <w:i/>
          <w:sz w:val="20"/>
        </w:rPr>
        <w:t xml:space="preserve">Other Applicable Laws </w:t>
      </w:r>
    </w:p>
    <w:p>
      <w:pPr>
        <w:pStyle w:val="TextBody"/>
        <w:spacing w:before="120" w:after="0"/>
        <w:jc w:val="left"/>
        <w:rPr>
          <w:rFonts w:ascii="Times New Roman" w:hAnsi="Times New Roman"/>
          <w:b/>
          <w:i/>
          <w:sz w:val="20"/>
        </w:rPr>
      </w:pPr>
      <w:r>
        <w:rPr>
          <w:rFonts w:ascii="Times New Roman" w:hAnsi="Times New Roman"/>
          <w:b/>
          <w:i/>
          <w:sz w:val="20"/>
        </w:rPr>
        <w:t xml:space="preserve">Foreign Corrupt Practices Act </w:t>
      </w:r>
    </w:p>
    <w:p>
      <w:pPr>
        <w:pStyle w:val="TextBody"/>
        <w:spacing w:before="120" w:after="0"/>
        <w:jc w:val="left"/>
        <w:rPr>
          <w:rFonts w:ascii="Times New Roman" w:hAnsi="Times New Roman"/>
          <w:sz w:val="20"/>
        </w:rPr>
      </w:pPr>
      <w:r>
        <w:rPr>
          <w:rFonts w:ascii="Times New Roman" w:hAnsi="Times New Roman"/>
          <w:sz w:val="20"/>
        </w:rPr>
        <w:t xml:space="preserve">The FCPA prohibits our Company and our employees and agents from offering or giving money or any other item of value to win or retain business or to influence any act or decision of any foreign official. The Code of Business Conduct and Ethics includes specific FCPA related provisions in Section IV and VIII B. To further supplement the Code of Business Conduct and Ethics, our Company implemented a FCPA Compliance Program in 2007, which was revised and expanded in scope in December 2013 as the Ethical Business Practices Program. This covers the activities of the shareholders, directors, officers, employees and counterparties of our Company. </w:t>
      </w:r>
    </w:p>
    <w:p>
      <w:pPr>
        <w:pStyle w:val="TextBody"/>
        <w:spacing w:before="360" w:after="0"/>
        <w:jc w:val="left"/>
        <w:rPr>
          <w:rFonts w:ascii="Times New Roman" w:hAnsi="Times New Roman"/>
          <w:b/>
          <w:i/>
          <w:sz w:val="20"/>
        </w:rPr>
      </w:pPr>
      <w:r>
        <w:rPr>
          <w:rFonts w:ascii="Times New Roman" w:hAnsi="Times New Roman"/>
          <w:b/>
          <w:i/>
          <w:sz w:val="20"/>
        </w:rPr>
        <w:t xml:space="preserve">Gaming Licenses </w:t>
      </w:r>
    </w:p>
    <w:p>
      <w:pPr>
        <w:pStyle w:val="TextBody"/>
        <w:spacing w:before="120" w:after="0"/>
        <w:jc w:val="left"/>
        <w:rPr>
          <w:rFonts w:ascii="Times New Roman" w:hAnsi="Times New Roman"/>
          <w:b/>
          <w:i/>
          <w:sz w:val="20"/>
        </w:rPr>
      </w:pPr>
      <w:r>
        <w:rPr>
          <w:rFonts w:ascii="Times New Roman" w:hAnsi="Times New Roman"/>
          <w:b/>
          <w:i/>
          <w:sz w:val="20"/>
        </w:rPr>
        <w:t xml:space="preserve">The Concession Regime in Macau </w:t>
      </w:r>
    </w:p>
    <w:p>
      <w:pPr>
        <w:pStyle w:val="TextBody"/>
        <w:spacing w:before="120" w:after="0"/>
        <w:jc w:val="left"/>
        <w:rPr>
          <w:rFonts w:ascii="Times New Roman" w:hAnsi="Times New Roman"/>
          <w:sz w:val="20"/>
        </w:rPr>
      </w:pPr>
      <w:r>
        <w:rPr>
          <w:rFonts w:ascii="Times New Roman" w:hAnsi="Times New Roman"/>
          <w:sz w:val="20"/>
        </w:rPr>
        <w:t xml:space="preserve">The Macau government conducted an international tender process for gaming concessions in Macau in 2022, and granted six gaming concessions to SJM, MGM Grand, Galaxy, Venetian Macau Limited (“VML”), Wynn Macau and Melco Resorts Macau, respectively. Subconcessions are prohibited. Though there are no restrictions on the number of casinos or gaming areas that may be operated under each concession, Macau government approval is required for the commencement of operations of any casino or gaming area. Prior to the tendering process in 2022, the subconcessionaires that entered into subconcession contracts with Wynn Macau, SJM and Galaxy were Melco Resorts Macau, MGM Grand Paradise and VML, respectively. Our subsidiary, Melco Resorts Macau, executed the Subconcession Contract with Wynn Macau on September 8, 2006, which was extended until December 31, 2022 pursuant to the execution of an Amendment Agreement to the Subconcession Contract dated June 23, 2022, with Wynn Macau continuing to develop and run hotel operations and casino projects independent of ours. Upon the completion of the tender process for new concessions, Melco Resorts Macau was granted with a new gaming concession by the Macau government for a period of 10 years, effective from January 1, 2023 until December 31, 2032, and entered into the respective Concession Contract on December 16, 2022. </w:t>
      </w:r>
    </w:p>
    <w:p>
      <w:pPr>
        <w:pStyle w:val="TextBody"/>
        <w:spacing w:before="240" w:after="0"/>
        <w:jc w:val="left"/>
        <w:rPr>
          <w:rFonts w:ascii="Times New Roman" w:hAnsi="Times New Roman"/>
          <w:sz w:val="20"/>
        </w:rPr>
      </w:pPr>
      <w:r>
        <w:rPr>
          <w:rFonts w:ascii="Times New Roman" w:hAnsi="Times New Roman"/>
          <w:sz w:val="20"/>
        </w:rPr>
        <w:t xml:space="preserve">A summary of the key terms of the Concession Contract is as follows.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All concessionaires must pay a special gaming tax of 35% of gross gaming revenues, defined as all gaming revenues derived from casino or gaming areas, plus an annual gaming premium of: </w:t>
      </w:r>
    </w:p>
    <w:p>
      <w:pPr>
        <w:pStyle w:val="TextBody"/>
        <w:spacing w:before="0" w:after="0"/>
        <w:jc w:val="left"/>
        <w:rPr/>
      </w:pPr>
      <w:r>
        <w:rPr/>
        <w:t> </w:t>
      </w:r>
    </w:p>
    <w:tbl>
      <w:tblPr>
        <w:tblW w:w="7555" w:type="dxa"/>
        <w:jc w:val="left"/>
        <w:tblInd w:w="0" w:type="dxa"/>
        <w:tblCellMar>
          <w:top w:w="0" w:type="dxa"/>
          <w:left w:w="0" w:type="dxa"/>
          <w:bottom w:w="0" w:type="dxa"/>
          <w:right w:w="0" w:type="dxa"/>
        </w:tblCellMar>
      </w:tblPr>
      <w:tblGrid>
        <w:gridCol w:w="75"/>
        <w:gridCol w:w="110"/>
        <w:gridCol w:w="60"/>
        <w:gridCol w:w="7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MOP30 million (equivalent to approximately US$3.7 million) per annum fixed premium; </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75"/>
        <w:gridCol w:w="110"/>
        <w:gridCol w:w="60"/>
        <w:gridCol w:w="7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MOP300,000 (equivalent to approximately US$37,296) per annum per VIP gaming table; </w:t>
            </w:r>
          </w:p>
        </w:tc>
      </w:tr>
    </w:tbl>
    <w:p>
      <w:pPr>
        <w:pStyle w:val="TextBody"/>
        <w:spacing w:before="0" w:after="0"/>
        <w:jc w:val="left"/>
        <w:rPr/>
      </w:pPr>
      <w:r>
        <w:rPr/>
        <w:t> </w:t>
      </w:r>
    </w:p>
    <w:tbl>
      <w:tblPr>
        <w:tblW w:w="8605" w:type="dxa"/>
        <w:jc w:val="left"/>
        <w:tblInd w:w="0" w:type="dxa"/>
        <w:tblCellMar>
          <w:top w:w="0" w:type="dxa"/>
          <w:left w:w="0" w:type="dxa"/>
          <w:bottom w:w="0" w:type="dxa"/>
          <w:right w:w="0" w:type="dxa"/>
        </w:tblCellMar>
      </w:tblPr>
      <w:tblGrid>
        <w:gridCol w:w="75"/>
        <w:gridCol w:w="110"/>
        <w:gridCol w:w="6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MOP150,000 (equivalent to approximately US$18,648) per annum per mass market gaming table; and </w:t>
            </w:r>
          </w:p>
        </w:tc>
      </w:tr>
    </w:tbl>
    <w:p>
      <w:pPr>
        <w:pStyle w:val="TextBody"/>
        <w:spacing w:before="0" w:after="0"/>
        <w:jc w:val="left"/>
        <w:rPr/>
      </w:pPr>
      <w:r>
        <w:rPr/>
        <w:t> </w:t>
      </w:r>
    </w:p>
    <w:tbl>
      <w:tblPr>
        <w:tblW w:w="8080" w:type="dxa"/>
        <w:jc w:val="left"/>
        <w:tblInd w:w="0" w:type="dxa"/>
        <w:tblCellMar>
          <w:top w:w="0" w:type="dxa"/>
          <w:left w:w="0" w:type="dxa"/>
          <w:bottom w:w="0" w:type="dxa"/>
          <w:right w:w="0" w:type="dxa"/>
        </w:tblCellMar>
      </w:tblPr>
      <w:tblGrid>
        <w:gridCol w:w="75"/>
        <w:gridCol w:w="110"/>
        <w:gridCol w:w="60"/>
        <w:gridCol w:w="7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MOP1,000 (equivalent to approximately US$124) per annum per electric or mechanical gaming </w:t>
            </w:r>
          </w:p>
        </w:tc>
      </w:tr>
    </w:tbl>
    <w:p>
      <w:pPr>
        <w:pStyle w:val="TextBody"/>
        <w:spacing w:before="240" w:after="0"/>
        <w:jc w:val="left"/>
        <w:rPr>
          <w:rFonts w:ascii="Times New Roman" w:hAnsi="Times New Roman"/>
          <w:sz w:val="20"/>
        </w:rPr>
      </w:pPr>
      <w:r>
        <w:rPr>
          <w:rFonts w:ascii="Times New Roman" w:hAnsi="Times New Roman"/>
          <w:sz w:val="20"/>
        </w:rPr>
        <w:t xml:space="preserve">subject to a minimum annual payment of an amount required for the operation of 500 gaming tables and 1,000 electronic gaming machines. </w:t>
      </w:r>
    </w:p>
    <w:p>
      <w:pPr>
        <w:pStyle w:val="TextBody"/>
        <w:spacing w:before="240" w:after="0"/>
        <w:jc w:val="left"/>
        <w:rPr>
          <w:rFonts w:ascii="Times New Roman" w:hAnsi="Times New Roman"/>
          <w:sz w:val="20"/>
        </w:rPr>
      </w:pPr>
      <w:r>
        <w:rPr>
          <w:rFonts w:ascii="Times New Roman" w:hAnsi="Times New Roman"/>
          <w:sz w:val="20"/>
        </w:rPr>
        <w:t xml:space="preserve">A special premium may be due by Melco Resorts Macau in the event the average gross gaming revenue of Melco Resorts Macau’s gaming tables does not reach the annual minimum of MOP7,000,000 (equivalent to approximately US$870,233) and the average gross gaming revenue of the gaming machines does not reach the annual minimum of MOP300,000 (equivalent to approximately US$37,296). The amount of the special premium is equivalent to the difference between the amount of the special gaming tax paid by Melco Resorts Macau and the amount that would be paid under the annual minimum set average gross gaming revenue for gaming tables and gaming machines. </w:t>
      </w:r>
    </w:p>
    <w:p>
      <w:pPr>
        <w:pStyle w:val="TextBody"/>
        <w:spacing w:before="360" w:after="0"/>
        <w:jc w:val="left"/>
        <w:rPr>
          <w:rFonts w:ascii="Times New Roman" w:hAnsi="Times New Roman"/>
          <w:b/>
          <w:i/>
          <w:sz w:val="20"/>
        </w:rPr>
      </w:pPr>
      <w:r>
        <w:rPr>
          <w:rFonts w:ascii="Times New Roman" w:hAnsi="Times New Roman"/>
          <w:b/>
          <w:i/>
          <w:sz w:val="20"/>
        </w:rPr>
        <w:t xml:space="preserve">The Concession Contract in Macau </w:t>
      </w:r>
    </w:p>
    <w:p>
      <w:pPr>
        <w:pStyle w:val="TextBody"/>
        <w:spacing w:before="120" w:after="0"/>
        <w:jc w:val="left"/>
        <w:rPr>
          <w:rFonts w:ascii="Times New Roman" w:hAnsi="Times New Roman"/>
          <w:sz w:val="20"/>
        </w:rPr>
      </w:pPr>
      <w:r>
        <w:rPr>
          <w:rFonts w:ascii="Times New Roman" w:hAnsi="Times New Roman"/>
          <w:sz w:val="20"/>
        </w:rPr>
        <w:t xml:space="preserve">The Concession Contract in Macau provides for the terms and conditions of the concession granted to Melco Resorts Macau with expiration on December 31, 2032. Melco Resorts Macau, pursuant to a legal restriction applicable to all concessionaires, does not have the right to grant a subconcession or transfer the operation to third parties. </w:t>
      </w:r>
    </w:p>
    <w:p>
      <w:pPr>
        <w:pStyle w:val="TextBody"/>
        <w:spacing w:before="240" w:after="0"/>
        <w:jc w:val="left"/>
        <w:rPr>
          <w:rFonts w:ascii="Times New Roman" w:hAnsi="Times New Roman"/>
          <w:sz w:val="20"/>
        </w:rPr>
      </w:pPr>
      <w:r>
        <w:rPr>
          <w:rFonts w:ascii="Times New Roman" w:hAnsi="Times New Roman"/>
          <w:sz w:val="20"/>
        </w:rPr>
        <w:t xml:space="preserve">On December 16, 2022, Melco Resorts Macau was granted the right to operate games of chance in casinos in Macau under a new gaming concession effective from January 1, 2023 until the expiration of the concession on December 31, 2032. </w:t>
      </w:r>
    </w:p>
    <w:p>
      <w:pPr>
        <w:pStyle w:val="TextBody"/>
        <w:spacing w:before="240" w:after="0"/>
        <w:jc w:val="left"/>
        <w:rPr>
          <w:rFonts w:ascii="Times New Roman" w:hAnsi="Times New Roman"/>
          <w:sz w:val="20"/>
        </w:rPr>
      </w:pPr>
      <w:r>
        <w:rPr>
          <w:rFonts w:ascii="Times New Roman" w:hAnsi="Times New Roman"/>
          <w:sz w:val="20"/>
        </w:rPr>
        <w:t xml:space="preserve">A summary of the key terms of the Concession Contract is as follows. </w:t>
      </w:r>
    </w:p>
    <w:p>
      <w:pPr>
        <w:pStyle w:val="TextBody"/>
        <w:spacing w:before="240" w:after="0"/>
        <w:jc w:val="left"/>
        <w:rPr>
          <w:rFonts w:ascii="Times New Roman" w:hAnsi="Times New Roman"/>
          <w:sz w:val="20"/>
        </w:rPr>
      </w:pPr>
      <w:r>
        <w:rPr>
          <w:rFonts w:ascii="Times New Roman" w:hAnsi="Times New Roman"/>
          <w:i/>
          <w:sz w:val="20"/>
        </w:rPr>
        <w:t>Gaming and Non-Gaming Investment Obligations.</w:t>
      </w:r>
      <w:r>
        <w:rPr>
          <w:rFonts w:ascii="Times New Roman" w:hAnsi="Times New Roman"/>
          <w:sz w:val="20"/>
        </w:rPr>
        <w:t xml:space="preserve"> The Concession Contract requires us to make a minimum investment in Macau of MOP11,823,700,000 (equivalent to approximately US$1.5 billion). The investment plan includes gaming and non-gaming related projects in the expansion of foreign market patrons, conventions and exhibitions, entertainment shows, sports events, art and culture, health and well-being, thematic entertainment, gastronomy, community and maritime tourism and others. Of the total investment amount referred to above, MOP10,008,000,000 (equivalent to approximately US$1.2 billion) will be applied to non-gaming related projects, with the balance applied to gaming related projects. Melco Resorts Macau has undertaken to carry out incremental additional non-gaming investment in the amount of approximately 20% of its initial non-gaming investment, or MOP2,003,000,000 (equivalent to approximately US$249.0 million), in the event Macau’s annual gross gaming revenue reaches MOP180,000,000,000 (equivalent to approximately US$22.4 billion). This incremental investment amount is reduced to 16%, 12%, 8%, 4% of the initial non-gaming investment amount or nil, if the Incremental Investment Trigger occurs in year 6, year 7, year 8, year 9 or year 10 of the Concession, respectively. </w:t>
      </w:r>
    </w:p>
    <w:p>
      <w:pPr>
        <w:pStyle w:val="TextBody"/>
        <w:spacing w:before="240" w:after="0"/>
        <w:jc w:val="left"/>
        <w:rPr>
          <w:rFonts w:ascii="Times New Roman" w:hAnsi="Times New Roman"/>
          <w:sz w:val="20"/>
        </w:rPr>
      </w:pPr>
      <w:r>
        <w:rPr>
          <w:rFonts w:ascii="Times New Roman" w:hAnsi="Times New Roman"/>
          <w:sz w:val="20"/>
        </w:rPr>
        <w:t xml:space="preserve">The minimum investment amount is without prejudice to the activation of the mechanism for top-up investment, including investment projects related to gaming and non-gaming in areas such as international visitors, conventions and exhibitions, entertainment shows, sports events, culture and art, health and well-being, thematic entertainment, city of gastronomy, community tourism, maritime tourism, and others. If, after the completion of the execution of the investment plan under the Concession Contract, the total amount of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made by the concessionaire, directly or, with approval from the Macau government, indirectly, is lower than the global amount and the amount committed at the time of activation of the Incremental Investment Trigger, the concessionaire undertakes to use the remaining amount on projects correlated to its activity to be designated by the concessionaire and accepted by the Macau government and/or on projects that are designated by the Macau government with significant public benefit to Macau. </w:t>
      </w:r>
    </w:p>
    <w:p>
      <w:pPr>
        <w:pStyle w:val="TextBody"/>
        <w:spacing w:before="240" w:after="0"/>
        <w:jc w:val="left"/>
        <w:rPr>
          <w:rFonts w:ascii="Times New Roman" w:hAnsi="Times New Roman"/>
          <w:sz w:val="20"/>
        </w:rPr>
      </w:pPr>
      <w:r>
        <w:rPr>
          <w:rFonts w:ascii="Times New Roman" w:hAnsi="Times New Roman"/>
          <w:sz w:val="20"/>
        </w:rPr>
        <w:t xml:space="preserve">During the implementation of the investment plan under the Concession Contract, the Macau government may request the concessionaire to provide any document or to amend the implementation of projects contained in the investment plans to ensure compliance with current technical norms or rules and the required quality standard. However, the Macau government shall not impose any amendment that may result in an increase of the global investment amount and the amount committed at the time of activation of the Incremental Investment Trigger. </w:t>
      </w:r>
    </w:p>
    <w:p>
      <w:pPr>
        <w:pStyle w:val="TextBody"/>
        <w:spacing w:before="240" w:after="0"/>
        <w:jc w:val="left"/>
        <w:rPr>
          <w:rFonts w:ascii="Times New Roman" w:hAnsi="Times New Roman"/>
          <w:sz w:val="20"/>
        </w:rPr>
      </w:pPr>
      <w:r>
        <w:rPr>
          <w:rFonts w:ascii="Times New Roman" w:hAnsi="Times New Roman"/>
          <w:sz w:val="20"/>
        </w:rPr>
        <w:t xml:space="preserve">The execution of the investment plan under the Concession Contract is subject to the supervision of the Macau government, with the concessionaire being required to submit to the Macau government’s approval on an annual basis the proposal for the execution of specific projects that it intends to execute in the subsequent year, which shall contain, at least, the content of such projects, the amount of the investment, and the deadline for execution. Furthermore, the concessionaire must submit to the Macau government on an annual basis a report on the execution, in the previous year, of the investment plan under the Concession Contract and of the approved proposal for the execution of the specific investment projects, which must contain, at least, an update on the execution of the specific investment projects, the invested amount, the deadline and the results of its execution. The concessionaire must also submit any other additional information as requested by the Macau government. </w:t>
      </w:r>
    </w:p>
    <w:p>
      <w:pPr>
        <w:pStyle w:val="TextBody"/>
        <w:spacing w:before="240" w:after="0"/>
        <w:jc w:val="left"/>
        <w:rPr>
          <w:rFonts w:ascii="Times New Roman" w:hAnsi="Times New Roman"/>
          <w:sz w:val="20"/>
        </w:rPr>
      </w:pPr>
      <w:r>
        <w:rPr>
          <w:rFonts w:ascii="Times New Roman" w:hAnsi="Times New Roman"/>
          <w:i/>
          <w:sz w:val="20"/>
        </w:rPr>
        <w:t>Payments.</w:t>
      </w:r>
      <w:r>
        <w:rPr>
          <w:rFonts w:ascii="Times New Roman" w:hAnsi="Times New Roman"/>
          <w:sz w:val="20"/>
        </w:rPr>
        <w:t xml:space="preserve"> Concession premiums and taxes, computed in various ways depending upon the type of gaming or activity involved, are 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annual amount equivalent to 2% of the gross gaming revenues to a public fund that has as purposes the promotion, development or study of cultural, social, economic, educational, scientific, academic and philanthropic actions. Furthermore, we are also obligated to contribute to Macau an amount equivalent to 3% of the gross gaming revenues for urban development, tourism promotion and the social security of Macau. We are required to collect and pay, through withholding, statutory taxes on commissions or other remunerations paid to gaming promoters. </w:t>
      </w:r>
    </w:p>
    <w:p>
      <w:pPr>
        <w:pStyle w:val="TextBody"/>
        <w:spacing w:before="240" w:after="0"/>
        <w:jc w:val="left"/>
        <w:rPr>
          <w:rFonts w:ascii="Times New Roman" w:hAnsi="Times New Roman"/>
          <w:sz w:val="20"/>
        </w:rPr>
      </w:pPr>
      <w:r>
        <w:rPr>
          <w:rFonts w:ascii="Times New Roman" w:hAnsi="Times New Roman"/>
          <w:i/>
          <w:sz w:val="20"/>
        </w:rPr>
        <w:t>Termination Rights.</w:t>
      </w:r>
      <w:r>
        <w:rPr>
          <w:rFonts w:ascii="Times New Roman" w:hAnsi="Times New Roman"/>
          <w:sz w:val="20"/>
        </w:rPr>
        <w:t xml:space="preserve"> The Macau government has the right to unilaterally terminate Melco Resorts Macau’s concession in the event of non-compliance by us with our basic obligations under the concession and applicable Macau laws. Upon termination, all of our casino premises and gaming equipment, would revert or be transferred to the Macau government automatically without compensation to us and we would cease to generate any revenues from these operations. In many of these instances, the Concession Contract does not provide a specific cure period within which any such events may be cured and, instead, we may be dependent on consultations and negotiations with the Macau government to give us an opportunity to remedy any such default. Melco Resorts Macau is not granted with explicit rights of veto, or of prior consultation. The Macau government may be able to unilaterally rescind the Concession Contract upon the following termination events: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operation of gaming without permission or operation of business which does not fall within the business scope of the concession;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abandonment of approved business or suspension of operations of our gaming business in Macau without reasonable grounds;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transfer of all or part of Melco Resorts Macau’s operation in Macau in violation of the relevant laws and administrative regulations governing the operation of games of chance in casino in Macau and without Macau government approval; </w:t>
            </w:r>
          </w:p>
        </w:tc>
      </w:tr>
    </w:tbl>
    <w:p>
      <w:pPr>
        <w:pStyle w:val="TextBody"/>
        <w:spacing w:before="0" w:after="0"/>
        <w:jc w:val="left"/>
        <w:rPr/>
      </w:pPr>
      <w:r>
        <w:rPr/>
        <w:t> </w:t>
      </w:r>
    </w:p>
    <w:tbl>
      <w:tblPr>
        <w:tblW w:w="7615" w:type="dxa"/>
        <w:jc w:val="left"/>
        <w:tblInd w:w="0" w:type="dxa"/>
        <w:tblCellMar>
          <w:top w:w="0" w:type="dxa"/>
          <w:left w:w="0" w:type="dxa"/>
          <w:bottom w:w="0" w:type="dxa"/>
          <w:right w:w="0" w:type="dxa"/>
        </w:tblCellMar>
      </w:tblPr>
      <w:tblGrid>
        <w:gridCol w:w="75"/>
        <w:gridCol w:w="110"/>
        <w:gridCol w:w="60"/>
        <w:gridCol w:w="7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pay taxes, premiums, levies or other amounts payable to the Macau government; </w:t>
            </w:r>
          </w:p>
        </w:tc>
      </w:tr>
    </w:tbl>
    <w:p>
      <w:pPr>
        <w:pStyle w:val="TextBody"/>
        <w:spacing w:before="0" w:after="0"/>
        <w:jc w:val="left"/>
        <w:rPr/>
      </w:pPr>
      <w:r>
        <w:rPr/>
        <w:t> </w:t>
      </w:r>
    </w:p>
    <w:tbl>
      <w:tblPr>
        <w:tblW w:w="9700" w:type="dxa"/>
        <w:jc w:val="left"/>
        <w:tblInd w:w="0" w:type="dxa"/>
        <w:tblCellMar>
          <w:top w:w="0" w:type="dxa"/>
          <w:left w:w="0" w:type="dxa"/>
          <w:bottom w:w="0" w:type="dxa"/>
          <w:right w:w="0" w:type="dxa"/>
        </w:tblCellMar>
      </w:tblPr>
      <w:tblGrid>
        <w:gridCol w:w="75"/>
        <w:gridCol w:w="110"/>
        <w:gridCol w:w="60"/>
        <w:gridCol w:w="9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refusal or failure to resume operations following the temporary assumption of operations by the Macau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repeated opposition to the supervision and inspection by the Macau government and failure to comply with decisions and recommendations of the Macau government, especially those of the DICJ, applicable to us;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failure to provide or supplement the guarantee deposit or the guarantees specified in the concession within the prescribed period; </w:t>
            </w:r>
          </w:p>
        </w:tc>
      </w:tr>
    </w:tbl>
    <w:p>
      <w:pPr>
        <w:pStyle w:val="TextBody"/>
        <w:spacing w:before="0" w:after="0"/>
        <w:jc w:val="left"/>
        <w:rPr/>
      </w:pPr>
      <w:r>
        <w:rPr/>
        <w:t> </w:t>
      </w:r>
    </w:p>
    <w:tbl>
      <w:tblPr>
        <w:tblW w:w="4495" w:type="dxa"/>
        <w:jc w:val="left"/>
        <w:tblInd w:w="0" w:type="dxa"/>
        <w:tblCellMar>
          <w:top w:w="0" w:type="dxa"/>
          <w:left w:w="0" w:type="dxa"/>
          <w:bottom w:w="0" w:type="dxa"/>
          <w:right w:w="0" w:type="dxa"/>
        </w:tblCellMar>
      </w:tblPr>
      <w:tblGrid>
        <w:gridCol w:w="75"/>
        <w:gridCol w:w="110"/>
        <w:gridCol w:w="60"/>
        <w:gridCol w:w="42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bankruptcy or insolvency of Melco Resorts Macau; </w:t>
            </w:r>
          </w:p>
        </w:tc>
      </w:tr>
    </w:tbl>
    <w:p>
      <w:pPr>
        <w:pStyle w:val="TextBody"/>
        <w:spacing w:before="0" w:after="0"/>
        <w:jc w:val="left"/>
        <w:rPr/>
      </w:pPr>
      <w:r>
        <w:rPr/>
        <w:t> </w:t>
      </w:r>
    </w:p>
    <w:tbl>
      <w:tblPr>
        <w:tblW w:w="3835" w:type="dxa"/>
        <w:jc w:val="left"/>
        <w:tblInd w:w="0" w:type="dxa"/>
        <w:tblCellMar>
          <w:top w:w="0" w:type="dxa"/>
          <w:left w:w="0" w:type="dxa"/>
          <w:bottom w:w="0" w:type="dxa"/>
          <w:right w:w="0" w:type="dxa"/>
        </w:tblCellMar>
      </w:tblPr>
      <w:tblGrid>
        <w:gridCol w:w="75"/>
        <w:gridCol w:w="110"/>
        <w:gridCol w:w="60"/>
        <w:gridCol w:w="35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fraudulent activity harming public interest;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serious and repeated violation of the applicable rules for carrying out games of chance in casino or damage to the fairness of games of chance in casino; </w:t>
            </w:r>
          </w:p>
        </w:tc>
      </w:tr>
    </w:tbl>
    <w:p>
      <w:pPr>
        <w:pStyle w:val="TextBody"/>
        <w:spacing w:before="0" w:after="0"/>
        <w:jc w:val="left"/>
        <w:rPr/>
      </w:pPr>
      <w:r>
        <w:rPr/>
        <w:t> </w:t>
      </w:r>
    </w:p>
    <w:tbl>
      <w:tblPr>
        <w:tblW w:w="9325" w:type="dxa"/>
        <w:jc w:val="left"/>
        <w:tblInd w:w="0" w:type="dxa"/>
        <w:tblCellMar>
          <w:top w:w="0" w:type="dxa"/>
          <w:left w:w="0" w:type="dxa"/>
          <w:bottom w:w="0" w:type="dxa"/>
          <w:right w:w="0" w:type="dxa"/>
        </w:tblCellMar>
      </w:tblPr>
      <w:tblGrid>
        <w:gridCol w:w="75"/>
        <w:gridCol w:w="110"/>
        <w:gridCol w:w="60"/>
        <w:gridCol w:w="9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systematic non-compliance with the Macau Gaming Operations Law’s or Concession Contract’s obligations;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non-compliance with the investment amount and the respective criteria provided for in the Concession Contract, within the deadline set out by the Secretary for Economy and Finance. </w:t>
            </w:r>
          </w:p>
        </w:tc>
      </w:tr>
    </w:tbl>
    <w:p>
      <w:pPr>
        <w:pStyle w:val="TextBody"/>
        <w:spacing w:before="240" w:after="0"/>
        <w:jc w:val="left"/>
        <w:rPr>
          <w:rFonts w:ascii="Times New Roman" w:hAnsi="Times New Roman"/>
          <w:sz w:val="20"/>
        </w:rPr>
      </w:pPr>
      <w:r>
        <w:rPr>
          <w:rFonts w:ascii="Times New Roman" w:hAnsi="Times New Roman"/>
          <w:sz w:val="20"/>
        </w:rPr>
        <w:t xml:space="preserve">In addition, the Macau government may, from the eighth year of the Concession, redeem the Concession by notice to Melco Resorts Macau at least one year in advance. Pursuant to such redemption, the Macau government would assume all rights and obligations of Melco Resorts Macau resulting from business legally and validly conducted by Melco Resorts Macau before the date of the redemption notice and Melco Resorts Macau would have a right to obtain reasonable and fair compensation under applicable Macau law. </w:t>
      </w:r>
    </w:p>
    <w:p>
      <w:pPr>
        <w:pStyle w:val="TextBody"/>
        <w:spacing w:before="240" w:after="0"/>
        <w:jc w:val="left"/>
        <w:rPr>
          <w:rFonts w:ascii="Times New Roman" w:hAnsi="Times New Roman"/>
          <w:sz w:val="20"/>
        </w:rPr>
      </w:pPr>
      <w:r>
        <w:rPr>
          <w:rFonts w:ascii="Times New Roman" w:hAnsi="Times New Roman"/>
          <w:sz w:val="20"/>
        </w:rPr>
        <w:t xml:space="preserve">Ownership and Capitalization. Set out below are the key terms in relation to ownership and capitalization under the Concession Contract: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registered share capital and net asset value of Melco Resorts Macau cannot be less than MOP5,000,000,000 (equivalent to approximately US$621,594,980) and, to guarantee its performance of certain of its legal and contractual obligations, including labor obligations, Melco Resorts Macau must maintain a guarantee issued by a Macau SAR bank in favor of the Macau SAR in the amount of MOP1,000,000,000 (equivalent to approximately US$124,318,996) until 180 days after the earlier of the expiration or termination of the Concession;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managing director of Melco Resorts Macau must be a permanent resident of the Macau SAR and must hold at least 15% of the registered share capital of Melco Resorts Macau;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person who directly acquires voting rights in Melco Resorts Macau will be subject to authorization from the Macau government;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Melco Resorts Macau will be required to take the necessary measures to ensure that any person who directly or indirectly acquires more than 5% of the shares in Melco Resorts Macau would be subject to authorization from the Macau government, except when such acquisition is wholly made through the shares of publicly-listed companies tradable at a stock exchange;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person who directly or indirectly acquires more than 5% of the shares in Melco Resorts Macau will be required to report the acquisition to the Macau government (except when such acquisition is wholly made through shares tradable on a stock exchange as a publicly-listed company);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rPr/>
      </w:pPr>
      <w:r>
        <w:rPr/>
      </w:r>
    </w:p>
    <w:p>
      <w:pPr>
        <w:pStyle w:val="Heading5"/>
        <w:rPr/>
      </w:pPr>
      <w:hyperlink w:anchor="toc">
        <w:r>
          <w:rPr>
            <w:rStyle w:val="InternetLink"/>
          </w:rPr>
          <w:t>Table of Contents</w:t>
        </w:r>
      </w:hyperlink>
    </w:p>
    <w:tbl>
      <w:tblPr>
        <w:tblW w:w="9820" w:type="dxa"/>
        <w:jc w:val="left"/>
        <w:tblInd w:w="0" w:type="dxa"/>
        <w:tblCellMar>
          <w:top w:w="0" w:type="dxa"/>
          <w:left w:w="0" w:type="dxa"/>
          <w:bottom w:w="0" w:type="dxa"/>
          <w:right w:w="0" w:type="dxa"/>
        </w:tblCellMar>
      </w:tblPr>
      <w:tblGrid>
        <w:gridCol w:w="75"/>
        <w:gridCol w:w="110"/>
        <w:gridCol w:w="60"/>
        <w:gridCol w:w="9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Macau government’s prior approval would be required for any recapitalization plan of Melco Resorts Macau; and </w:t>
            </w:r>
          </w:p>
        </w:tc>
      </w:tr>
    </w:tbl>
    <w:p>
      <w:pPr>
        <w:pStyle w:val="TextBody"/>
        <w:spacing w:before="0" w:after="0"/>
        <w:jc w:val="left"/>
        <w:rPr/>
      </w:pPr>
      <w:r>
        <w:rPr/>
        <w:t> </w:t>
      </w:r>
    </w:p>
    <w:tbl>
      <w:tblPr>
        <w:tblW w:w="9865" w:type="dxa"/>
        <w:jc w:val="left"/>
        <w:tblInd w:w="0" w:type="dxa"/>
        <w:tblCellMar>
          <w:top w:w="0" w:type="dxa"/>
          <w:left w:w="0" w:type="dxa"/>
          <w:bottom w:w="0" w:type="dxa"/>
          <w:right w:w="0" w:type="dxa"/>
        </w:tblCellMar>
      </w:tblPr>
      <w:tblGrid>
        <w:gridCol w:w="75"/>
        <w:gridCol w:w="110"/>
        <w:gridCol w:w="60"/>
        <w:gridCol w:w="9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Chief Executive of Macau could require the increase of Melco Resorts Macau’s share capital, if deemed necessary. </w:t>
            </w:r>
          </w:p>
        </w:tc>
      </w:tr>
    </w:tbl>
    <w:p>
      <w:pPr>
        <w:pStyle w:val="TextBody"/>
        <w:spacing w:before="240" w:after="0"/>
        <w:jc w:val="left"/>
        <w:rPr>
          <w:rFonts w:ascii="Times New Roman" w:hAnsi="Times New Roman"/>
          <w:sz w:val="20"/>
        </w:rPr>
      </w:pPr>
      <w:r>
        <w:rPr>
          <w:rFonts w:ascii="Times New Roman" w:hAnsi="Times New Roman"/>
          <w:i/>
          <w:sz w:val="20"/>
        </w:rPr>
        <w:t>Others.</w:t>
      </w:r>
      <w:r>
        <w:rPr>
          <w:rFonts w:ascii="Times New Roman" w:hAnsi="Times New Roman"/>
          <w:sz w:val="20"/>
        </w:rPr>
        <w:t xml:space="preserve"> In addition, the Concession Contract contains various general covenants and obligations and other provisions, including special duties of cooperation, special duties of information, and execution of our investment obligations. </w:t>
      </w:r>
    </w:p>
    <w:p>
      <w:pPr>
        <w:pStyle w:val="TextBody"/>
        <w:spacing w:before="240" w:after="0"/>
        <w:jc w:val="left"/>
        <w:rPr>
          <w:rFonts w:ascii="Times New Roman" w:hAnsi="Times New Roman"/>
          <w:sz w:val="20"/>
        </w:rPr>
      </w:pPr>
      <w:r>
        <w:rPr>
          <w:rFonts w:ascii="Times New Roman" w:hAnsi="Times New Roman"/>
          <w:sz w:val="20"/>
        </w:rPr>
        <w:t xml:space="preserve">Transfers of property and credit rights of Melco Resorts Macau exceeding MOP100,000,000 (equivalent to approximately US$12,431,900) and loan agreements or similar arrangements executed by Melco Resorts Macau as borrower or creditor equal to or exceeding that amount are each subject to approval by the Macau SAR government, except for those loan agreements related to credit granted for gaming purposes. The issue of debt securities by Melco Resorts Macau is also subject to approval by the Macau government and the Concession prohibits Melco Resorts Macau from being listed on a stock exchange. The Concession requires that prior notice be given to the Macau government of financial decisions relating to the internal movement of funds of Melco Resorts Macau exceeding 50% of its registered capital, financial decisions relating to salaries, remuneration or benefits of employees, among others, exceeding 10% of its registered capital and other financial decisions exceeding 10% of its registered capital. </w:t>
      </w:r>
    </w:p>
    <w:p>
      <w:pPr>
        <w:pStyle w:val="TextBody"/>
        <w:spacing w:before="240" w:after="0"/>
        <w:jc w:val="left"/>
        <w:rPr>
          <w:rFonts w:ascii="Times New Roman" w:hAnsi="Times New Roman"/>
          <w:sz w:val="20"/>
        </w:rPr>
      </w:pPr>
      <w:r>
        <w:rPr>
          <w:rFonts w:ascii="Times New Roman" w:hAnsi="Times New Roman"/>
          <w:sz w:val="20"/>
        </w:rPr>
        <w:t xml:space="preserve">The Concession Contract provides for Melco Resorts Macau’s right to use the casino premises and related land for the purpose of operating games of chance under the Concession Contract during the term of the Concession Contract. On the termination or expiry of the Concession Contract, the casino premises operated by the concessionaire and the gaming equipment would automatically revert or be transferred to the Macau SAR without compensation. </w:t>
      </w:r>
    </w:p>
    <w:p>
      <w:pPr>
        <w:pStyle w:val="TextBody"/>
        <w:spacing w:before="360" w:after="0"/>
        <w:jc w:val="left"/>
        <w:rPr>
          <w:rFonts w:ascii="Times New Roman" w:hAnsi="Times New Roman"/>
          <w:b/>
          <w:i/>
          <w:sz w:val="20"/>
        </w:rPr>
      </w:pPr>
      <w:r>
        <w:rPr>
          <w:rFonts w:ascii="Times New Roman" w:hAnsi="Times New Roman"/>
          <w:b/>
          <w:i/>
          <w:sz w:val="20"/>
        </w:rPr>
        <w:t xml:space="preserve">PAGCOR Licenses in the Philippines </w:t>
      </w:r>
    </w:p>
    <w:p>
      <w:pPr>
        <w:pStyle w:val="TextBody"/>
        <w:spacing w:before="120" w:after="0"/>
        <w:jc w:val="left"/>
        <w:rPr>
          <w:rFonts w:ascii="Times New Roman" w:hAnsi="Times New Roman"/>
          <w:sz w:val="20"/>
        </w:rPr>
      </w:pPr>
      <w:r>
        <w:rPr>
          <w:rFonts w:ascii="Times New Roman" w:hAnsi="Times New Roman"/>
          <w:sz w:val="20"/>
        </w:rPr>
        <w:t xml:space="preserve">The Philippine License issued by PAGCOR authorizes the Philippine Licensees, through Melco Resorts Leisure, to establish and operate a casino in the Philippines for both local and foreign patrons who are at least 21 years of age. </w:t>
      </w:r>
    </w:p>
    <w:p>
      <w:pPr>
        <w:pStyle w:val="TextBody"/>
        <w:spacing w:before="240" w:after="0"/>
        <w:jc w:val="left"/>
        <w:rPr>
          <w:rFonts w:ascii="Times New Roman" w:hAnsi="Times New Roman"/>
          <w:sz w:val="20"/>
        </w:rPr>
      </w:pPr>
      <w:r>
        <w:rPr>
          <w:rFonts w:ascii="Times New Roman" w:hAnsi="Times New Roman"/>
          <w:sz w:val="20"/>
        </w:rPr>
        <w:t xml:space="preserve">In general, the Philippine License imposes certain obligations such as, but not limited to, the following: </w:t>
      </w:r>
    </w:p>
    <w:p>
      <w:pPr>
        <w:pStyle w:val="TextBody"/>
        <w:spacing w:before="0" w:after="0"/>
        <w:jc w:val="left"/>
        <w:rPr/>
      </w:pPr>
      <w:r>
        <w:rPr/>
        <w:t> </w:t>
      </w:r>
    </w:p>
    <w:tbl>
      <w:tblPr>
        <w:tblW w:w="4045" w:type="dxa"/>
        <w:jc w:val="left"/>
        <w:tblInd w:w="0" w:type="dxa"/>
        <w:tblCellMar>
          <w:top w:w="0" w:type="dxa"/>
          <w:left w:w="0" w:type="dxa"/>
          <w:bottom w:w="0" w:type="dxa"/>
          <w:right w:w="0" w:type="dxa"/>
        </w:tblCellMar>
      </w:tblPr>
      <w:tblGrid>
        <w:gridCol w:w="75"/>
        <w:gridCol w:w="110"/>
        <w:gridCol w:w="60"/>
        <w:gridCol w:w="3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payment of monthly license fees to PAGCOR;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maintenance of a debt-to-equity ratio (based on calculation as agreed with PAGCOR) for each of the Philippine Licensees of no greater than 70:30; </w:t>
            </w:r>
          </w:p>
        </w:tc>
      </w:tr>
    </w:tbl>
    <w:p>
      <w:pPr>
        <w:pStyle w:val="TextBody"/>
        <w:spacing w:before="0" w:after="0"/>
        <w:jc w:val="left"/>
        <w:rPr/>
      </w:pPr>
      <w:r>
        <w:rPr/>
        <w:t> </w:t>
      </w:r>
    </w:p>
    <w:tbl>
      <w:tblPr>
        <w:tblW w:w="7720" w:type="dxa"/>
        <w:jc w:val="left"/>
        <w:tblInd w:w="0" w:type="dxa"/>
        <w:tblCellMar>
          <w:top w:w="0" w:type="dxa"/>
          <w:left w:w="0" w:type="dxa"/>
          <w:bottom w:w="0" w:type="dxa"/>
          <w:right w:w="0" w:type="dxa"/>
        </w:tblCellMar>
      </w:tblPr>
      <w:tblGrid>
        <w:gridCol w:w="75"/>
        <w:gridCol w:w="110"/>
        <w:gridCol w:w="60"/>
        <w:gridCol w:w="7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95.0% of the total employees of City of Dreams Manila must be Philippine citizens;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2.0% of certain casino revenues must be remitted to a foundation devoted to the restoration of cultural heritage and 5.0% of certain non-gaming revenues to PAGCOR; and </w:t>
            </w:r>
          </w:p>
        </w:tc>
      </w:tr>
    </w:tbl>
    <w:p>
      <w:pPr>
        <w:pStyle w:val="TextBody"/>
        <w:spacing w:before="0" w:after="0"/>
        <w:jc w:val="left"/>
        <w:rPr/>
      </w:pPr>
      <w:r>
        <w:rPr/>
        <w:t> </w:t>
      </w:r>
    </w:p>
    <w:tbl>
      <w:tblPr>
        <w:tblW w:w="6010" w:type="dxa"/>
        <w:jc w:val="left"/>
        <w:tblInd w:w="0" w:type="dxa"/>
        <w:tblCellMar>
          <w:top w:w="0" w:type="dxa"/>
          <w:left w:w="0" w:type="dxa"/>
          <w:bottom w:w="0" w:type="dxa"/>
          <w:right w:w="0" w:type="dxa"/>
        </w:tblCellMar>
      </w:tblPr>
      <w:tblGrid>
        <w:gridCol w:w="75"/>
        <w:gridCol w:w="110"/>
        <w:gridCol w:w="60"/>
        <w:gridCol w:w="5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operation of only the authorized casino games approved by PAGCOR. </w:t>
            </w:r>
          </w:p>
        </w:tc>
      </w:tr>
    </w:tbl>
    <w:p>
      <w:pPr>
        <w:pStyle w:val="TextBody"/>
        <w:spacing w:before="240" w:after="0"/>
        <w:jc w:val="left"/>
        <w:rPr>
          <w:rFonts w:ascii="Times New Roman" w:hAnsi="Times New Roman"/>
          <w:sz w:val="20"/>
        </w:rPr>
      </w:pPr>
      <w:r>
        <w:rPr>
          <w:rFonts w:ascii="Times New Roman" w:hAnsi="Times New Roman"/>
          <w:sz w:val="20"/>
        </w:rPr>
        <w:t xml:space="preserve">See “Item 3. Key Information — D. Risk Factors — Risks Relating to Operating in the Gaming Industry in the Philippines — MRP’s gaming operations are dependent on the Philippine License issued by PAGCOR.” </w:t>
      </w:r>
    </w:p>
    <w:p>
      <w:pPr>
        <w:pStyle w:val="TextBody"/>
        <w:spacing w:before="360" w:after="0"/>
        <w:jc w:val="left"/>
        <w:rPr>
          <w:rFonts w:ascii="Times New Roman" w:hAnsi="Times New Roman"/>
          <w:b/>
          <w:i/>
          <w:sz w:val="20"/>
        </w:rPr>
      </w:pPr>
      <w:r>
        <w:rPr>
          <w:rFonts w:ascii="Times New Roman" w:hAnsi="Times New Roman"/>
          <w:b/>
          <w:i/>
          <w:sz w:val="20"/>
        </w:rPr>
        <w:t xml:space="preserve">Gaming License in Cyprus </w:t>
      </w:r>
    </w:p>
    <w:p>
      <w:pPr>
        <w:pStyle w:val="TextBody"/>
        <w:spacing w:before="120" w:after="0"/>
        <w:jc w:val="left"/>
        <w:rPr>
          <w:rFonts w:ascii="Times New Roman" w:hAnsi="Times New Roman"/>
          <w:sz w:val="20"/>
        </w:rPr>
      </w:pPr>
      <w:r>
        <w:rPr>
          <w:rFonts w:ascii="Times New Roman" w:hAnsi="Times New Roman"/>
          <w:sz w:val="20"/>
        </w:rPr>
        <w:t xml:space="preserve">Under the Cyprus License, Integrated Casino Resorts is granted the right to develop, operate and maintain an integrated casino resort in Limassol, Cyprus (and until the operation of such integrated casino resort,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operation of a temporary casino in Limassol) and up to four satellite casino premises in Cyprus, for a term of 30 years from the date of grant and with the right for exclusivity in Cyprus for the first 15 years of the term. The Cyprus License imposes certain requirements on Integrated Casino Resorts and their service providers. </w:t>
      </w:r>
    </w:p>
    <w:p>
      <w:pPr>
        <w:pStyle w:val="TextBody"/>
        <w:spacing w:before="240" w:after="0"/>
        <w:jc w:val="left"/>
        <w:rPr>
          <w:rFonts w:ascii="Times New Roman" w:hAnsi="Times New Roman"/>
          <w:sz w:val="20"/>
        </w:rPr>
      </w:pPr>
      <w:r>
        <w:rPr>
          <w:rFonts w:ascii="Times New Roman" w:hAnsi="Times New Roman"/>
          <w:sz w:val="20"/>
        </w:rPr>
        <w:t xml:space="preserve">The Cyprus License is also subject to suspension or termination upon the occurrence of certain events. The requirements imposed by the Cyprus License include, among others: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payment of an annual license fee of EUR2.5 million (equivalent to approximately US$2.7 million) per year for the first four-year period commencing from the date of grant of the Cyprus License on June 26, 2017 and an annual license fee of EUR5.0 million (equivalent to approximately US$5.4 million) per year for the second four-year period as annual license fees for the operation of the temporary casino and City of Dreams Mediterranean to the government of Cyprus. Upon completion of the above eight-year period and for each four-year period thereafter, the government of Cyprus may review the annual license fee payable for each four-year term, provided that the annual license fee payable per year shall be no less than EUR5.0 million (equivalent to approximately US$5.4 million) and subject to a maximum percentage increase.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payment of annual license fee of EUR1.0 million (equivalent to approximately US$1.1 million) per year for the satellite casino in Nicosia since its commencement of operations in 2018 and annual license fee of EUR0.5 million (equivalent to approximately US$0.5 million) per year for each of the satellite casinos in Larnaca (which ceased operation in June 2020), Ayia Napa and Paphos since their operations commenced in 2018, 2019 and 2020,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payment of a monthly casino tax of an amount equal to 15% of the gross gaming revenue, such percentage not to be increased during the initial 15-year exclusivity period under the Cyprus License. </w:t>
            </w:r>
          </w:p>
        </w:tc>
      </w:tr>
    </w:tbl>
    <w:p>
      <w:pPr>
        <w:pStyle w:val="TextBody"/>
        <w:spacing w:before="240" w:after="0"/>
        <w:jc w:val="left"/>
        <w:rPr>
          <w:rFonts w:ascii="Times New Roman" w:hAnsi="Times New Roman"/>
          <w:sz w:val="20"/>
        </w:rPr>
      </w:pPr>
      <w:r>
        <w:rPr>
          <w:rFonts w:ascii="Times New Roman" w:hAnsi="Times New Roman"/>
          <w:sz w:val="20"/>
        </w:rPr>
        <w:t xml:space="preserve">Following extensions granted by the government of Cyprus, we are required under the Cyprus License to complete the City of Dreams Mediterranean project and commence operations by June 30, 2023. </w:t>
      </w:r>
    </w:p>
    <w:p>
      <w:pPr>
        <w:pStyle w:val="TextBody"/>
        <w:spacing w:before="240" w:after="0"/>
        <w:jc w:val="left"/>
        <w:rPr>
          <w:rFonts w:ascii="Times New Roman" w:hAnsi="Times New Roman"/>
          <w:sz w:val="20"/>
        </w:rPr>
      </w:pPr>
      <w:r>
        <w:rPr>
          <w:rFonts w:ascii="Times New Roman" w:hAnsi="Times New Roman"/>
          <w:sz w:val="20"/>
        </w:rPr>
        <w:t xml:space="preserve">See “Item 3. Key Information — D. Risk Factors — Risks Relating to Operating in the Gaming Industry in Cyprus — Cyprus’ gaming operations are dependent on the Cyprus License issued by CGC and any failure to comply with the terms of the Cyprus License could have a material adverse effect on our business,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Tax </w:t>
      </w:r>
    </w:p>
    <w:p>
      <w:pPr>
        <w:pStyle w:val="TextBody"/>
        <w:spacing w:before="120" w:after="0"/>
        <w:jc w:val="left"/>
        <w:rPr>
          <w:rFonts w:ascii="Times New Roman" w:hAnsi="Times New Roman"/>
          <w:sz w:val="20"/>
        </w:rPr>
      </w:pPr>
      <w:r>
        <w:rPr>
          <w:rFonts w:ascii="Times New Roman" w:hAnsi="Times New Roman"/>
          <w:sz w:val="20"/>
        </w:rPr>
        <w:t xml:space="preserve">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and certain subsidiaries are subject to Hong Kong profits tax of 16.5% on profits arising from our activities conducted in Hong Kong. </w:t>
      </w:r>
    </w:p>
    <w:p>
      <w:pPr>
        <w:pStyle w:val="TextBody"/>
        <w:spacing w:before="240" w:after="0"/>
        <w:jc w:val="left"/>
        <w:rPr>
          <w:rFonts w:ascii="Times New Roman" w:hAnsi="Times New Roman"/>
          <w:sz w:val="20"/>
        </w:rPr>
      </w:pPr>
      <w:r>
        <w:rPr>
          <w:rFonts w:ascii="Times New Roman" w:hAnsi="Times New Roman"/>
          <w:sz w:val="20"/>
        </w:rPr>
        <w:t xml:space="preserve">Our subsidiaries incorporated in the British Virgin Islands are not subject to tax in the British Virgin Islands, but certain subsidiaries incorporated in the British Virgin Islands are subject to Hong Kong profits tax of 16.5% on profits arising from our activities conducted in Hong Kong and Macau complementary tax of 12% on profits earned in or derived from its activities conducted in Macau. </w:t>
      </w:r>
    </w:p>
    <w:p>
      <w:pPr>
        <w:pStyle w:val="TextBody"/>
        <w:spacing w:before="240" w:after="0"/>
        <w:jc w:val="left"/>
        <w:rPr>
          <w:rFonts w:ascii="Times New Roman" w:hAnsi="Times New Roman"/>
          <w:sz w:val="20"/>
        </w:rPr>
      </w:pPr>
      <w:r>
        <w:rPr>
          <w:rFonts w:ascii="Times New Roman" w:hAnsi="Times New Roman"/>
          <w:sz w:val="20"/>
        </w:rPr>
        <w:t xml:space="preserve">Our subsidiaries incorporated in Macau are subject to Macau complementary tax of up to 12% on profits earned in or derived from their activities conducted in Macau. Melco Resorts Macau applied for and was granted the benefit of a corporate tax holiday on Macau complementary tax (but not gaming tax) from 2017 through 2021. Melco Resorts Macau was further granted such benefit for the period from January 1, 2022 to December 31, 2022. We have applied for the further grant of such benefit for the period from January 1, 2023 to December 31, 2027 but we cannot assure you that such benefit will be granted. In addition, the Macau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government granted one of our subsidiaries in Macau the complementary tax exemption until 2021 on profits generated from income received from Melco Resorts Macau, to the extent that such income is derived from Studio City gaming operations and has been subject to gaming tax. We have applied for an extension of the Macau Complementary Tax exemption for the period from January 1, 2022 to December 31, 2022 and further for the period from January 1, 2023 to December 31, 2027 but we cannot assure you that such extensions will be granted. The dividend distributions of such subsidiary to its shareholders continue to be subject to complementary tax. We remain subject to Macau complementary tax on our non-gaming profits. </w:t>
      </w:r>
    </w:p>
    <w:p>
      <w:pPr>
        <w:pStyle w:val="TextBody"/>
        <w:spacing w:before="240" w:after="0"/>
        <w:jc w:val="left"/>
        <w:rPr>
          <w:rFonts w:ascii="Times New Roman" w:hAnsi="Times New Roman"/>
          <w:sz w:val="20"/>
        </w:rPr>
      </w:pPr>
      <w:r>
        <w:rPr>
          <w:rFonts w:ascii="Times New Roman" w:hAnsi="Times New Roman"/>
          <w:sz w:val="20"/>
        </w:rPr>
        <w:t xml:space="preserve">For the five-year period from 2017 through 2021, an annual payment of MOP18.9 million (equivalent to approximately US$2.3 million) is payable by Melco Resorts Macau, with respect to tax due for dividend distributions to the shareholders of Melco Resorts Macau from gaming profits, whether such dividends are actually distributions by Melco Resorts Macau or not, or whether Melco Resorts Macau has distributable profits in the relevant year. For the period from January 1, 2022 to June 26, 2022, a payment of MOP4 million (equivalent to approximately US$0.5 million) was payable by Melco Resorts Macau. In March 2023, Melco Resorts Macau received an extension of the agreement with the Macau government for an amount of MOP4.2 million (equivalent to approximately US$0.5 million) as payment for the period from June 27, 2022 to December 31, 2022. Upon the payment of such payment amounts, the shareholders of Melco Resorts Macau will not be liable to pay any other tax in Macau for dividend distributions received from gaming profits. We have applied for an extension of such arrangement at an amount to be set by the Macau government from January 1, 2023 to December 31, 2027. However, we cannot assure you that the same arrangement will be applied during such period or beyond or that, in the event a similar arrangement is adopted, whether we will be required to pay a higher annual sum. </w:t>
      </w:r>
    </w:p>
    <w:p>
      <w:pPr>
        <w:pStyle w:val="TextBody"/>
        <w:spacing w:before="240" w:after="0"/>
        <w:jc w:val="left"/>
        <w:rPr>
          <w:rFonts w:ascii="Times New Roman" w:hAnsi="Times New Roman"/>
          <w:sz w:val="20"/>
        </w:rPr>
      </w:pPr>
      <w:r>
        <w:rPr>
          <w:rFonts w:ascii="Times New Roman" w:hAnsi="Times New Roman"/>
          <w:sz w:val="20"/>
        </w:rPr>
        <w:t xml:space="preserve">Melco Resorts Macau is subject to Macau gaming tax based on gross gaming revenue in Macau. These gaming taxes are an assessment on Melco Resorts Macau’s gaming revenue and are recorded as casino expense. </w:t>
      </w:r>
    </w:p>
    <w:p>
      <w:pPr>
        <w:pStyle w:val="TextBody"/>
        <w:spacing w:before="240" w:after="0"/>
        <w:jc w:val="left"/>
        <w:rPr>
          <w:rFonts w:ascii="Times New Roman" w:hAnsi="Times New Roman"/>
          <w:sz w:val="20"/>
        </w:rPr>
      </w:pPr>
      <w:r>
        <w:rPr>
          <w:rFonts w:ascii="Times New Roman" w:hAnsi="Times New Roman"/>
          <w:sz w:val="20"/>
        </w:rPr>
        <w:t xml:space="preserve">The Macau government granted to Altira Resorts in 2007, and COD Resorts, in 2011 and 2013, the declaration of utility purposes benefit in respect of Altira Macau, The Countdown, Nüwa and Grand Hyatt Macau hotel, pursuant to which they are entitled to a property tax holiday, for a period of 12 years, on any immovable property that they own or is operated by them. Under such declaration of utility purposes benefit, they will also be allowed to double the maximum rates applicable regarding depreciation and reintegration for the purposes of assessing the Macau complementary tax. The transfer of the declaration of utility purpose to COD Resorts and Altira Resorts was requested on November 8, 2017 and was duly approved by the Macau government. </w:t>
      </w:r>
    </w:p>
    <w:p>
      <w:pPr>
        <w:pStyle w:val="TextBody"/>
        <w:spacing w:before="240" w:after="0"/>
        <w:jc w:val="left"/>
        <w:rPr>
          <w:rFonts w:ascii="Times New Roman" w:hAnsi="Times New Roman"/>
          <w:sz w:val="20"/>
        </w:rPr>
      </w:pPr>
      <w:r>
        <w:rPr>
          <w:rFonts w:ascii="Times New Roman" w:hAnsi="Times New Roman"/>
          <w:sz w:val="20"/>
        </w:rPr>
        <w:t xml:space="preserve">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In August 2021, the hotel license of Studio City Hotels was transferred to Studio City Developments Limited, the owner of the Studio City Property. Studio City Developments Limited has applied for the declaration of touristic utility purpose pursuant to which Studio City Developments Limited would be entitled to the property tax holiday and be allowed to double the maximum rates applicable to depreciation and reintegration for the purposes of assessment of the Macau complementary tax. The application is currently pending, and we believe Studio City Developments Limited is entitled to such property tax holiday, however, there is no assurance that the Macau government will extend such benefit to Studio City Developments Limited. </w:t>
      </w:r>
    </w:p>
    <w:p>
      <w:pPr>
        <w:pStyle w:val="TextBody"/>
        <w:spacing w:before="240" w:after="0"/>
        <w:jc w:val="left"/>
        <w:rPr>
          <w:rFonts w:ascii="Times New Roman" w:hAnsi="Times New Roman"/>
          <w:sz w:val="20"/>
        </w:rPr>
      </w:pPr>
      <w:r>
        <w:rPr>
          <w:rFonts w:ascii="Times New Roman" w:hAnsi="Times New Roman"/>
          <w:sz w:val="20"/>
        </w:rPr>
        <w:t xml:space="preserve">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 </w:t>
      </w:r>
    </w:p>
    <w:p>
      <w:pPr>
        <w:pStyle w:val="TextBody"/>
        <w:spacing w:before="240" w:after="0"/>
        <w:jc w:val="left"/>
        <w:rPr>
          <w:rFonts w:ascii="Times New Roman" w:hAnsi="Times New Roman"/>
          <w:sz w:val="20"/>
        </w:rPr>
      </w:pPr>
      <w:r>
        <w:rPr>
          <w:rFonts w:ascii="Times New Roman" w:hAnsi="Times New Roman"/>
          <w:sz w:val="20"/>
        </w:rPr>
        <w:t xml:space="preserve">In the Philippines, on March 26, 2021, the Corporate Recovery and Tax Incentives for Enterprises (“CREATE”) was signed and took effect on April 11, 2021. CREATE reduced the minimum corporate income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tax from 2% to 1% from July 1, 2020 to June 30, 2023 and the corporate income tax rate from 30% to 25% starting July 1, 2020. Certain of our subsidiaries are liable for VAT on certain transactions. For gaming-related transactions in our Philippines operations, Melco Resorts Leisure currently enjoys exemptions from national, local, direct and indirect taxes, including VAT, in the Philippines pursuant to the PAGCOR charter and is subject to license fees which are inclusive of the 5% franchise tax payable to PAGCOR based on gross gaming revenue in the Philippines, in lieu of all other taxes. </w:t>
      </w:r>
    </w:p>
    <w:p>
      <w:pPr>
        <w:pStyle w:val="TextBody"/>
        <w:spacing w:before="240" w:after="0"/>
        <w:jc w:val="left"/>
        <w:rPr>
          <w:rFonts w:ascii="Times New Roman" w:hAnsi="Times New Roman"/>
          <w:sz w:val="20"/>
        </w:rPr>
      </w:pPr>
      <w:r>
        <w:rPr>
          <w:rFonts w:ascii="Times New Roman" w:hAnsi="Times New Roman"/>
          <w:sz w:val="20"/>
        </w:rPr>
        <w:t xml:space="preserve">The franchise tax and license fees are an assessment on Melco Resorts Leisure’s gaming revenue and are recorded as casino expense in the consolidated statements of operations. 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 </w:t>
      </w:r>
    </w:p>
    <w:p>
      <w:pPr>
        <w:pStyle w:val="TextBody"/>
        <w:spacing w:before="240" w:after="0"/>
        <w:jc w:val="left"/>
        <w:rPr>
          <w:rFonts w:ascii="Times New Roman" w:hAnsi="Times New Roman"/>
          <w:sz w:val="20"/>
        </w:rPr>
      </w:pPr>
      <w:r>
        <w:rPr>
          <w:rFonts w:ascii="Times New Roman" w:hAnsi="Times New Roman"/>
          <w:sz w:val="20"/>
        </w:rPr>
        <w:t xml:space="preserve">In 2022, the Philippine BIR issued Revenue Memorandum Circular No. 32-2022, which sought to impose 12% VAT on gaming revenue. While Melco Resorts Leisure and the other integrated resorts submitted a joint letter to the BIR challenging the imposition of VAT on gaming transactions, there is no assurance that we will prevail on any challenge and any assessment of VAT on our gaming revenue could have a material adverse effect on our business,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Our subsidiaries incorporated in Cyprus are subject to Cyprus corporate income tax of 12.5% on income earned in or derived from Cyprus and abroad. Our gaming revenues in Cyprus are exempt from VAT while our subsidiaries are liable for VAT on certain non-gaming transactions. Pursuant to the Cyprus License, a casino tax of 15% is imposed on gross gaming revenues in Cyprus. These casino taxes are recorded as a casino expense in the consolidated statements of operations. </w:t>
      </w:r>
    </w:p>
    <w:p>
      <w:pPr>
        <w:pStyle w:val="TextBody"/>
        <w:spacing w:before="480" w:after="0"/>
        <w:jc w:val="center"/>
        <w:rPr>
          <w:rFonts w:ascii="Times New Roman" w:hAnsi="Times New Roman"/>
          <w:sz w:val="20"/>
        </w:rPr>
      </w:pPr>
      <w:bookmarkStart w:id="18" w:name="rom396630_15"/>
      <w:bookmarkEnd w:id="18"/>
      <w:r>
        <w:rPr>
          <w:rFonts w:ascii="Times New Roman" w:hAnsi="Times New Roman"/>
          <w:b/>
          <w:sz w:val="20"/>
        </w:rPr>
        <w:t>C. ORGANIZATIONAL STRUCTURE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We are a Cayman Islands holding company for the following principal businesses and developments: (1) 100% economic interest in our Macau gaming concession holder, Melco Resorts Macau, which, directly or indirectly through its subsidiary, is the operator of our gaming and non-gaming businesses in various properties in Macau; (2) a majority equity and economic interest in SCI, the holding company of Studio City; (3) a majority equity and economic interest in MRP, the holding company of City of Dreams Manila; and (4) a majority equity and economic interest in ICR Cyprus, the holding company of our current operations in Cyprus including a temporary casino in Limassol and three satellite casinos in Nicosia, Ayia Napa and Paphos and the City of Dreams Mediterranean in development. Our operations are conducted by our subsidiaries. Investors may never directly hold equity interests in our operating subsidiaries.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diagram illustrates our organizational structure, including the place of formation, ownership interest and affiliation of our significant subsidiaries, as of March 24, 2023: </w:t>
      </w:r>
    </w:p>
    <w:p>
      <w:pPr>
        <w:pStyle w:val="TextBody"/>
        <w:spacing w:before="0" w:after="0"/>
        <w:jc w:val="left"/>
        <w:rPr/>
      </w:pPr>
      <w:r>
        <w:rPr/>
        <w:t> </w:t>
      </w:r>
    </w:p>
    <w:p>
      <w:pPr>
        <w:pStyle w:val="TextBody"/>
        <w:spacing w:before="0" w:after="0"/>
        <w:jc w:val="center"/>
        <w:rPr/>
      </w:pPr>
      <w:r>
        <w:rPr/>
        <w:drawing>
          <wp:inline distT="0" distB="0" distL="0" distR="0">
            <wp:extent cx="577850" cy="512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850" cy="512445"/>
                    </a:xfrm>
                    <a:prstGeom prst="rect">
                      <a:avLst/>
                    </a:prstGeom>
                  </pic:spPr>
                </pic:pic>
              </a:graphicData>
            </a:graphic>
          </wp:inline>
        </w:drawing>
      </w:r>
      <w:r>
        <w:rPr/>
        <w:t xml:space="preserve"> </w:t>
      </w:r>
    </w:p>
    <w:p>
      <w:pPr>
        <w:pStyle w:val="TextBody"/>
        <w:spacing w:before="120" w:after="0"/>
        <w:jc w:val="left"/>
        <w:rPr>
          <w:rFonts w:ascii="Times New Roman" w:hAnsi="Times New Roman"/>
          <w:sz w:val="20"/>
        </w:rPr>
      </w:pPr>
      <w:r>
        <w:rPr>
          <w:rFonts w:ascii="Times New Roman" w:hAnsi="Times New Roman"/>
          <w:sz w:val="20"/>
        </w:rPr>
        <w:t xml:space="preserve">Notes: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(1)</w:t>
            </w:r>
          </w:p>
        </w:tc>
        <w:tc>
          <w:tcPr>
            <w:tcW w:w="995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Based on 1,329,679,067 shares outstanding as of March 24, 2023. The 1,329,679,067 shares outstanding include shares held by our depositary bank to facilitate the administration and operation of our share incentive plans. Such shares represent 2.58% of the Company’s outstanding shares as of March 24, 2023. For a description of our share incentive plans, see “Item 6. Directors, Senior Management and Employees — E. Share Ownership — Share Incentive Plans.”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(2)</w:t>
            </w:r>
          </w:p>
        </w:tc>
        <w:tc>
          <w:tcPr>
            <w:tcW w:w="994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remaining 50% of the equity interests of these companies are owned by Studio City Holdings Five Limited, a wholly-owned subsidiary of SCI. The 50% interest held by Studio City Holdings Five Limited in various Studio City companies incorporated in the British Virgin Islands is non-voting. </w:t>
            </w:r>
          </w:p>
        </w:tc>
      </w:tr>
    </w:tbl>
    <w:p>
      <w:pPr>
        <w:pStyle w:val="TextBody"/>
        <w:spacing w:before="0" w:after="0"/>
        <w:jc w:val="left"/>
        <w:rPr/>
      </w:pPr>
      <w:r>
        <w:rPr/>
        <w:t> </w:t>
      </w:r>
    </w:p>
    <w:tbl>
      <w:tblPr>
        <w:tblW w:w="6760" w:type="dxa"/>
        <w:jc w:val="left"/>
        <w:tblInd w:w="0" w:type="dxa"/>
        <w:tblCellMar>
          <w:top w:w="0" w:type="dxa"/>
          <w:left w:w="0" w:type="dxa"/>
          <w:bottom w:w="0" w:type="dxa"/>
          <w:right w:w="0" w:type="dxa"/>
        </w:tblCellMar>
      </w:tblPr>
      <w:tblGrid>
        <w:gridCol w:w="305"/>
        <w:gridCol w:w="6455"/>
      </w:tblGrid>
      <w:tr>
        <w:trPr/>
        <w:tc>
          <w:tcPr>
            <w:tcW w:w="305" w:type="dxa"/>
            <w:tcBorders/>
            <w:shd w:fill="auto" w:val="clear"/>
            <w:vAlign w:val="center"/>
          </w:tcPr>
          <w:p>
            <w:pPr>
              <w:pStyle w:val="TableContents"/>
              <w:spacing w:before="0" w:after="283"/>
              <w:jc w:val="left"/>
              <w:rPr/>
            </w:pPr>
            <w:r>
              <w:rPr/>
              <w:t>(3)</w:t>
            </w:r>
          </w:p>
        </w:tc>
        <w:tc>
          <w:tcPr>
            <w:tcW w:w="6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0.02% of the equity interests are owned by Studio City Holdings Five Limited. </w:t>
            </w:r>
          </w:p>
        </w:tc>
      </w:tr>
    </w:tbl>
    <w:p>
      <w:pPr>
        <w:pStyle w:val="TextBody"/>
        <w:spacing w:before="0" w:after="0"/>
        <w:jc w:val="left"/>
        <w:rPr/>
      </w:pPr>
      <w:r>
        <w:rPr/>
        <w:t> </w:t>
      </w:r>
    </w:p>
    <w:tbl>
      <w:tblPr>
        <w:tblW w:w="7225" w:type="dxa"/>
        <w:jc w:val="left"/>
        <w:tblInd w:w="0" w:type="dxa"/>
        <w:tblCellMar>
          <w:top w:w="0" w:type="dxa"/>
          <w:left w:w="0" w:type="dxa"/>
          <w:bottom w:w="0" w:type="dxa"/>
          <w:right w:w="0" w:type="dxa"/>
        </w:tblCellMar>
      </w:tblPr>
      <w:tblGrid>
        <w:gridCol w:w="305"/>
        <w:gridCol w:w="6920"/>
      </w:tblGrid>
      <w:tr>
        <w:trPr/>
        <w:tc>
          <w:tcPr>
            <w:tcW w:w="305" w:type="dxa"/>
            <w:tcBorders/>
            <w:shd w:fill="auto" w:val="clear"/>
            <w:vAlign w:val="center"/>
          </w:tcPr>
          <w:p>
            <w:pPr>
              <w:pStyle w:val="TableContents"/>
              <w:spacing w:before="0" w:after="283"/>
              <w:jc w:val="left"/>
              <w:rPr/>
            </w:pPr>
            <w:r>
              <w:rPr/>
              <w:t>(4)</w:t>
            </w:r>
          </w:p>
        </w:tc>
        <w:tc>
          <w:tcPr>
            <w:tcW w:w="69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remaining 5% of the equity interests are owned by MCO Nominee Two Limited. </w:t>
            </w:r>
          </w:p>
        </w:tc>
      </w:tr>
    </w:tbl>
    <w:p>
      <w:pPr>
        <w:pStyle w:val="TextBody"/>
        <w:spacing w:before="0" w:after="0"/>
        <w:jc w:val="left"/>
        <w:rPr/>
      </w:pPr>
      <w:r>
        <w:rPr/>
        <w:t> </w:t>
      </w:r>
    </w:p>
    <w:tbl>
      <w:tblPr>
        <w:tblW w:w="5650" w:type="dxa"/>
        <w:jc w:val="left"/>
        <w:tblInd w:w="0" w:type="dxa"/>
        <w:tblCellMar>
          <w:top w:w="0" w:type="dxa"/>
          <w:left w:w="0" w:type="dxa"/>
          <w:bottom w:w="0" w:type="dxa"/>
          <w:right w:w="0" w:type="dxa"/>
        </w:tblCellMar>
      </w:tblPr>
      <w:tblGrid>
        <w:gridCol w:w="305"/>
        <w:gridCol w:w="5345"/>
      </w:tblGrid>
      <w:tr>
        <w:trPr/>
        <w:tc>
          <w:tcPr>
            <w:tcW w:w="305" w:type="dxa"/>
            <w:tcBorders/>
            <w:shd w:fill="auto" w:val="clear"/>
            <w:vAlign w:val="center"/>
          </w:tcPr>
          <w:p>
            <w:pPr>
              <w:pStyle w:val="TableContents"/>
              <w:spacing w:before="0" w:after="283"/>
              <w:jc w:val="left"/>
              <w:rPr/>
            </w:pPr>
            <w:r>
              <w:rPr/>
              <w:t>(5)</w:t>
            </w:r>
          </w:p>
        </w:tc>
        <w:tc>
          <w:tcPr>
            <w:tcW w:w="53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0.089% of the equity interests are owned by Melco International.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See “Item 7. Major Shareholders and Related Party Transactions — A. Major Shareholders” for more information regarding the beneficial ownership of Melco International in our Company and “Exhibit 8.1 — List of Significant Subsidiaries.” </w:t>
      </w:r>
    </w:p>
    <w:p>
      <w:pPr>
        <w:pStyle w:val="TextBody"/>
        <w:spacing w:before="480" w:after="0"/>
        <w:jc w:val="center"/>
        <w:rPr>
          <w:rFonts w:ascii="Times New Roman" w:hAnsi="Times New Roman"/>
          <w:b/>
          <w:sz w:val="20"/>
        </w:rPr>
      </w:pPr>
      <w:bookmarkStart w:id="19" w:name="rom396630_16"/>
      <w:bookmarkEnd w:id="19"/>
      <w:r>
        <w:rPr>
          <w:rFonts w:ascii="Times New Roman" w:hAnsi="Times New Roman"/>
          <w:b/>
          <w:sz w:val="20"/>
        </w:rPr>
        <w:t xml:space="preserve">D. PROPERTY, PLANT AND EQUIPMENT </w:t>
      </w:r>
    </w:p>
    <w:p>
      <w:pPr>
        <w:pStyle w:val="TextBody"/>
        <w:spacing w:before="240" w:after="0"/>
        <w:jc w:val="left"/>
        <w:rPr>
          <w:rFonts w:ascii="Times New Roman" w:hAnsi="Times New Roman"/>
          <w:sz w:val="20"/>
        </w:rPr>
      </w:pPr>
      <w:r>
        <w:rPr>
          <w:rFonts w:ascii="Times New Roman" w:hAnsi="Times New Roman"/>
          <w:sz w:val="20"/>
        </w:rPr>
        <w:t xml:space="preserve">See “Item 4. Information on the Company — B. Business Overview” and “Item 5. Operating and Financial Review and Prospects — B. Liquidity and Capital Resources — Cash Flows — Investing Activities” and “— Other Financing and Liquidity Matters” for information regarding our material tangible property, plant and equipment. </w:t>
      </w:r>
    </w:p>
    <w:p>
      <w:pPr>
        <w:pStyle w:val="TextBody"/>
        <w:spacing w:before="0" w:after="0"/>
        <w:jc w:val="left"/>
        <w:rPr/>
      </w:pPr>
      <w:r>
        <w:rPr/>
        <w:t> </w:t>
      </w:r>
    </w:p>
    <w:tbl>
      <w:tblPr>
        <w:tblW w:w="4375" w:type="dxa"/>
        <w:jc w:val="left"/>
        <w:tblInd w:w="0" w:type="dxa"/>
        <w:tblCellMar>
          <w:top w:w="0" w:type="dxa"/>
          <w:left w:w="0" w:type="dxa"/>
          <w:bottom w:w="0" w:type="dxa"/>
          <w:right w:w="0" w:type="dxa"/>
        </w:tblCellMar>
      </w:tblPr>
      <w:tblGrid>
        <w:gridCol w:w="1100"/>
        <w:gridCol w:w="3275"/>
      </w:tblGrid>
      <w:tr>
        <w:trPr/>
        <w:tc>
          <w:tcPr>
            <w:tcW w:w="1100" w:type="dxa"/>
            <w:tcBorders/>
            <w:shd w:fill="auto" w:val="clear"/>
            <w:vAlign w:val="center"/>
          </w:tcPr>
          <w:p>
            <w:pPr>
              <w:pStyle w:val="TableContents"/>
              <w:spacing w:before="0" w:after="283"/>
              <w:jc w:val="left"/>
              <w:rPr>
                <w:b/>
              </w:rPr>
            </w:pPr>
            <w:bookmarkStart w:id="20" w:name="rom396630_17"/>
            <w:bookmarkEnd w:id="20"/>
            <w:r>
              <w:rPr>
                <w:b/>
              </w:rPr>
              <w:t>ITEM 4A.</w:t>
            </w:r>
          </w:p>
        </w:tc>
        <w:tc>
          <w:tcPr>
            <w:tcW w:w="32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6235" w:type="dxa"/>
        <w:jc w:val="left"/>
        <w:tblInd w:w="0" w:type="dxa"/>
        <w:tblCellMar>
          <w:top w:w="0" w:type="dxa"/>
          <w:left w:w="0" w:type="dxa"/>
          <w:bottom w:w="0" w:type="dxa"/>
          <w:right w:w="0" w:type="dxa"/>
        </w:tblCellMar>
      </w:tblPr>
      <w:tblGrid>
        <w:gridCol w:w="920"/>
        <w:gridCol w:w="5315"/>
      </w:tblGrid>
      <w:tr>
        <w:trPr/>
        <w:tc>
          <w:tcPr>
            <w:tcW w:w="920" w:type="dxa"/>
            <w:tcBorders/>
            <w:shd w:fill="auto" w:val="clear"/>
            <w:vAlign w:val="center"/>
          </w:tcPr>
          <w:p>
            <w:pPr>
              <w:pStyle w:val="TableContents"/>
              <w:spacing w:before="0" w:after="283"/>
              <w:jc w:val="left"/>
              <w:rPr>
                <w:b/>
              </w:rPr>
            </w:pPr>
            <w:bookmarkStart w:id="21" w:name="rom396630_18"/>
            <w:bookmarkEnd w:id="21"/>
            <w:r>
              <w:rPr>
                <w:b/>
              </w:rPr>
              <w:t>ITEM 5.</w:t>
            </w:r>
          </w:p>
        </w:tc>
        <w:tc>
          <w:tcPr>
            <w:tcW w:w="53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OPERATING AND FINANCIAL REVIEW AND PROSPECTS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 </w:t>
      </w:r>
    </w:p>
    <w:p>
      <w:pPr>
        <w:pStyle w:val="TextBody"/>
        <w:spacing w:before="36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We are a holding company and, through our subsidiaries, develop, own and operate integrated resort facilities in Asia and Europe. Our future operating results are subject to significant business, economic, regulatory and competitive uncertainties and risks, many of which are beyond our control. See “Item 3. Key Information — D. Risk Factors — Risks Relating to Our Business and Operations.” For detailed information regarding our operations and development projects, see “Item 4. Information on the Company — B. Business Overview.” </w:t>
      </w:r>
    </w:p>
    <w:p>
      <w:pPr>
        <w:pStyle w:val="TextBody"/>
        <w:spacing w:before="480" w:after="0"/>
        <w:jc w:val="center"/>
        <w:rPr>
          <w:rFonts w:ascii="Times New Roman" w:hAnsi="Times New Roman"/>
          <w:b/>
          <w:sz w:val="20"/>
        </w:rPr>
      </w:pPr>
      <w:bookmarkStart w:id="22" w:name="rom396630_19"/>
      <w:bookmarkEnd w:id="22"/>
      <w:r>
        <w:rPr>
          <w:rFonts w:ascii="Times New Roman" w:hAnsi="Times New Roman"/>
          <w:b/>
          <w:sz w:val="20"/>
        </w:rPr>
        <w:t xml:space="preserve">A. OPERATING RESULTS </w:t>
      </w:r>
    </w:p>
    <w:p>
      <w:pPr>
        <w:pStyle w:val="TextBody"/>
        <w:spacing w:before="120" w:after="0"/>
        <w:jc w:val="left"/>
        <w:rPr>
          <w:rFonts w:ascii="Times New Roman" w:hAnsi="Times New Roman"/>
          <w:b/>
          <w:sz w:val="20"/>
        </w:rPr>
      </w:pPr>
      <w:r>
        <w:rPr>
          <w:rFonts w:ascii="Times New Roman" w:hAnsi="Times New Roman"/>
          <w:b/>
          <w:sz w:val="20"/>
        </w:rPr>
        <w:t xml:space="preserve">Operations </w:t>
      </w:r>
    </w:p>
    <w:p>
      <w:pPr>
        <w:pStyle w:val="TextBody"/>
        <w:spacing w:before="120" w:after="0"/>
        <w:jc w:val="left"/>
        <w:rPr>
          <w:rFonts w:ascii="Times New Roman" w:hAnsi="Times New Roman"/>
          <w:sz w:val="20"/>
        </w:rPr>
      </w:pPr>
      <w:r>
        <w:rPr>
          <w:rFonts w:ascii="Times New Roman" w:hAnsi="Times New Roman"/>
          <w:sz w:val="20"/>
        </w:rPr>
        <w:t xml:space="preserve">Our primary business segments consist of: </w:t>
      </w:r>
    </w:p>
    <w:p>
      <w:pPr>
        <w:pStyle w:val="TextBody"/>
        <w:spacing w:before="360" w:after="0"/>
        <w:jc w:val="left"/>
        <w:rPr>
          <w:rFonts w:ascii="Times New Roman" w:hAnsi="Times New Roman"/>
          <w:b/>
          <w:i/>
          <w:sz w:val="20"/>
        </w:rPr>
      </w:pPr>
      <w:r>
        <w:rPr>
          <w:rFonts w:ascii="Times New Roman" w:hAnsi="Times New Roman"/>
          <w:b/>
          <w:i/>
          <w:sz w:val="20"/>
        </w:rPr>
        <w:t xml:space="preserve">Macau </w:t>
      </w:r>
    </w:p>
    <w:p>
      <w:pPr>
        <w:pStyle w:val="TextBody"/>
        <w:spacing w:before="120" w:after="0"/>
        <w:jc w:val="left"/>
        <w:rPr>
          <w:rFonts w:ascii="Times New Roman" w:hAnsi="Times New Roman"/>
          <w:i/>
          <w:sz w:val="20"/>
        </w:rPr>
      </w:pPr>
      <w:r>
        <w:rPr>
          <w:rFonts w:ascii="Times New Roman" w:hAnsi="Times New Roman"/>
          <w:i/>
          <w:sz w:val="20"/>
        </w:rPr>
        <w:t xml:space="preserve">City of Dreams </w:t>
      </w:r>
    </w:p>
    <w:p>
      <w:pPr>
        <w:pStyle w:val="TextBody"/>
        <w:spacing w:before="120" w:after="0"/>
        <w:jc w:val="left"/>
        <w:rPr>
          <w:rFonts w:ascii="Times New Roman" w:hAnsi="Times New Roman"/>
          <w:sz w:val="20"/>
        </w:rPr>
      </w:pPr>
      <w:r>
        <w:rPr>
          <w:rFonts w:ascii="Times New Roman" w:hAnsi="Times New Roman"/>
          <w:sz w:val="20"/>
        </w:rPr>
        <w:t xml:space="preserve">In 2022, excluding gaming tables and gaming machines that were not in operation due to government-mandated closures or social distancing measures in relation to COVID-19 outbreaks, City of Dreams had an average of approximately 447 gaming tables and approximately 677 gaming machines. Morpheus offers approximately 780 rooms, suites and villas. Nüwa, which was under renovation since early 2020 and re-opened at the end of March 2021 offers approximately 290 guest rooms and the Grand Hyatt Macau hotel offers approximately 760 guest rooms. The Countdown is expected to undergo renovations as part of its rebranding. In addition, City of Dreams includes approximately 40 restaurants and bars, approximately 170 retail outlets, a wet stage performance theater, recreation and leisure facilities, including health and fitness clubs, swimming pools, spas and salons and banquet and meeting facilities. The wet stage performance theater with approximately 2,000 seats features The House of Dancing Water which has been temporarily closed since June 2020 and is expected to reopen in 2024. The Para nightclub, which replaced Club Cubic, offers approximately 2,232 square meters (equivalent to approximately 24,025 square feet) of live entertainment space. City of Dreams targets premium market and rolling chip players from regional markets across Asia.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years ended December 31, 2022, 2021 and 2020, operating revenues generated from City of Dreams amounted to US$559.7 million, US$1,146.9 million and US$985.6 million, representing 41.5%, 57.0% and 57.0% of our total operating revenues, respectively. </w:t>
      </w:r>
    </w:p>
    <w:p>
      <w:pPr>
        <w:pStyle w:val="TextBody"/>
        <w:spacing w:before="360" w:after="0"/>
        <w:jc w:val="left"/>
        <w:rPr>
          <w:rFonts w:ascii="Times New Roman" w:hAnsi="Times New Roman"/>
          <w:i/>
          <w:sz w:val="20"/>
        </w:rPr>
      </w:pPr>
      <w:r>
        <w:rPr>
          <w:rFonts w:ascii="Times New Roman" w:hAnsi="Times New Roman"/>
          <w:i/>
          <w:sz w:val="20"/>
        </w:rPr>
        <w:t xml:space="preserve">Altira Macau </w:t>
      </w:r>
    </w:p>
    <w:p>
      <w:pPr>
        <w:pStyle w:val="TextBody"/>
        <w:spacing w:before="120" w:after="0"/>
        <w:jc w:val="left"/>
        <w:rPr>
          <w:rFonts w:ascii="Times New Roman" w:hAnsi="Times New Roman"/>
          <w:sz w:val="20"/>
        </w:rPr>
      </w:pPr>
      <w:r>
        <w:rPr>
          <w:rFonts w:ascii="Times New Roman" w:hAnsi="Times New Roman"/>
          <w:sz w:val="20"/>
        </w:rPr>
        <w:t xml:space="preserve">In 2022, excluding gaming tables and gaming machines that were not in operation due to government-mandated closures or social distancing measures in relation to COVID-19 outbreaks, Altira Macau had an average of approximately 93 gaming tables and 146 gaming machines operated under the brand Mocha Club at Altira Macau. In addition, Altira Macau had approximately 220 hotel rooms as of December 31, 2022 and features several fine dining and casual restaurants and recreation and leisure facilities. Starting in the third quarter of 2021, Altira Macau was strategically repositioned to cater to the premium mass segment and shut down VIP rolling chip operations. For the years ended December 31, 2022, 2021 and 2020, operating revenues generated from Altira Macau amounted to US$32.6 million, US$56.2 million and US$108.9 million, representing 2.4%, 2.8% and 6.3% of our total operating revenues, respectively. </w:t>
      </w:r>
    </w:p>
    <w:p>
      <w:pPr>
        <w:pStyle w:val="TextBody"/>
        <w:spacing w:before="360" w:after="0"/>
        <w:jc w:val="left"/>
        <w:rPr>
          <w:rFonts w:ascii="Times New Roman" w:hAnsi="Times New Roman"/>
          <w:i/>
          <w:sz w:val="20"/>
        </w:rPr>
      </w:pPr>
      <w:r>
        <w:rPr>
          <w:rFonts w:ascii="Times New Roman" w:hAnsi="Times New Roman"/>
          <w:i/>
          <w:sz w:val="20"/>
        </w:rPr>
        <w:t xml:space="preserve">Studio City </w:t>
      </w:r>
    </w:p>
    <w:p>
      <w:pPr>
        <w:pStyle w:val="TextBody"/>
        <w:spacing w:before="120" w:after="0"/>
        <w:jc w:val="left"/>
        <w:rPr>
          <w:rFonts w:ascii="Times New Roman" w:hAnsi="Times New Roman"/>
          <w:sz w:val="20"/>
        </w:rPr>
      </w:pPr>
      <w:r>
        <w:rPr>
          <w:rFonts w:ascii="Times New Roman" w:hAnsi="Times New Roman"/>
          <w:sz w:val="20"/>
        </w:rPr>
        <w:t xml:space="preserve">Studio City is a large-scale cinematically-themed integrated resort located in Cotai, with gaming facilities, luxury hotel offerings and various entertainment, retail and food and beverage outlets to attract a diverse range of customers in Asia, with a current focus on the mass market segment and complemented with VIP rolling chip operations. The SC ADSs are listed on the New York Stock Exchange, and we owned approximately 54.9% of SCI’s total issued and outstanding shares as of March 24, 2023. In 2022, excluding gaming tables and gaming machines that were not in operation due to government-mandated closures or social distancing measures in relation to COVID-19 outbreaks, Studio City had an average of approximately 277 gaming tables and 700 gaming machines. For the years ended December 31, 2022, 2021 and 2020, operating revenues generated from Studio City amounted to US$176.0 million, US$372.3 million and US$266.5 million, representing 13.0%, 18.5% and 15.4 of our total operating revenues, respectively. </w:t>
      </w:r>
    </w:p>
    <w:p>
      <w:pPr>
        <w:pStyle w:val="TextBody"/>
        <w:spacing w:before="360" w:after="0"/>
        <w:jc w:val="left"/>
        <w:rPr>
          <w:rFonts w:ascii="Times New Roman" w:hAnsi="Times New Roman"/>
          <w:i/>
          <w:sz w:val="20"/>
        </w:rPr>
      </w:pPr>
      <w:r>
        <w:rPr>
          <w:rFonts w:ascii="Times New Roman" w:hAnsi="Times New Roman"/>
          <w:i/>
          <w:sz w:val="20"/>
        </w:rPr>
        <w:t xml:space="preserve">Mocha and Other </w:t>
      </w:r>
    </w:p>
    <w:p>
      <w:pPr>
        <w:pStyle w:val="TextBody"/>
        <w:spacing w:before="120" w:after="0"/>
        <w:jc w:val="left"/>
        <w:rPr>
          <w:rFonts w:ascii="Times New Roman" w:hAnsi="Times New Roman"/>
          <w:sz w:val="20"/>
        </w:rPr>
      </w:pPr>
      <w:r>
        <w:rPr>
          <w:rFonts w:ascii="Times New Roman" w:hAnsi="Times New Roman"/>
          <w:sz w:val="20"/>
        </w:rPr>
        <w:t xml:space="preserve">Effective from June 27, 2022, the Grand Dragon Casino, a casino on Taipa Island, Macau, which focuses on mass market table games and which was previously reported under the Corporate and Other segment, has been included in the Mocha and Other segment as a result of the change of terms of the right-to-use agreement for the Grand Dragon Casino. </w:t>
      </w:r>
    </w:p>
    <w:p>
      <w:pPr>
        <w:pStyle w:val="TextBody"/>
        <w:spacing w:before="240" w:after="0"/>
        <w:jc w:val="left"/>
        <w:rPr>
          <w:rFonts w:ascii="Times New Roman" w:hAnsi="Times New Roman"/>
          <w:sz w:val="20"/>
        </w:rPr>
      </w:pPr>
      <w:r>
        <w:rPr>
          <w:rFonts w:ascii="Times New Roman" w:hAnsi="Times New Roman"/>
          <w:sz w:val="20"/>
        </w:rPr>
        <w:t xml:space="preserve">In 2022, excluding gaming machines that were not in operation due to government-mandated closures or social distancing measures in relation to COVID-19 outbreaks, Mocha Clubs had an average of approximately 935 gaming machines in operation (excluding approximately 146 gaming machines at Altira Macau). Mocha Clubs focus primarily on general mass market players, including day-trip customers, outside the conventional casino setting. For the years ended December 31, 2022, 2021 and 2020, operating revenues generated from Mocha and Other amounted to US$76.4 million, US$85.0 million and US$65.3 million, representing 5.7%, 4.2% and 3.8% of our total operating revenues, respectively. The source of revenues was substantially all from gaming machines. For the years ended December 31, 2022, 2021 and 2020, gaming machine and mass market table games revenues represented 97.1%, 97.1% and 96.3% of operating revenues generated from Mocha and Other, respectively. </w:t>
      </w:r>
    </w:p>
    <w:p>
      <w:pPr>
        <w:pStyle w:val="TextBody"/>
        <w:spacing w:before="240" w:after="0"/>
        <w:jc w:val="left"/>
        <w:rPr>
          <w:rFonts w:ascii="Times New Roman" w:hAnsi="Times New Roman"/>
          <w:sz w:val="20"/>
        </w:rPr>
      </w:pPr>
      <w:r>
        <w:rPr>
          <w:rFonts w:ascii="Times New Roman" w:hAnsi="Times New Roman"/>
          <w:sz w:val="20"/>
        </w:rPr>
        <w:t xml:space="preserve">Excluding gaming tables that were not in operation due to government-mandated closures or social distancing measures in relation to COVID-19 outbreaks, Grand Dragon Casino had an average of approximately 25 gaming tables in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Corporate and Other </w:t>
      </w:r>
    </w:p>
    <w:p>
      <w:pPr>
        <w:pStyle w:val="TextBody"/>
        <w:spacing w:before="120" w:after="0"/>
        <w:jc w:val="left"/>
        <w:rPr>
          <w:rFonts w:ascii="Times New Roman" w:hAnsi="Times New Roman"/>
          <w:sz w:val="20"/>
        </w:rPr>
      </w:pPr>
      <w:r>
        <w:rPr>
          <w:rFonts w:ascii="Times New Roman" w:hAnsi="Times New Roman"/>
          <w:sz w:val="20"/>
        </w:rPr>
        <w:t xml:space="preserve">Corporate and Other primarily includes Grand Dragon Casino (included in Mocha and Other segment effective from June 27, 2022), our ski resort in Japan (disposed in late December 2022) and other corporate costs. For the years ended December 31, 2022, 2021 and 2020, operating revenues generated from Corporate and Other amounted to US$17.6 million, US$30.8 million and US$25.9 million, representing 1.3%, 1.5% and 1.5% of our total operating revenues, respectively. </w:t>
      </w:r>
    </w:p>
    <w:p>
      <w:pPr>
        <w:pStyle w:val="TextBody"/>
        <w:spacing w:before="360" w:after="0"/>
        <w:jc w:val="left"/>
        <w:rPr>
          <w:rFonts w:ascii="Times New Roman" w:hAnsi="Times New Roman"/>
          <w:b/>
          <w:i/>
          <w:sz w:val="20"/>
        </w:rPr>
      </w:pPr>
      <w:r>
        <w:rPr>
          <w:rFonts w:ascii="Times New Roman" w:hAnsi="Times New Roman"/>
          <w:b/>
          <w:i/>
          <w:sz w:val="20"/>
        </w:rPr>
        <w:t xml:space="preserve">Philippines </w:t>
      </w:r>
    </w:p>
    <w:p>
      <w:pPr>
        <w:pStyle w:val="TextBody"/>
        <w:spacing w:before="120" w:after="0"/>
        <w:jc w:val="left"/>
        <w:rPr>
          <w:rFonts w:ascii="Times New Roman" w:hAnsi="Times New Roman"/>
          <w:i/>
          <w:sz w:val="20"/>
        </w:rPr>
      </w:pPr>
      <w:r>
        <w:rPr>
          <w:rFonts w:ascii="Times New Roman" w:hAnsi="Times New Roman"/>
          <w:i/>
          <w:sz w:val="20"/>
        </w:rPr>
        <w:t xml:space="preserve">City of Dreams Manila </w:t>
      </w:r>
    </w:p>
    <w:p>
      <w:pPr>
        <w:pStyle w:val="TextBody"/>
        <w:spacing w:before="120" w:after="0"/>
        <w:jc w:val="left"/>
        <w:rPr>
          <w:rFonts w:ascii="Times New Roman" w:hAnsi="Times New Roman"/>
          <w:sz w:val="20"/>
        </w:rPr>
      </w:pPr>
      <w:r>
        <w:rPr>
          <w:rFonts w:ascii="Times New Roman" w:hAnsi="Times New Roman"/>
          <w:sz w:val="20"/>
        </w:rPr>
        <w:t xml:space="preserve">In 2022, excluding gaming tables and gaming machines that were not in operation due to government-mandated closures or social distancing measures in relation to COVID-19 outbreaks, City of Dreams Manila had an average of approximately 2,266 gaming machines and 274 gaming tables, as of December 31, 2022. City of Dreams Manila also includes three branded hotel towers, several entertainment venues and features a wide selection of regional and international food and beverage offerings as well as extended retail shops. For the years ended December 31, 2022, 2021 and 2020, operating revenues generated from City of Dreams Manila amounted to US$396.4 million, US$268.6 million and US$224.7 million, representing 29.4%, 13.3% and 13.0% of our total operating revenues, respectively. </w:t>
      </w:r>
    </w:p>
    <w:p>
      <w:pPr>
        <w:pStyle w:val="TextBody"/>
        <w:spacing w:before="360" w:after="0"/>
        <w:jc w:val="left"/>
        <w:rPr>
          <w:rFonts w:ascii="Times New Roman" w:hAnsi="Times New Roman"/>
          <w:b/>
          <w:i/>
          <w:sz w:val="20"/>
        </w:rPr>
      </w:pPr>
      <w:r>
        <w:rPr>
          <w:rFonts w:ascii="Times New Roman" w:hAnsi="Times New Roman"/>
          <w:b/>
          <w:i/>
          <w:sz w:val="20"/>
        </w:rPr>
        <w:t xml:space="preserve">Cyprus </w:t>
      </w:r>
    </w:p>
    <w:p>
      <w:pPr>
        <w:pStyle w:val="TextBody"/>
        <w:spacing w:before="120" w:after="0"/>
        <w:jc w:val="left"/>
        <w:rPr>
          <w:rFonts w:ascii="Times New Roman" w:hAnsi="Times New Roman"/>
          <w:sz w:val="20"/>
        </w:rPr>
      </w:pPr>
      <w:r>
        <w:rPr>
          <w:rFonts w:ascii="Times New Roman" w:hAnsi="Times New Roman"/>
          <w:sz w:val="20"/>
        </w:rPr>
        <w:t xml:space="preserve">We currently operate and manage a temporary casino in Limassol and three satellite casinos in Nicosia, Ayia Napa and Paphos in Cyprus. In 2022, excluding gaming tables and gaming machines that were not in operation due to government-mandated closures or social distancing measures in relation to COVID-19 outbreaks, our facilities in Cyprus had an average of approximately 454 gaming machines and 35 gaming tables. For the years ended December 31, 2022, 2021 and 2020, operating revenues generated from our operations in Cyprus amounted to US$91.3 million, US$52.6 million and US$51.0 million, representing 6.8%, 2.6% and 3.0% of our total operating revenues, respectively. </w:t>
      </w:r>
    </w:p>
    <w:p>
      <w:pPr>
        <w:pStyle w:val="TextBody"/>
        <w:spacing w:before="360" w:after="0"/>
        <w:jc w:val="left"/>
        <w:rPr>
          <w:rFonts w:ascii="Times New Roman" w:hAnsi="Times New Roman"/>
          <w:b/>
          <w:sz w:val="20"/>
        </w:rPr>
      </w:pPr>
      <w:r>
        <w:rPr>
          <w:rFonts w:ascii="Times New Roman" w:hAnsi="Times New Roman"/>
          <w:b/>
          <w:sz w:val="20"/>
        </w:rPr>
        <w:t xml:space="preserve">Summary of Financial Results </w:t>
      </w:r>
    </w:p>
    <w:p>
      <w:pPr>
        <w:pStyle w:val="TextBody"/>
        <w:spacing w:before="120" w:after="0"/>
        <w:jc w:val="left"/>
        <w:rPr>
          <w:rFonts w:ascii="Times New Roman" w:hAnsi="Times New Roman"/>
          <w:sz w:val="20"/>
        </w:rPr>
      </w:pPr>
      <w:r>
        <w:rPr>
          <w:rFonts w:ascii="Times New Roman" w:hAnsi="Times New Roman"/>
          <w:sz w:val="20"/>
        </w:rPr>
        <w:t xml:space="preserve">For the year ended December 31, 2022, our total operating revenues were US$1.35 billion, a decrease of 32.9% from US$2.01 billion for the year ended December 31, 2021. Net loss attributable to Melco Resorts &amp; Entertainment Limited for the year ended December 31, 2022 was US$0.93 billion, as compared to net loss attributable to Melco Resorts &amp; Entertainment Limited of US$0.81 billion for the year ended December 31, 2021. The change was primarily attributable to softer performance in the mass market table games and rolling chip segments as well as non-gaming operations as a result of the government mandated temporary closure of our casinos in Macau in July and heighted travel restrictions in Macau and mainland China related to COVID-19 during the year, partially offset by lower development costs, amortization of gaming subconcession costs as well as depreciation and amortization expenses. </w:t>
      </w:r>
    </w:p>
    <w:p>
      <w:pPr>
        <w:pStyle w:val="TextBody"/>
        <w:spacing w:before="0" w:after="0"/>
        <w:jc w:val="left"/>
        <w:rPr/>
      </w:pPr>
      <w:r>
        <w:rPr/>
        <w:t> </w:t>
      </w:r>
    </w:p>
    <w:tbl>
      <w:tblPr>
        <w:tblW w:w="9605" w:type="dxa"/>
        <w:jc w:val="left"/>
        <w:tblInd w:w="0" w:type="dxa"/>
        <w:tblCellMar>
          <w:top w:w="0" w:type="dxa"/>
          <w:left w:w="0" w:type="dxa"/>
          <w:bottom w:w="0" w:type="dxa"/>
          <w:right w:w="0" w:type="dxa"/>
        </w:tblCellMar>
      </w:tblPr>
      <w:tblGrid>
        <w:gridCol w:w="5180"/>
        <w:gridCol w:w="120"/>
        <w:gridCol w:w="140"/>
        <w:gridCol w:w="1055"/>
        <w:gridCol w:w="155"/>
        <w:gridCol w:w="120"/>
        <w:gridCol w:w="140"/>
        <w:gridCol w:w="1055"/>
        <w:gridCol w:w="155"/>
        <w:gridCol w:w="120"/>
        <w:gridCol w:w="140"/>
        <w:gridCol w:w="1055"/>
        <w:gridCol w:w="170"/>
      </w:tblGrid>
      <w:tr>
        <w:trPr/>
        <w:tc>
          <w:tcPr>
            <w:tcW w:w="5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3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135" w:type="dxa"/>
            <w:gridSpan w:val="10"/>
            <w:tcBorders/>
            <w:shd w:fill="auto" w:val="clear"/>
            <w:vAlign w:val="center"/>
          </w:tcPr>
          <w:p>
            <w:pPr>
              <w:pStyle w:val="TableContents"/>
              <w:spacing w:before="0" w:after="283"/>
              <w:jc w:val="center"/>
              <w:rPr>
                <w:b/>
              </w:rPr>
            </w:pPr>
            <w:r>
              <w:rPr>
                <w:b/>
              </w:rPr>
              <w:t>(in thousands of US$)</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1,349,977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2,012,356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1,727,923</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(2,093,082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(2,589,807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(2,668,480</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(743,105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(577,451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(940,557</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 attributable to Melco Resorts &amp; Entertainment Limited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(930,526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(811,751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(1,263,492</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results of operations and financial position for the years presented are not fully comparable for the following reasons: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April 29, 2020, we sold all of our approximately 9.99% ownership interest in Crown Resorts at the aggregate price of AUD551.6 million (equivalent to approximately US$359.1 million based on the exchange rate on the transaction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April 29, 2020, our subsidiary, MCO Nominee One, as borrower, entered into the 2020 Credit Facilities pursuant to which the lenders have made available HK$14.85 billion (equivalent to US$1.90 billion) in a revolving credit facility for a term of five years.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May 6, 2020, MCO Nominee One drew down HK$2.73 billion (equivalent to US$349.6 million) under the 2020 Credit Facilities and, on May 7, 2020, we used a portion of the proceeds from such drawdown to repay all outstanding loan amounts under the 2015 Credit Facilities, together with accrued interest and associated costs, other than HK$1.0 million (equivalent to US$128,000) which remained outstanding under the term loan facility for the 2015 Credit Facilities. On May 7, 2020, following the repayment of outstanding amounts under the 2015 Credit Facilities, together with accrued interest and associated costs, a part of the revolving credit facility commitments under the 2015 Credit Facilities were canceled, following which the available revolving credit facility commitments under the 2015 Credit Facilities were HK$1.0 million (equivalent to US$128,000).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July 15, 2020, Studio City Finance issued US$500 million in aggregate principal amount of the 2025 Studio City Notes and US$500 million in aggregate principal amount of the 2028 Studio City Notes, net proceeds from which a portion were used to redeem in full by Studio City Company of the 2021 Studio City Company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July 21, 2020, Melco Resorts Finance issued US$500.0 million in aggregate principal of the First 2028 Senior Notes, the net proceeds from which were used to repay the principal amount outstanding for the revolving credit facility under the 2020 Credit Facilities.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August 11, 2020, Melco Resorts Finance issued US$350.0 million in aggregate principal of the Additional 2028 Senior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During July and August 2020, SCI announced and completed a US$500 million private placement of shares. The net proceeds from this private placement was approximately US$499.2 million, of which US$219.2 million was from noncontrolling interests.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September 23, 2020, MCO Nominee One drew down HK$1.94 billion (equivalent to US$249.9 million) of the revolving credit facility under the 2020 Credit Facilities.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January 14, 2021, Studio City Finance issued US$750.0 million in aggregate principal amount of the First 2029 Studio City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January 21, 2021, Melco Resorts Finance issued US$250.0 million in aggregate principal of the Additional 2029 Senior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January 27, 2021, MCO Nominee One repaid HK$1.94 billion (equivalent to US$249.9 million) of the revolving credit facility under the 2020 Credit Facilities, together with accrued interest, with the proceeds from the Additional 2029 Senior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May 20, 2021, Studio City Finance issued US$350.0 million in aggregate principal amount of the Additional 2029 Studio City Notes.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December 1, 2021, MCO Nominee One drew down HK$1.17 billion (equivalent to US$149.8 million) under the 2020 Credit Facilities, and, on December 15, 2021, drew down HK$1.95 billion (equivalent to US$249.7 million) under the 2020 Credit Facilities.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February 16, 2022, Studio City Company issued US$350.0 million in aggregate principal amount of the 2027 Studio City Notes.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February 23, 2022, MCO Nominee One drew down US$170.0 million under the 2020 Credit Facilities to fund the purchase of shares from SCI as part of its private placement announced in February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April 6, 2022, MCO Nominee One further drew down US$250.0 million under the 2020 Credit Facilities, out of which US$170.0 million was advanced to our Company for working capital and general corporate purposes.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May 4, 2022, the maturity date of the 2015 Credit Facilities was extended to December 31, 2022 pursuant to an extension request letter.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August 16, 2022, MCO Nominee One received confirmation that the majority of lenders of 2020 Credit Facilities agreement dated April 29, 2020 consented and agreed to a waiver extension of the financial condition covenants contained therein, being the interest cover ratio (the ratio of consolidated EBITDA to consolidated net finance charges), the senior leverage ratio (the ratio of consolidated total debt to consolidated EBITDA) and the total leverage ratio (the ratio of consolidated total debt to consolidated EBITDA). The existing waiver remains valid in respect of the relevant periods ending on the December 31, 2022 test date, and the waiver extension granted extends that waiver for all relevant periods to and including the March 31, 2024 test date. MCO Nominee One paid a customary fee to all consenting lenders in relation to such consent and such consent has become effective upon receipt of the consent fee by the facility agent.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August 24, 2022, MCO Nominee One drew down US$400.0 million under the 2020 Credit Facilities, out of which US$160.0 million was advanced to our Company for corporate purposes.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December 5, 2022, MCO Nominee One drew down HK$5.31 billion (equivalent to US$680.1 million) under the 2020 Credit Facilities and were advanced to Melco Resorts Macau, out of which approximately US$496.0 million was used to pay MOP3.99 billion (equivalent to US$496.0 million) in dividends from Melco Resorts Macau to MCO Investments.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On December 16, 2022, the maturity date of the 2015 Credit Facilities was extended to June 24, 2024 pursuant to an extension request letter. </w:t>
            </w:r>
          </w:p>
        </w:tc>
      </w:tr>
    </w:tbl>
    <w:p>
      <w:pPr>
        <w:pStyle w:val="TextBody"/>
        <w:spacing w:before="240" w:after="0"/>
        <w:jc w:val="left"/>
        <w:rPr>
          <w:rFonts w:ascii="Times New Roman" w:hAnsi="Times New Roman"/>
          <w:sz w:val="20"/>
        </w:rPr>
      </w:pPr>
      <w:r>
        <w:rPr>
          <w:rFonts w:ascii="Times New Roman" w:hAnsi="Times New Roman"/>
          <w:sz w:val="20"/>
        </w:rPr>
        <w:t xml:space="preserve">Our operations in 2022 continued to be significantly impacted by travel restrictions and quarantine requirements as well as casino closures. According to the DSEC, visitor arrivals to Macau decreased by 26.0% on a year-over-year basis in 2022 as compared to 2021 while, according to the DICJ, gross gaming revenues in Macau declined by 51.4% on a year- over-year basis in 2022. As we derive a significant majority of our revenues from our business and operations in Macau, our business has been materially and adversely affected by the COVID-19 pandemic. </w:t>
      </w:r>
    </w:p>
    <w:p>
      <w:pPr>
        <w:pStyle w:val="TextBody"/>
        <w:spacing w:before="240" w:after="0"/>
        <w:jc w:val="left"/>
        <w:rPr>
          <w:rFonts w:ascii="Times New Roman" w:hAnsi="Times New Roman"/>
          <w:sz w:val="20"/>
        </w:rPr>
      </w:pPr>
      <w:r>
        <w:rPr>
          <w:rFonts w:ascii="Times New Roman" w:hAnsi="Times New Roman"/>
          <w:sz w:val="20"/>
        </w:rPr>
        <w:t xml:space="preserve">While quarantine-free travel within Greater China has resumed and pandemic measures in Macau, the Philippines and Cyprus have eased significantly, the pace of recovery from COVID-19 is highly uncertain and will depend on the extent of any future COVID-19 outbreaks and government responses to such outbreaks, the efficacy of COVID-19 vaccines, including against any new strains of the coronavirus that causes COVID-19, the impact of potentially higher unemployment rates, declines in income levels and loss of personal wealth resulting from COVID-19 outbreaks. Moreover, even if COVID-19 outbreaks subside, there is no guarantee that travel and consumer sentiment will rebound quickly or at all. In addition, although restrictions related to COVID-19 have eased in mainland China, Macau, the Philippines and Cyprus, we cannot be certain whether authorities in these jurisdictions will reintroduce any of the previously imposed restrictions or any new restrictions in response to COVID-19 or other health emergencies. </w:t>
      </w:r>
    </w:p>
    <w:p>
      <w:pPr>
        <w:pStyle w:val="TextBody"/>
        <w:spacing w:before="240" w:after="0"/>
        <w:jc w:val="left"/>
        <w:rPr>
          <w:rFonts w:ascii="Times New Roman" w:hAnsi="Times New Roman"/>
          <w:sz w:val="20"/>
        </w:rPr>
      </w:pPr>
      <w:r>
        <w:rPr>
          <w:rFonts w:ascii="Times New Roman" w:hAnsi="Times New Roman"/>
          <w:sz w:val="20"/>
        </w:rPr>
        <w:t xml:space="preserve">The COVID-19 outbreak has also caused severe disruptions to the businesses of our tenants and other business partners, which may increase the risk of them defaulting on their contractual obligations with us, which may adversely affect our business, financial condition and results of operations, including causing increases in our bad debts.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Given the uncertainty around the pace of recovery from COVID-19 and the extent of any future COVID-19 outbreaks and government responses to any such outbreaks, we cannot reasonably estimate the impact to our future results of operations, cash flows and financial condition. See “Item 3. Key Information — Risk Factors — Risks Relating to Our Business and Operations — COVID-19 outbreaks have had an adverse effect on our operations, which has had a significant negative effect over the past three years and may continue to materially impact our business, prospects, financial condition and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Key Performance Indicators (KPIs) </w:t>
      </w:r>
    </w:p>
    <w:p>
      <w:pPr>
        <w:pStyle w:val="TextBody"/>
        <w:spacing w:before="120" w:after="0"/>
        <w:jc w:val="left"/>
        <w:rPr>
          <w:rFonts w:ascii="Times New Roman" w:hAnsi="Times New Roman"/>
          <w:sz w:val="20"/>
        </w:rPr>
      </w:pPr>
      <w:r>
        <w:rPr>
          <w:rFonts w:ascii="Times New Roman" w:hAnsi="Times New Roman"/>
          <w:sz w:val="20"/>
        </w:rPr>
        <w:t xml:space="preserve">We use the following KPIs to evaluate our casino operations, including table games and gaming machines: </w:t>
      </w:r>
    </w:p>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75"/>
        <w:gridCol w:w="110"/>
        <w:gridCol w:w="60"/>
        <w:gridCol w:w="9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Rolling chip volume:</w:t>
            </w:r>
            <w:r>
              <w:rPr>
                <w:rFonts w:ascii="Times New Roman" w:hAnsi="Times New Roman"/>
                <w:sz w:val="20"/>
              </w:rPr>
              <w:t xml:space="preserve"> the amount of non-negotiable chips wagered and lost by the rolling chip market segment.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Rolling chip win rate:</w:t>
            </w:r>
            <w:r>
              <w:rPr>
                <w:rFonts w:ascii="Times New Roman" w:hAnsi="Times New Roman"/>
                <w:sz w:val="20"/>
              </w:rPr>
              <w:t xml:space="preserve"> rolling chip table games win (calculated before discounts, commissions, non-discretionary incentives (including our point-loyalty programs) and allocating casino revenues related to goods and services provided to gaming patrons on a complimentary basis) as a percentage of rolling chip volume. </w:t>
            </w:r>
          </w:p>
        </w:tc>
      </w:tr>
    </w:tbl>
    <w:p>
      <w:pPr>
        <w:pStyle w:val="TextBody"/>
        <w:spacing w:before="0" w:after="0"/>
        <w:jc w:val="left"/>
        <w:rPr/>
      </w:pPr>
      <w:r>
        <w:rPr/>
        <w:t> </w:t>
      </w:r>
    </w:p>
    <w:tbl>
      <w:tblPr>
        <w:tblW w:w="8770" w:type="dxa"/>
        <w:jc w:val="left"/>
        <w:tblInd w:w="0" w:type="dxa"/>
        <w:tblCellMar>
          <w:top w:w="0" w:type="dxa"/>
          <w:left w:w="0" w:type="dxa"/>
          <w:bottom w:w="0" w:type="dxa"/>
          <w:right w:w="0" w:type="dxa"/>
        </w:tblCellMar>
      </w:tblPr>
      <w:tblGrid>
        <w:gridCol w:w="75"/>
        <w:gridCol w:w="110"/>
        <w:gridCol w:w="60"/>
        <w:gridCol w:w="85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Mass market table games drop:</w:t>
            </w:r>
            <w:r>
              <w:rPr>
                <w:rFonts w:ascii="Times New Roman" w:hAnsi="Times New Roman"/>
                <w:sz w:val="20"/>
              </w:rPr>
              <w:t xml:space="preserve"> the amount of table games drop in the mass market table games segment.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Mass market table games hold percentage:</w:t>
            </w:r>
            <w:r>
              <w:rPr>
                <w:rFonts w:ascii="Times New Roman" w:hAnsi="Times New Roman"/>
                <w:sz w:val="20"/>
              </w:rPr>
              <w:t xml:space="preserve"> mass market table games win (calculated before discounts, commissions, non-discretionary incentives (including our point-loyalty programs) and allocating casino revenues related to goods and services provided to gaming patrons on a complimentary basis) as a percentage of mass market table games drop.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Table games win:</w:t>
            </w:r>
            <w:r>
              <w:rPr>
                <w:rFonts w:ascii="Times New Roman" w:hAnsi="Times New Roman"/>
                <w:sz w:val="20"/>
              </w:rPr>
              <w:t xml:space="preserve"> the amount of wagers won net of wagers lost on gaming tables that is retained and recorded as casino revenues. Table games win is calculated before discounts, commissions, non-discretionary incentives (including our point-loyalty programs) and allocating casino revenues related to goods and services provided to gaming patrons on a complimentary basis.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Gaming machine handle:</w:t>
            </w:r>
            <w:r>
              <w:rPr>
                <w:rFonts w:ascii="Times New Roman" w:hAnsi="Times New Roman"/>
                <w:sz w:val="20"/>
              </w:rPr>
              <w:t xml:space="preserve"> the total amount wagered in gaming machines.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Gaming machine win rate:</w:t>
            </w:r>
            <w:r>
              <w:rPr>
                <w:rFonts w:ascii="Times New Roman" w:hAnsi="Times New Roman"/>
                <w:sz w:val="20"/>
              </w:rPr>
              <w:t xml:space="preserve"> gaming machine win (calculated before non-discretionary incentives (including our point-loyalty programs) and allocating casino revenues related to goods and services provided to gaming patrons on a complimentary basis) expressed as a percentage of gaming machine handle. </w:t>
            </w:r>
          </w:p>
        </w:tc>
      </w:tr>
    </w:tbl>
    <w:p>
      <w:pPr>
        <w:pStyle w:val="TextBody"/>
        <w:spacing w:before="240" w:after="0"/>
        <w:jc w:val="left"/>
        <w:rPr>
          <w:rFonts w:ascii="Times New Roman" w:hAnsi="Times New Roman"/>
          <w:sz w:val="20"/>
        </w:rPr>
      </w:pPr>
      <w:r>
        <w:rPr>
          <w:rFonts w:ascii="Times New Roman" w:hAnsi="Times New Roman"/>
          <w:sz w:val="20"/>
        </w:rPr>
        <w:t xml:space="preserve">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 </w:t>
      </w:r>
    </w:p>
    <w:p>
      <w:pPr>
        <w:pStyle w:val="TextBody"/>
        <w:spacing w:before="240" w:after="0"/>
        <w:jc w:val="left"/>
        <w:rPr>
          <w:rFonts w:ascii="Times New Roman" w:hAnsi="Times New Roman"/>
          <w:sz w:val="20"/>
        </w:rPr>
      </w:pPr>
      <w:r>
        <w:rPr>
          <w:rFonts w:ascii="Times New Roman" w:hAnsi="Times New Roman"/>
          <w:sz w:val="20"/>
        </w:rPr>
        <w:t xml:space="preserve">Our combined expected rolling chip win rate across our properties is in the range of 2.85% to 3.15%. </w:t>
      </w:r>
    </w:p>
    <w:p>
      <w:pPr>
        <w:pStyle w:val="TextBody"/>
        <w:spacing w:before="240" w:after="0"/>
        <w:jc w:val="left"/>
        <w:rPr>
          <w:rFonts w:ascii="Times New Roman" w:hAnsi="Times New Roman"/>
          <w:sz w:val="20"/>
        </w:rPr>
      </w:pPr>
      <w:r>
        <w:rPr>
          <w:rFonts w:ascii="Times New Roman" w:hAnsi="Times New Roman"/>
          <w:sz w:val="20"/>
        </w:rPr>
        <w:t xml:space="preserve">We use the following KPIs to evaluate our hotel operations: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Average daily rate:</w:t>
            </w:r>
            <w:r>
              <w:rPr>
                <w:rFonts w:ascii="Times New Roman" w:hAnsi="Times New Roman"/>
                <w:sz w:val="20"/>
              </w:rPr>
              <w:t xml:space="preserve"> calculated by dividing total room revenues including complimentary rooms (less service charges, if any) by total rooms occupied, including complimentary rooms, i.e., average price of occupied rooms per day.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Occupancy rate:</w:t>
            </w:r>
            <w:r>
              <w:rPr>
                <w:rFonts w:ascii="Times New Roman" w:hAnsi="Times New Roman"/>
                <w:sz w:val="20"/>
              </w:rPr>
              <w:t xml:space="preserve"> the average percentage of available hotel rooms occupied, including complimentary rooms, during a period.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i/>
                <w:sz w:val="20"/>
              </w:rPr>
              <w:t>Revenue per available room, or REVPAR:</w:t>
            </w:r>
            <w:r>
              <w:rPr>
                <w:rFonts w:ascii="Times New Roman" w:hAnsi="Times New Roman"/>
                <w:sz w:val="20"/>
              </w:rPr>
              <w:t xml:space="preserve"> calculated by dividing total room revenues including complimentary rooms (less service charges, if any) by total rooms available, thereby representing a combination of hotel average daily room rates and occupancy. </w:t>
            </w:r>
          </w:p>
        </w:tc>
      </w:tr>
    </w:tbl>
    <w:p>
      <w:pPr>
        <w:pStyle w:val="TextBody"/>
        <w:spacing w:before="240" w:after="0"/>
        <w:jc w:val="left"/>
        <w:rPr>
          <w:rFonts w:ascii="Times New Roman" w:hAnsi="Times New Roman"/>
          <w:sz w:val="20"/>
        </w:rPr>
      </w:pPr>
      <w:r>
        <w:rPr>
          <w:rFonts w:ascii="Times New Roman" w:hAnsi="Times New Roman"/>
          <w:sz w:val="20"/>
        </w:rPr>
        <w:t xml:space="preserve">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 </w:t>
      </w:r>
    </w:p>
    <w:p>
      <w:pPr>
        <w:pStyle w:val="TextBody"/>
        <w:spacing w:before="240" w:after="0"/>
        <w:jc w:val="left"/>
        <w:rPr>
          <w:rFonts w:ascii="Times New Roman" w:hAnsi="Times New Roman"/>
          <w:sz w:val="20"/>
        </w:rPr>
      </w:pPr>
      <w:r>
        <w:rPr>
          <w:rFonts w:ascii="Times New Roman" w:hAnsi="Times New Roman"/>
          <w:sz w:val="20"/>
        </w:rPr>
        <w:t xml:space="preserve">Tables games and gaming machines that were not in operation due to government mandated closures or social distancing measures in relation to COVID-19 outbreaks have been excluded. Room statistics also exclude rooms that were temporarily closed or provided to the staff members due to COVID-19 outbreaks. </w:t>
      </w:r>
    </w:p>
    <w:p>
      <w:pPr>
        <w:pStyle w:val="TextBody"/>
        <w:spacing w:before="360" w:after="0"/>
        <w:jc w:val="left"/>
        <w:rPr>
          <w:rFonts w:ascii="Times New Roman" w:hAnsi="Times New Roman"/>
          <w:b/>
          <w:sz w:val="20"/>
        </w:rPr>
      </w:pPr>
      <w:r>
        <w:rPr>
          <w:rFonts w:ascii="Times New Roman" w:hAnsi="Times New Roman"/>
          <w:b/>
          <w:sz w:val="20"/>
        </w:rPr>
        <w:t xml:space="preserve">Year Ended December 31, 2022 Compared to Year Ended December 31, 2021 </w:t>
      </w:r>
    </w:p>
    <w:p>
      <w:pPr>
        <w:pStyle w:val="TextBody"/>
        <w:spacing w:before="120" w:after="0"/>
        <w:jc w:val="left"/>
        <w:rPr>
          <w:rFonts w:ascii="Times New Roman" w:hAnsi="Times New Roman"/>
          <w:b/>
          <w:i/>
          <w:sz w:val="20"/>
        </w:rPr>
      </w:pPr>
      <w:r>
        <w:rPr>
          <w:rFonts w:ascii="Times New Roman" w:hAnsi="Times New Roman"/>
          <w:b/>
          <w:i/>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Our total operating revenues for the year ended December 31, 2022 were US$1.35 billion, a decrease of US$662.4 million, or 32.9%, from US$2.01 billion for the year ended December 31, 2021. The decrease in total operating revenues was primarily attributable to softer performance in the mass market table games and rolling chip segments as well as lower non-gaming revenues. </w:t>
      </w:r>
    </w:p>
    <w:p>
      <w:pPr>
        <w:pStyle w:val="TextBody"/>
        <w:spacing w:before="240" w:after="0"/>
        <w:jc w:val="left"/>
        <w:rPr>
          <w:rFonts w:ascii="Times New Roman" w:hAnsi="Times New Roman"/>
          <w:sz w:val="20"/>
        </w:rPr>
      </w:pPr>
      <w:r>
        <w:rPr>
          <w:rFonts w:ascii="Times New Roman" w:hAnsi="Times New Roman"/>
          <w:sz w:val="20"/>
        </w:rPr>
        <w:t xml:space="preserve">Our total operating revenues for the year ended December 31, 2022 consisted of US$1.08 billion of casino revenues, representing 79.7% of our total operating revenues, and US$273.6 million of non-casino revenues. Our total operating revenues for the year ended December 31, 2021 consisted of US$1.68 billion of casino revenues, representing 83.3% of our total operating revenues, and US$336.1 million of non-casino revenues. </w:t>
      </w:r>
    </w:p>
    <w:p>
      <w:pPr>
        <w:pStyle w:val="TextBody"/>
        <w:spacing w:before="240" w:after="0"/>
        <w:jc w:val="left"/>
        <w:rPr>
          <w:rFonts w:ascii="Times New Roman" w:hAnsi="Times New Roman"/>
          <w:sz w:val="20"/>
        </w:rPr>
      </w:pPr>
      <w:r>
        <w:rPr>
          <w:rFonts w:ascii="Times New Roman" w:hAnsi="Times New Roman"/>
          <w:i/>
          <w:sz w:val="20"/>
        </w:rPr>
        <w:t>Casino.</w:t>
      </w:r>
      <w:r>
        <w:rPr>
          <w:rFonts w:ascii="Times New Roman" w:hAnsi="Times New Roman"/>
          <w:sz w:val="20"/>
        </w:rPr>
        <w:t xml:space="preserve"> Casino revenues for the year ended December 31, 2022 were US$1.08 billion, representing a US$599.9 million, or 35.8%, decrease from casino revenues of US$1.68 billion for the year ended December 31, 2021, primarily due to softer performance in mass market table games and rolling chip segments. </w:t>
      </w:r>
    </w:p>
    <w:p>
      <w:pPr>
        <w:pStyle w:val="TextBody"/>
        <w:spacing w:before="240" w:after="0"/>
        <w:jc w:val="left"/>
        <w:rPr>
          <w:rFonts w:ascii="Times New Roman" w:hAnsi="Times New Roman"/>
          <w:sz w:val="20"/>
        </w:rPr>
      </w:pPr>
      <w:r>
        <w:rPr>
          <w:rFonts w:ascii="Times New Roman" w:hAnsi="Times New Roman"/>
          <w:i/>
          <w:sz w:val="20"/>
        </w:rPr>
        <w:t>Altira Macau.</w:t>
      </w:r>
      <w:r>
        <w:rPr>
          <w:rFonts w:ascii="Times New Roman" w:hAnsi="Times New Roman"/>
          <w:sz w:val="20"/>
        </w:rPr>
        <w:t xml:space="preserve"> Altira Macau has strategically repositioned itself to cater to the premium mass segment and has shut down VIP rolling chip operations starting in the third quarter of 2021. Altira Macau’s rolling chip volume for the year ended December 31, 2021 was US$1.96 billion. The rolling chip win rate was 1.61% for the year ended December 31, 2021. Our expected range was 2.85% to 3.15%. In the mass market table games segment, drop was US$124.0 million for the year ended December 31, 2022, representing a decrease of 22.1% from US$159.2 million for the year ended December 31, 2021. The mass market table games hold percentage was 19.6% for the year ended December 31, 2022, decreasing from 24.5% for the year ended December 31, 2021. Average net win per gaming machine per day was US$116 for the year ended December 31, 2022, a decrease of US$85, or 42.2%, from US$201 for the year ended December 31, 2021. </w:t>
      </w:r>
    </w:p>
    <w:p>
      <w:pPr>
        <w:pStyle w:val="TextBody"/>
        <w:spacing w:before="240" w:after="0"/>
        <w:jc w:val="left"/>
        <w:rPr>
          <w:rFonts w:ascii="Times New Roman" w:hAnsi="Times New Roman"/>
          <w:sz w:val="20"/>
        </w:rPr>
      </w:pPr>
      <w:r>
        <w:rPr>
          <w:rFonts w:ascii="Times New Roman" w:hAnsi="Times New Roman"/>
          <w:i/>
          <w:sz w:val="20"/>
        </w:rPr>
        <w:t>City of Dreams.</w:t>
      </w:r>
      <w:r>
        <w:rPr>
          <w:rFonts w:ascii="Times New Roman" w:hAnsi="Times New Roman"/>
          <w:sz w:val="20"/>
        </w:rPr>
        <w:t xml:space="preserve"> City of Dreams’ rolling chip volume for the year ended December 31, 2022 of US$4.38 billion represented a decrease of US$10.22 billion, or 70.0%, from US$14.60 billion for the year ended December 31, 2021. The rolling chip win rate was 3.85% for the year ended December 31, 2022, which increased from 2.54% for the year ended December 31, 2021. Our expected range was 2.85% to 3.15%. In the mass market table games segment, drop was US$1.19 billion for the year ended December 31, 2022 which represented a decrease of US$1.66 billion, or 58.3%, from US$2.85 billion for the year ended December 31, 2021. The mass market table games hold percentage was 30.5% for the year ended December 31, 2022, decreasing from 30.8% for the year ended December 31, 2021. Average net win per gaming machine per day was US$140 for the year ended December 31, 2022, a decrease of US$142, or 50.4%, from US$282 for the year ended December 31, 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Mocha and Other.</w:t>
      </w:r>
      <w:r>
        <w:rPr>
          <w:rFonts w:ascii="Times New Roman" w:hAnsi="Times New Roman"/>
          <w:sz w:val="20"/>
        </w:rPr>
        <w:t xml:space="preserve"> Effective from June 27, 2022, the Grand Dragon Casino, a casino on Taipa Island, Macau, which focuses on mass market table games and was previously reported under the Corporate and Other segment, has been included in the Mocha and Other segment as a result of the change of terms of the right-to-use agreement for the Grand Dragon Casino. Mocha and Other’s mass market table games drop was US$39.2 million for the year ended December 31, 2022 and the mass market table games hold percentage was 20.1% for the year ended December 31, 2022. Average net win per gaming machine per day for the year ended December 31, 2022 was US$209, a decrease of US$77, or 27.0%, from US$287 for the year ended December 31, 2021. </w:t>
      </w:r>
    </w:p>
    <w:p>
      <w:pPr>
        <w:pStyle w:val="TextBody"/>
        <w:spacing w:before="240" w:after="0"/>
        <w:jc w:val="left"/>
        <w:rPr>
          <w:rFonts w:ascii="Times New Roman" w:hAnsi="Times New Roman"/>
          <w:sz w:val="20"/>
        </w:rPr>
      </w:pPr>
      <w:r>
        <w:rPr>
          <w:rFonts w:ascii="Times New Roman" w:hAnsi="Times New Roman"/>
          <w:i/>
          <w:sz w:val="20"/>
        </w:rPr>
        <w:t>Studio City.</w:t>
      </w:r>
      <w:r>
        <w:rPr>
          <w:rFonts w:ascii="Times New Roman" w:hAnsi="Times New Roman"/>
          <w:sz w:val="20"/>
        </w:rPr>
        <w:t xml:space="preserve"> Studio City Casino’s rolling chip volume was US$0.84 billion for the year ended December 31, 2022, a decrease from US$1.84 billion for the year ended December 31, 2021. The rolling chip win rate was 2.56% for the year ended December 31, 2022, which increased from 2.00% for the year ended December 31, 2021. Our expected range was 2.85% to 3.15%. In the mass market table games segment, drop was US$0.46 billion for the year ended December 31, 2022, a decrease from US$1.13 billion for the year ended December 31, 2021. The mass market table games hold percentage was 28.5% for the year ended December 31, 2022, representing an increase from 27.7% for the year ended December 31, 2021. Average net win per gaming machine per day was US$75 for the year ended December 31, 2022, a decrease of US$54, or 41.8%, from US$129 for the year ended December 31, 2021. </w:t>
      </w:r>
    </w:p>
    <w:p>
      <w:pPr>
        <w:pStyle w:val="TextBody"/>
        <w:spacing w:before="240" w:after="0"/>
        <w:jc w:val="left"/>
        <w:rPr>
          <w:rFonts w:ascii="Times New Roman" w:hAnsi="Times New Roman"/>
          <w:sz w:val="20"/>
        </w:rPr>
      </w:pPr>
      <w:r>
        <w:rPr>
          <w:rFonts w:ascii="Times New Roman" w:hAnsi="Times New Roman"/>
          <w:i/>
          <w:sz w:val="20"/>
        </w:rPr>
        <w:t>City of Dreams Manila.</w:t>
      </w:r>
      <w:r>
        <w:rPr>
          <w:rFonts w:ascii="Times New Roman" w:hAnsi="Times New Roman"/>
          <w:sz w:val="20"/>
        </w:rPr>
        <w:t xml:space="preserve"> City of Dreams Manila’s rolling chip volume for the year ended December 31, 2022 was US$2.87 billion, representing an increase of US$2.10 billion, or 270.4%, from US$0.78 billion for the year ended December 31, 2021. The rolling chip win rate was 2.17% for the year ended December 31, 2022, a decrease from 4.83% for the year ended December 31, 2021. Our expected range was 2.85% to 3.15%. In the mass market table games segment, drop was US$607.1 million for the year ended December 31, 2022, representing an increase of US$242.5 million, or 66.5%, from US$364.6 million for the year ended December 31, 2021. The mass market table games hold percentage was 30.9% for the year ended December 31, 2022, representing a decrease from 32.4% for the year ended December 31, 2021. Average net win per gaming machine per day was US$232 for the year ended December 31, 2022, an increase of US$37, or 18.9%, from US$195 for the year ended December 31, 2021. </w:t>
      </w:r>
    </w:p>
    <w:p>
      <w:pPr>
        <w:pStyle w:val="TextBody"/>
        <w:spacing w:before="240" w:after="0"/>
        <w:jc w:val="left"/>
        <w:rPr>
          <w:rFonts w:ascii="Times New Roman" w:hAnsi="Times New Roman"/>
          <w:sz w:val="20"/>
        </w:rPr>
      </w:pPr>
      <w:r>
        <w:rPr>
          <w:rFonts w:ascii="Times New Roman" w:hAnsi="Times New Roman"/>
          <w:i/>
          <w:sz w:val="20"/>
        </w:rPr>
        <w:t xml:space="preserve">Cyprus operations. </w:t>
      </w:r>
      <w:r>
        <w:rPr>
          <w:rFonts w:ascii="Times New Roman" w:hAnsi="Times New Roman"/>
          <w:sz w:val="20"/>
        </w:rPr>
        <w:t xml:space="preserve">Cyprus operations’ rolling chip volume for the year ended December 31, 2022 was US$5.2 million, which decreased from US$5.6 million for the year ended December 31, 2021. The rolling chip win rate was 7.09% for the year ended December 31, 2022, a decrease from 9.09% for the year ended December 31, 2021. Our expected range was 2.85% to 3.15%. In the mass market table games segment, drop was US$135.3 million for the year ended December 31, 2022, representing an increase of US$59.1 million, or 77.5%, from US$76.2 million for the year ended December 31, 2021. The mass market table games hold percentage was 20.5% for the year ended December 31, 2022, representing an increase from 18.0% for the year ended December 31, 2021. Average net win per gaming machine per day was US$394 for the year ended December 31, 2022, an increase of US$6, or 1.6%, from US$388 for the year ended December 31, 2021. </w:t>
      </w:r>
    </w:p>
    <w:p>
      <w:pPr>
        <w:pStyle w:val="TextBody"/>
        <w:spacing w:before="240" w:after="0"/>
        <w:jc w:val="left"/>
        <w:rPr>
          <w:rFonts w:ascii="Times New Roman" w:hAnsi="Times New Roman"/>
          <w:sz w:val="20"/>
        </w:rPr>
      </w:pPr>
      <w:r>
        <w:rPr>
          <w:rFonts w:ascii="Times New Roman" w:hAnsi="Times New Roman"/>
          <w:i/>
          <w:sz w:val="20"/>
        </w:rPr>
        <w:t>Rooms.</w:t>
      </w:r>
      <w:r>
        <w:rPr>
          <w:rFonts w:ascii="Times New Roman" w:hAnsi="Times New Roman"/>
          <w:sz w:val="20"/>
        </w:rPr>
        <w:t xml:space="preserve"> Room revenues (including complimentary rooms) for the year ended December 31, 2022 were US$116.6 million, representing a decrease of US$40.9 million, or 26.0%, from room revenues (including complimentary rooms) of US$157.5 million for the year ended December 31, 2021. The decrease was primarily due to decreased occupancy as a result of a year-over-year decrease in inbound tourism to Macau. </w:t>
      </w:r>
    </w:p>
    <w:p>
      <w:pPr>
        <w:pStyle w:val="TextBody"/>
        <w:spacing w:before="240" w:after="0"/>
        <w:jc w:val="left"/>
        <w:rPr>
          <w:rFonts w:ascii="Times New Roman" w:hAnsi="Times New Roman"/>
          <w:sz w:val="20"/>
        </w:rPr>
      </w:pPr>
      <w:r>
        <w:rPr>
          <w:rFonts w:ascii="Times New Roman" w:hAnsi="Times New Roman"/>
          <w:sz w:val="20"/>
        </w:rPr>
        <w:t xml:space="preserve">The average daily rate, occupancy rate and REVPAR of each property are as follows: </w:t>
      </w:r>
    </w:p>
    <w:p>
      <w:pPr>
        <w:pStyle w:val="TextBody"/>
        <w:spacing w:before="0" w:after="0"/>
        <w:jc w:val="left"/>
        <w:rPr/>
      </w:pPr>
      <w:r>
        <w:rPr/>
        <w:t> </w:t>
      </w:r>
    </w:p>
    <w:tbl>
      <w:tblPr>
        <w:tblW w:w="8449" w:type="dxa"/>
        <w:jc w:val="left"/>
        <w:tblInd w:w="0" w:type="dxa"/>
        <w:tblCellMar>
          <w:top w:w="0" w:type="dxa"/>
          <w:left w:w="0" w:type="dxa"/>
          <w:bottom w:w="0" w:type="dxa"/>
          <w:right w:w="0" w:type="dxa"/>
        </w:tblCellMar>
      </w:tblPr>
      <w:tblGrid>
        <w:gridCol w:w="1880"/>
        <w:gridCol w:w="120"/>
        <w:gridCol w:w="146"/>
        <w:gridCol w:w="929"/>
        <w:gridCol w:w="128"/>
        <w:gridCol w:w="257"/>
        <w:gridCol w:w="146"/>
        <w:gridCol w:w="931"/>
        <w:gridCol w:w="60"/>
        <w:gridCol w:w="120"/>
        <w:gridCol w:w="113"/>
        <w:gridCol w:w="495"/>
        <w:gridCol w:w="334"/>
        <w:gridCol w:w="73"/>
        <w:gridCol w:w="113"/>
        <w:gridCol w:w="497"/>
        <w:gridCol w:w="275"/>
        <w:gridCol w:w="60"/>
        <w:gridCol w:w="97"/>
        <w:gridCol w:w="621"/>
        <w:gridCol w:w="85"/>
        <w:gridCol w:w="172"/>
        <w:gridCol w:w="97"/>
        <w:gridCol w:w="625"/>
        <w:gridCol w:w="75"/>
      </w:tblGrid>
      <w:tr>
        <w:trPr/>
        <w:tc>
          <w:tcPr>
            <w:tcW w:w="1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74" w:type="dxa"/>
            <w:gridSpan w:val="22"/>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28"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07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334"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61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85"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722"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37"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Average daily rate (US$)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5"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Occupancy rate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97"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REVPAR (US$)</w:t>
            </w:r>
          </w:p>
        </w:tc>
        <w:tc>
          <w:tcPr>
            <w:tcW w:w="75"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Altira Macau</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29" w:type="dxa"/>
            <w:tcBorders/>
            <w:shd w:fill="CCEEFF" w:val="clear"/>
            <w:vAlign w:val="center"/>
          </w:tcPr>
          <w:p>
            <w:pPr>
              <w:pStyle w:val="TableContents"/>
              <w:spacing w:before="0" w:after="283"/>
              <w:jc w:val="right"/>
              <w:rPr/>
            </w:pPr>
            <w:r>
              <w:rPr/>
              <w:t>97</w:t>
            </w:r>
          </w:p>
        </w:tc>
        <w:tc>
          <w:tcPr>
            <w:tcW w:w="128" w:type="dxa"/>
            <w:tcBorders/>
            <w:shd w:fill="CCEEFF" w:val="clear"/>
            <w:vAlign w:val="center"/>
          </w:tcPr>
          <w:p>
            <w:pPr>
              <w:pStyle w:val="TableContents"/>
              <w:spacing w:before="0" w:after="283"/>
              <w:rPr/>
            </w:pPr>
            <w:r>
              <w:rPr/>
              <w:t> </w:t>
            </w:r>
          </w:p>
        </w:tc>
        <w:tc>
          <w:tcPr>
            <w:tcW w:w="257"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jc w:val="right"/>
              <w:rPr/>
            </w:pPr>
            <w:r>
              <w:rPr/>
              <w:t>110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495" w:type="dxa"/>
            <w:tcBorders/>
            <w:shd w:fill="CCEEFF" w:val="clear"/>
            <w:vAlign w:val="center"/>
          </w:tcPr>
          <w:p>
            <w:pPr>
              <w:pStyle w:val="TableContents"/>
              <w:spacing w:before="0" w:after="283"/>
              <w:jc w:val="right"/>
              <w:rPr/>
            </w:pPr>
            <w:r>
              <w:rPr/>
              <w:t>42</w:t>
            </w:r>
          </w:p>
        </w:tc>
        <w:tc>
          <w:tcPr>
            <w:tcW w:w="334"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283"/>
              <w:jc w:val="right"/>
              <w:rPr/>
            </w:pPr>
            <w:r>
              <w:rPr/>
              <w:t>48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621" w:type="dxa"/>
            <w:tcBorders/>
            <w:shd w:fill="CCEEFF" w:val="clear"/>
            <w:vAlign w:val="center"/>
          </w:tcPr>
          <w:p>
            <w:pPr>
              <w:pStyle w:val="TableContents"/>
              <w:spacing w:before="0" w:after="283"/>
              <w:jc w:val="right"/>
              <w:rPr/>
            </w:pPr>
            <w:r>
              <w:rPr/>
              <w:t>41</w:t>
            </w:r>
          </w:p>
        </w:tc>
        <w:tc>
          <w:tcPr>
            <w:tcW w:w="85"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625" w:type="dxa"/>
            <w:tcBorders/>
            <w:shd w:fill="CCEEFF" w:val="clear"/>
            <w:vAlign w:val="center"/>
          </w:tcPr>
          <w:p>
            <w:pPr>
              <w:pStyle w:val="TableContents"/>
              <w:spacing w:before="0" w:after="283"/>
              <w:jc w:val="right"/>
              <w:rPr/>
            </w:pPr>
            <w:r>
              <w:rPr/>
              <w:t>53</w:t>
            </w:r>
          </w:p>
        </w:tc>
        <w:tc>
          <w:tcPr>
            <w:tcW w:w="75"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City of Dreams</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205</w:t>
            </w:r>
          </w:p>
        </w:tc>
        <w:tc>
          <w:tcPr>
            <w:tcW w:w="128"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jc w:val="right"/>
              <w:rPr/>
            </w:pPr>
            <w:r>
              <w:rPr/>
              <w:t>205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495" w:type="dxa"/>
            <w:tcBorders/>
            <w:shd w:fill="auto" w:val="clear"/>
            <w:vAlign w:val="center"/>
          </w:tcPr>
          <w:p>
            <w:pPr>
              <w:pStyle w:val="TableContents"/>
              <w:spacing w:before="0" w:after="283"/>
              <w:jc w:val="right"/>
              <w:rPr/>
            </w:pPr>
            <w:r>
              <w:rPr/>
              <w:t>27</w:t>
            </w:r>
          </w:p>
        </w:tc>
        <w:tc>
          <w:tcPr>
            <w:tcW w:w="334"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497" w:type="dxa"/>
            <w:tcBorders/>
            <w:shd w:fill="auto" w:val="clear"/>
            <w:vAlign w:val="center"/>
          </w:tcPr>
          <w:p>
            <w:pPr>
              <w:pStyle w:val="TableContents"/>
              <w:spacing w:before="0" w:after="283"/>
              <w:jc w:val="right"/>
              <w:rPr/>
            </w:pPr>
            <w:r>
              <w:rPr/>
              <w:t>53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621" w:type="dxa"/>
            <w:tcBorders/>
            <w:shd w:fill="auto" w:val="clear"/>
            <w:vAlign w:val="center"/>
          </w:tcPr>
          <w:p>
            <w:pPr>
              <w:pStyle w:val="TableContents"/>
              <w:spacing w:before="0" w:after="283"/>
              <w:jc w:val="right"/>
              <w:rPr/>
            </w:pPr>
            <w:r>
              <w:rPr/>
              <w:t>56</w:t>
            </w:r>
          </w:p>
        </w:tc>
        <w:tc>
          <w:tcPr>
            <w:tcW w:w="85"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jc w:val="right"/>
              <w:rPr/>
            </w:pPr>
            <w:r>
              <w:rPr/>
              <w:t>109</w:t>
            </w:r>
          </w:p>
        </w:tc>
        <w:tc>
          <w:tcPr>
            <w:tcW w:w="75"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Studio City</w:t>
            </w:r>
          </w:p>
        </w:tc>
        <w:tc>
          <w:tcPr>
            <w:tcW w:w="12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29" w:type="dxa"/>
            <w:tcBorders/>
            <w:shd w:fill="CCEEFF" w:val="clear"/>
            <w:vAlign w:val="center"/>
          </w:tcPr>
          <w:p>
            <w:pPr>
              <w:pStyle w:val="TableContents"/>
              <w:spacing w:before="0" w:after="283"/>
              <w:jc w:val="right"/>
              <w:rPr/>
            </w:pPr>
            <w:r>
              <w:rPr/>
              <w:t>111</w:t>
            </w:r>
          </w:p>
        </w:tc>
        <w:tc>
          <w:tcPr>
            <w:tcW w:w="128" w:type="dxa"/>
            <w:tcBorders/>
            <w:shd w:fill="CCEEFF" w:val="clear"/>
            <w:vAlign w:val="center"/>
          </w:tcPr>
          <w:p>
            <w:pPr>
              <w:pStyle w:val="TableContents"/>
              <w:spacing w:before="0" w:after="283"/>
              <w:rPr/>
            </w:pPr>
            <w:r>
              <w:rPr/>
              <w:t> </w:t>
            </w:r>
          </w:p>
        </w:tc>
        <w:tc>
          <w:tcPr>
            <w:tcW w:w="257"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931" w:type="dxa"/>
            <w:tcBorders/>
            <w:shd w:fill="CCEEFF" w:val="clear"/>
            <w:vAlign w:val="center"/>
          </w:tcPr>
          <w:p>
            <w:pPr>
              <w:pStyle w:val="TableContents"/>
              <w:spacing w:before="0" w:after="283"/>
              <w:jc w:val="right"/>
              <w:rPr/>
            </w:pPr>
            <w:r>
              <w:rPr/>
              <w:t>123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495" w:type="dxa"/>
            <w:tcBorders/>
            <w:shd w:fill="CCEEFF" w:val="clear"/>
            <w:vAlign w:val="center"/>
          </w:tcPr>
          <w:p>
            <w:pPr>
              <w:pStyle w:val="TableContents"/>
              <w:spacing w:before="0" w:after="283"/>
              <w:jc w:val="right"/>
              <w:rPr/>
            </w:pPr>
            <w:r>
              <w:rPr/>
              <w:t>28</w:t>
            </w:r>
          </w:p>
        </w:tc>
        <w:tc>
          <w:tcPr>
            <w:tcW w:w="334"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497" w:type="dxa"/>
            <w:tcBorders/>
            <w:shd w:fill="CCEEFF" w:val="clear"/>
            <w:vAlign w:val="center"/>
          </w:tcPr>
          <w:p>
            <w:pPr>
              <w:pStyle w:val="TableContents"/>
              <w:spacing w:before="0" w:after="283"/>
              <w:jc w:val="right"/>
              <w:rPr/>
            </w:pPr>
            <w:r>
              <w:rPr/>
              <w:t>51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621" w:type="dxa"/>
            <w:tcBorders/>
            <w:shd w:fill="CCEEFF" w:val="clear"/>
            <w:vAlign w:val="center"/>
          </w:tcPr>
          <w:p>
            <w:pPr>
              <w:pStyle w:val="TableContents"/>
              <w:spacing w:before="0" w:after="283"/>
              <w:jc w:val="right"/>
              <w:rPr/>
            </w:pPr>
            <w:r>
              <w:rPr/>
              <w:t>31</w:t>
            </w:r>
          </w:p>
        </w:tc>
        <w:tc>
          <w:tcPr>
            <w:tcW w:w="85"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pPr>
            <w:r>
              <w:rPr/>
              <w:t>  </w:t>
            </w:r>
          </w:p>
        </w:tc>
        <w:tc>
          <w:tcPr>
            <w:tcW w:w="97" w:type="dxa"/>
            <w:tcBorders/>
            <w:shd w:fill="CCEEFF" w:val="clear"/>
            <w:vAlign w:val="center"/>
          </w:tcPr>
          <w:p>
            <w:pPr>
              <w:pStyle w:val="TableContents"/>
              <w:spacing w:before="0" w:after="283"/>
              <w:rPr/>
            </w:pPr>
            <w:r>
              <w:rPr/>
              <w:t> </w:t>
            </w:r>
          </w:p>
        </w:tc>
        <w:tc>
          <w:tcPr>
            <w:tcW w:w="625" w:type="dxa"/>
            <w:tcBorders/>
            <w:shd w:fill="CCEEFF" w:val="clear"/>
            <w:vAlign w:val="center"/>
          </w:tcPr>
          <w:p>
            <w:pPr>
              <w:pStyle w:val="TableContents"/>
              <w:spacing w:before="0" w:after="283"/>
              <w:jc w:val="right"/>
              <w:rPr/>
            </w:pPr>
            <w:r>
              <w:rPr/>
              <w:t>62</w:t>
            </w:r>
          </w:p>
        </w:tc>
        <w:tc>
          <w:tcPr>
            <w:tcW w:w="75" w:type="dxa"/>
            <w:tcBorders/>
            <w:shd w:fill="CCEEFF"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City of Dreams Manila</w:t>
            </w:r>
          </w:p>
        </w:tc>
        <w:tc>
          <w:tcPr>
            <w:tcW w:w="120"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29" w:type="dxa"/>
            <w:tcBorders/>
            <w:shd w:fill="auto" w:val="clear"/>
            <w:vAlign w:val="center"/>
          </w:tcPr>
          <w:p>
            <w:pPr>
              <w:pStyle w:val="TableContents"/>
              <w:spacing w:before="0" w:after="283"/>
              <w:jc w:val="right"/>
              <w:rPr/>
            </w:pPr>
            <w:r>
              <w:rPr/>
              <w:t>177</w:t>
            </w:r>
          </w:p>
        </w:tc>
        <w:tc>
          <w:tcPr>
            <w:tcW w:w="128"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rPr/>
            </w:pPr>
            <w:r>
              <w:rPr/>
              <w:t>  </w:t>
            </w:r>
          </w:p>
        </w:tc>
        <w:tc>
          <w:tcPr>
            <w:tcW w:w="146" w:type="dxa"/>
            <w:tcBorders/>
            <w:shd w:fill="auto" w:val="clear"/>
            <w:vAlign w:val="center"/>
          </w:tcPr>
          <w:p>
            <w:pPr>
              <w:pStyle w:val="TableContents"/>
              <w:spacing w:before="0" w:after="283"/>
              <w:rPr/>
            </w:pPr>
            <w:r>
              <w:rPr/>
              <w:t> </w:t>
            </w:r>
          </w:p>
        </w:tc>
        <w:tc>
          <w:tcPr>
            <w:tcW w:w="931" w:type="dxa"/>
            <w:tcBorders/>
            <w:shd w:fill="auto" w:val="clear"/>
            <w:vAlign w:val="center"/>
          </w:tcPr>
          <w:p>
            <w:pPr>
              <w:pStyle w:val="TableContents"/>
              <w:spacing w:before="0" w:after="283"/>
              <w:jc w:val="right"/>
              <w:rPr/>
            </w:pPr>
            <w:r>
              <w:rPr/>
              <w:t>164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495" w:type="dxa"/>
            <w:tcBorders/>
            <w:shd w:fill="auto" w:val="clear"/>
            <w:vAlign w:val="center"/>
          </w:tcPr>
          <w:p>
            <w:pPr>
              <w:pStyle w:val="TableContents"/>
              <w:spacing w:before="0" w:after="283"/>
              <w:jc w:val="right"/>
              <w:rPr/>
            </w:pPr>
            <w:r>
              <w:rPr/>
              <w:t>95</w:t>
            </w:r>
          </w:p>
        </w:tc>
        <w:tc>
          <w:tcPr>
            <w:tcW w:w="334"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497" w:type="dxa"/>
            <w:tcBorders/>
            <w:shd w:fill="auto" w:val="clear"/>
            <w:vAlign w:val="center"/>
          </w:tcPr>
          <w:p>
            <w:pPr>
              <w:pStyle w:val="TableContents"/>
              <w:spacing w:before="0" w:after="283"/>
              <w:jc w:val="right"/>
              <w:rPr/>
            </w:pPr>
            <w:r>
              <w:rPr/>
              <w:t>76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621" w:type="dxa"/>
            <w:tcBorders/>
            <w:shd w:fill="auto" w:val="clear"/>
            <w:vAlign w:val="center"/>
          </w:tcPr>
          <w:p>
            <w:pPr>
              <w:pStyle w:val="TableContents"/>
              <w:spacing w:before="0" w:after="283"/>
              <w:jc w:val="right"/>
              <w:rPr/>
            </w:pPr>
            <w:r>
              <w:rPr/>
              <w:t>167</w:t>
            </w:r>
          </w:p>
        </w:tc>
        <w:tc>
          <w:tcPr>
            <w:tcW w:w="85"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97"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jc w:val="right"/>
              <w:rPr/>
            </w:pPr>
            <w:r>
              <w:rPr/>
              <w:t>124</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Food, beverage and others. Food, beverage and other revenues (including complimentary food and beverage and entertainment services) for the year ended December 31, 2022 included food and beverage revenues of US$85.5 million and entertainment, retail and other revenues of US$71.5 million. Food, beverage and other revenues (including complimentary food and beverage and entertainment services) for the year ended December 31, 2021 included food and beverage revenues of US$97.7 million and entertainment, retail and other revenues of US$80.9 million. The decrease of US$21.6 million in food, beverage and other revenues from the year ended December 31, 2021 to the year ended December 31, 2022 was primarily due to decrease in business activities as a result of a year-over-year decrease in inbound tourism to Macau. </w:t>
      </w:r>
    </w:p>
    <w:p>
      <w:pPr>
        <w:pStyle w:val="TextBody"/>
        <w:spacing w:before="360" w:after="0"/>
        <w:jc w:val="left"/>
        <w:rPr>
          <w:rFonts w:ascii="Times New Roman" w:hAnsi="Times New Roman"/>
          <w:b/>
          <w:i/>
          <w:sz w:val="20"/>
        </w:rPr>
      </w:pPr>
      <w:r>
        <w:rPr>
          <w:rFonts w:ascii="Times New Roman" w:hAnsi="Times New Roman"/>
          <w:b/>
          <w:i/>
          <w:sz w:val="20"/>
        </w:rPr>
        <w:t xml:space="preserve">Operating costs and expenses </w:t>
      </w:r>
    </w:p>
    <w:p>
      <w:pPr>
        <w:pStyle w:val="TextBody"/>
        <w:spacing w:before="120" w:after="0"/>
        <w:jc w:val="left"/>
        <w:rPr>
          <w:rFonts w:ascii="Times New Roman" w:hAnsi="Times New Roman"/>
          <w:sz w:val="20"/>
        </w:rPr>
      </w:pPr>
      <w:r>
        <w:rPr>
          <w:rFonts w:ascii="Times New Roman" w:hAnsi="Times New Roman"/>
          <w:sz w:val="20"/>
        </w:rPr>
        <w:t xml:space="preserve">Total operating costs and expenses were US$2.09 billion for the year ended December 31, 2022, representing a decrease of US$496.7 million, or 19.2%, from US$2.59 billion for the year ended December 31, 2021. </w:t>
      </w:r>
    </w:p>
    <w:p>
      <w:pPr>
        <w:pStyle w:val="TextBody"/>
        <w:spacing w:before="240" w:after="0"/>
        <w:jc w:val="left"/>
        <w:rPr>
          <w:rFonts w:ascii="Times New Roman" w:hAnsi="Times New Roman"/>
          <w:sz w:val="20"/>
        </w:rPr>
      </w:pPr>
      <w:r>
        <w:rPr>
          <w:rFonts w:ascii="Times New Roman" w:hAnsi="Times New Roman"/>
          <w:i/>
          <w:sz w:val="20"/>
        </w:rPr>
        <w:t>Casino.</w:t>
      </w:r>
      <w:r>
        <w:rPr>
          <w:rFonts w:ascii="Times New Roman" w:hAnsi="Times New Roman"/>
          <w:sz w:val="20"/>
        </w:rPr>
        <w:t xml:space="preserve"> Casino expenses decreased by US$408.0 million, or 30.9%, to US$0.91 billion for the year ended December 31, 2022 from US$1.32 billion for the year ended December 31, 2021, primarily due to a decrease in gaming taxes, which decreased as a result of decreased gaming volumes and associated lower group-wide revenues. </w:t>
      </w:r>
    </w:p>
    <w:p>
      <w:pPr>
        <w:pStyle w:val="TextBody"/>
        <w:spacing w:before="240" w:after="0"/>
        <w:jc w:val="left"/>
        <w:rPr>
          <w:rFonts w:ascii="Times New Roman" w:hAnsi="Times New Roman"/>
          <w:sz w:val="20"/>
        </w:rPr>
      </w:pPr>
      <w:r>
        <w:rPr>
          <w:rFonts w:ascii="Times New Roman" w:hAnsi="Times New Roman"/>
          <w:i/>
          <w:sz w:val="20"/>
        </w:rPr>
        <w:t>Rooms.</w:t>
      </w:r>
      <w:r>
        <w:rPr>
          <w:rFonts w:ascii="Times New Roman" w:hAnsi="Times New Roman"/>
          <w:sz w:val="20"/>
        </w:rPr>
        <w:t xml:space="preserve"> Room expenses, which represent the costs of operating the hotel facilities were US$46.2 million and US$49.9 million for the years ended December 31, 2022 and 2021, respectively. The decrease was in-line with lower room revenues for the year ended December 31, 2022. </w:t>
      </w:r>
    </w:p>
    <w:p>
      <w:pPr>
        <w:pStyle w:val="TextBody"/>
        <w:spacing w:before="240" w:after="0"/>
        <w:jc w:val="left"/>
        <w:rPr>
          <w:rFonts w:ascii="Times New Roman" w:hAnsi="Times New Roman"/>
          <w:sz w:val="20"/>
        </w:rPr>
      </w:pPr>
      <w:r>
        <w:rPr>
          <w:rFonts w:ascii="Times New Roman" w:hAnsi="Times New Roman"/>
          <w:i/>
          <w:sz w:val="20"/>
        </w:rPr>
        <w:t>Food, beverage and others.</w:t>
      </w:r>
      <w:r>
        <w:rPr>
          <w:rFonts w:ascii="Times New Roman" w:hAnsi="Times New Roman"/>
          <w:sz w:val="20"/>
        </w:rPr>
        <w:t xml:space="preserve"> Food, beverage and other expenses were US$104.4 million and US$121.0 million for the years ended December 31, 2022 and 2021, respectively. The decrease was in-line with lower food, beverage and other revenues for the year ended December 31, 2022. </w:t>
      </w:r>
    </w:p>
    <w:p>
      <w:pPr>
        <w:pStyle w:val="TextBody"/>
        <w:spacing w:before="240" w:after="0"/>
        <w:jc w:val="left"/>
        <w:rPr>
          <w:rFonts w:ascii="Times New Roman" w:hAnsi="Times New Roman"/>
          <w:sz w:val="20"/>
        </w:rPr>
      </w:pPr>
      <w:r>
        <w:rPr>
          <w:rFonts w:ascii="Times New Roman" w:hAnsi="Times New Roman"/>
          <w:i/>
          <w:sz w:val="20"/>
        </w:rPr>
        <w:t>General and administrative</w:t>
      </w:r>
      <w:r>
        <w:rPr>
          <w:rFonts w:ascii="Times New Roman" w:hAnsi="Times New Roman"/>
          <w:sz w:val="20"/>
        </w:rPr>
        <w:t xml:space="preserve">. General and administrative expenses slightly decreased by US$3.2 million, or 0.7%, to US$423.2 million for the year ended December 31, 2022 from US$426.4 million for the year ended December 31, 2021. </w:t>
      </w:r>
    </w:p>
    <w:p>
      <w:pPr>
        <w:pStyle w:val="TextBody"/>
        <w:spacing w:before="240" w:after="0"/>
        <w:jc w:val="left"/>
        <w:rPr>
          <w:rFonts w:ascii="Times New Roman" w:hAnsi="Times New Roman"/>
          <w:sz w:val="20"/>
        </w:rPr>
      </w:pPr>
      <w:r>
        <w:rPr>
          <w:rFonts w:ascii="Times New Roman" w:hAnsi="Times New Roman"/>
          <w:i/>
          <w:sz w:val="20"/>
        </w:rPr>
        <w:t>Payments to the Philippine Parties.</w:t>
      </w:r>
      <w:r>
        <w:rPr>
          <w:rFonts w:ascii="Times New Roman" w:hAnsi="Times New Roman"/>
          <w:sz w:val="20"/>
        </w:rPr>
        <w:t xml:space="preserve"> Payments to the Philippine Parties increased to US$28.9 million for the year ended December 31, 2022 from US$26.4 million for the year ended December 31, 2021, due to the improved performance in gaming operations and resulting increase in revenues from gaming operations in City of Dreams Manila. </w:t>
      </w:r>
    </w:p>
    <w:p>
      <w:pPr>
        <w:pStyle w:val="TextBody"/>
        <w:spacing w:before="240" w:after="0"/>
        <w:jc w:val="left"/>
        <w:rPr>
          <w:rFonts w:ascii="Times New Roman" w:hAnsi="Times New Roman"/>
          <w:sz w:val="20"/>
        </w:rPr>
      </w:pPr>
      <w:r>
        <w:rPr>
          <w:rFonts w:ascii="Times New Roman" w:hAnsi="Times New Roman"/>
          <w:i/>
          <w:sz w:val="20"/>
        </w:rPr>
        <w:t>Pre-opening costs.</w:t>
      </w:r>
      <w:r>
        <w:rPr>
          <w:rFonts w:ascii="Times New Roman" w:hAnsi="Times New Roman"/>
          <w:sz w:val="20"/>
        </w:rPr>
        <w:t xml:space="preserve"> Pre-opening costs were US$15.6 million and US$4.2 million for the years ended December 31, 2022 and 2021, respectively. Such costs relate primarily to personnel training, rental, marketing, advertising and administrative costs in connection with new or start-up operations. Pre-opening costs for the year ended December 31, 2022 were mainly for Studio City Phase 2 and City of Dreams Mediterranean which are scheduled to open in 2023. </w:t>
      </w:r>
    </w:p>
    <w:p>
      <w:pPr>
        <w:pStyle w:val="TextBody"/>
        <w:spacing w:before="240" w:after="0"/>
        <w:jc w:val="left"/>
        <w:rPr>
          <w:rFonts w:ascii="Times New Roman" w:hAnsi="Times New Roman"/>
          <w:sz w:val="20"/>
        </w:rPr>
      </w:pPr>
      <w:r>
        <w:rPr>
          <w:rFonts w:ascii="Times New Roman" w:hAnsi="Times New Roman"/>
          <w:i/>
          <w:sz w:val="20"/>
        </w:rPr>
        <w:t>Development costs.</w:t>
      </w:r>
      <w:r>
        <w:rPr>
          <w:rFonts w:ascii="Times New Roman" w:hAnsi="Times New Roman"/>
          <w:sz w:val="20"/>
        </w:rPr>
        <w:t xml:space="preserve"> Development costs were US$30.7 million for the year ended December 31, 2021, which predominantly related to marketing and promotion costs as well as professional and consultancy fees for corporate business development. There were no development costs for the year ended December 31, 2022. </w:t>
      </w:r>
    </w:p>
    <w:p>
      <w:pPr>
        <w:pStyle w:val="TextBody"/>
        <w:spacing w:before="240" w:after="0"/>
        <w:jc w:val="left"/>
        <w:rPr>
          <w:rFonts w:ascii="Times New Roman" w:hAnsi="Times New Roman"/>
          <w:sz w:val="20"/>
        </w:rPr>
      </w:pPr>
      <w:r>
        <w:rPr>
          <w:rFonts w:ascii="Times New Roman" w:hAnsi="Times New Roman"/>
          <w:i/>
          <w:sz w:val="20"/>
        </w:rPr>
        <w:t>Amortization of gaming subconcession.</w:t>
      </w:r>
      <w:r>
        <w:rPr>
          <w:rFonts w:ascii="Times New Roman" w:hAnsi="Times New Roman"/>
          <w:sz w:val="20"/>
        </w:rPr>
        <w:t xml:space="preserve"> Amortization expenses for our gaming subconcession continued to be recognized on a straight-line basis and were US$32.8 million and US$57.3 million for the years ended December 31, 2022 and 2021, respectively. Gaming subconcession was fully amortized during the year ended December 31,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Amortization of land use rights.</w:t>
      </w:r>
      <w:r>
        <w:rPr>
          <w:rFonts w:ascii="Times New Roman" w:hAnsi="Times New Roman"/>
          <w:sz w:val="20"/>
        </w:rPr>
        <w:t xml:space="preserve"> Amortization expenses for the land use rights continued to be recognized on a straight-line basis and were US$22.7 million and US$22.8 million for the years ended December 31, 2022 and 2021, respectively. </w:t>
      </w:r>
    </w:p>
    <w:p>
      <w:pPr>
        <w:pStyle w:val="TextBody"/>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expenses decreased by US$33.2 million, or 6.7%, to US$466.5 million for the year ended December 31, 2022 from US$499.7 million for the year ended December 31, 2021. </w:t>
      </w:r>
    </w:p>
    <w:p>
      <w:pPr>
        <w:pStyle w:val="TextBody"/>
        <w:spacing w:before="240" w:after="0"/>
        <w:jc w:val="left"/>
        <w:rPr>
          <w:rFonts w:ascii="Times New Roman" w:hAnsi="Times New Roman"/>
          <w:sz w:val="20"/>
        </w:rPr>
      </w:pPr>
      <w:r>
        <w:rPr>
          <w:rFonts w:ascii="Times New Roman" w:hAnsi="Times New Roman"/>
          <w:i/>
          <w:sz w:val="20"/>
        </w:rPr>
        <w:t>Property charges and other.</w:t>
      </w:r>
      <w:r>
        <w:rPr>
          <w:rFonts w:ascii="Times New Roman" w:hAnsi="Times New Roman"/>
          <w:sz w:val="20"/>
        </w:rPr>
        <w:t xml:space="preserve"> Property charges and other for the year ended December 31, 2022 were US$40.0 million, which primarily included termination costs and other payroll expenses as a result of department restructuring of US$19.1 million and asset impairments of US$10.4 million. Property charges and other for the year ended December 31, 2021 were US$30.6 million, which primarily included termination costs and other payroll expenses as a result of departmental restructuring of US$22.3 million and asset impairments of US$3.6 million. </w:t>
      </w:r>
    </w:p>
    <w:p>
      <w:pPr>
        <w:pStyle w:val="TextBody"/>
        <w:spacing w:before="360" w:after="0"/>
        <w:jc w:val="left"/>
        <w:rPr>
          <w:rFonts w:ascii="Times New Roman" w:hAnsi="Times New Roman"/>
          <w:b/>
          <w:i/>
          <w:sz w:val="20"/>
        </w:rPr>
      </w:pPr>
      <w:r>
        <w:rPr>
          <w:rFonts w:ascii="Times New Roman" w:hAnsi="Times New Roman"/>
          <w:b/>
          <w:i/>
          <w:sz w:val="20"/>
        </w:rPr>
        <w:t xml:space="preserve">Non-operating expenses, net </w:t>
      </w:r>
    </w:p>
    <w:p>
      <w:pPr>
        <w:pStyle w:val="TextBody"/>
        <w:spacing w:before="120" w:after="0"/>
        <w:jc w:val="left"/>
        <w:rPr>
          <w:rFonts w:ascii="Times New Roman" w:hAnsi="Times New Roman"/>
          <w:sz w:val="20"/>
        </w:rPr>
      </w:pPr>
      <w:r>
        <w:rPr>
          <w:rFonts w:ascii="Times New Roman" w:hAnsi="Times New Roman"/>
          <w:sz w:val="20"/>
        </w:rPr>
        <w:t xml:space="preserve">Net non-operating expenses consist of interest income, interest expenses, net of amounts capitalized, other financing costs, foreign exchange gains, net, loss on extinguishment of debt and other non-operating income, net. </w:t>
      </w:r>
    </w:p>
    <w:p>
      <w:pPr>
        <w:pStyle w:val="TextBody"/>
        <w:spacing w:before="240" w:after="0"/>
        <w:jc w:val="left"/>
        <w:rPr>
          <w:rFonts w:ascii="Times New Roman" w:hAnsi="Times New Roman"/>
          <w:sz w:val="20"/>
        </w:rPr>
      </w:pPr>
      <w:r>
        <w:rPr>
          <w:rFonts w:ascii="Times New Roman" w:hAnsi="Times New Roman"/>
          <w:sz w:val="20"/>
        </w:rPr>
        <w:t xml:space="preserve">Interest income was US$26.5 million for the year ended December 31, 2022, as compared to US$6.6 million for the year ended December 31, 2021. The increase in interest income was primarily due to interest accruing on the US$200.0 million loan to Melco International which was drawn down in April 2022. </w:t>
      </w:r>
    </w:p>
    <w:p>
      <w:pPr>
        <w:pStyle w:val="TextBody"/>
        <w:spacing w:before="240" w:after="0"/>
        <w:jc w:val="left"/>
        <w:rPr>
          <w:rFonts w:ascii="Times New Roman" w:hAnsi="Times New Roman"/>
          <w:sz w:val="20"/>
        </w:rPr>
      </w:pPr>
      <w:r>
        <w:rPr>
          <w:rFonts w:ascii="Times New Roman" w:hAnsi="Times New Roman"/>
          <w:sz w:val="20"/>
        </w:rPr>
        <w:t xml:space="preserve">Interest expenses were US$376.7 million (net of amounts capitalized of US$63.9 million) for the year ended December 31, 2022, compared to US$350.5 million (net of amounts capitalized of US$30.4 million) for the year ended December 31, 2021. The increase in interest expenses (net of amounts capitalization) of US$26.2 million was primarily due to higher interest expenses from the full-year impact of the issuances of notes during the year ended December 31, 2021 and the drawdowns of 2020 Credit Facilities during the year ended December 31, 2022, partially offset by higher amounts capitalized. </w:t>
      </w:r>
    </w:p>
    <w:p>
      <w:pPr>
        <w:pStyle w:val="TextBody"/>
        <w:spacing w:before="240" w:after="0"/>
        <w:jc w:val="left"/>
        <w:rPr>
          <w:rFonts w:ascii="Times New Roman" w:hAnsi="Times New Roman"/>
          <w:sz w:val="20"/>
        </w:rPr>
      </w:pPr>
      <w:r>
        <w:rPr>
          <w:rFonts w:ascii="Times New Roman" w:hAnsi="Times New Roman"/>
          <w:sz w:val="20"/>
        </w:rPr>
        <w:t xml:space="preserve">Other financing costs for the year ended December 31, 2022 amounted to US$6.4 million, compared to US$11.0 million for the year ended December 31, 2021. The decrease in other financing costs was primarily due to the decrease in loan commitment fees as a result of the drawdowns from the 2020 Credit Facilities during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Other income, net for the year ended December 31, 2022 amounted to US$3.9 million, compared to US$3.1 million for the year ended December 31, 2021. </w:t>
      </w:r>
    </w:p>
    <w:p>
      <w:pPr>
        <w:pStyle w:val="TextBody"/>
        <w:spacing w:before="240" w:after="0"/>
        <w:jc w:val="left"/>
        <w:rPr>
          <w:rFonts w:ascii="Times New Roman" w:hAnsi="Times New Roman"/>
          <w:sz w:val="20"/>
        </w:rPr>
      </w:pPr>
      <w:r>
        <w:rPr>
          <w:rFonts w:ascii="Times New Roman" w:hAnsi="Times New Roman"/>
          <w:sz w:val="20"/>
        </w:rPr>
        <w:t xml:space="preserve">There was no loss on extinguishment of debt for the year ended December 31, 2022. Loss on extinguishment of debt for the year ended December 31, 2021 was US$28.8 million, resulting from the early redemption of the 2024 Studio City Notes which were refinanced by the issuance of the First 2029 Studio City Notes. </w:t>
      </w:r>
    </w:p>
    <w:p>
      <w:pPr>
        <w:pStyle w:val="TextBody"/>
        <w:spacing w:before="360" w:after="0"/>
        <w:jc w:val="left"/>
        <w:rPr>
          <w:rFonts w:ascii="Times New Roman" w:hAnsi="Times New Roman"/>
          <w:b/>
          <w:i/>
          <w:sz w:val="20"/>
        </w:rPr>
      </w:pPr>
      <w:r>
        <w:rPr>
          <w:rFonts w:ascii="Times New Roman" w:hAnsi="Times New Roman"/>
          <w:b/>
          <w:i/>
          <w:sz w:val="20"/>
        </w:rPr>
        <w:t xml:space="preserve">Income tax expense </w:t>
      </w:r>
    </w:p>
    <w:p>
      <w:pPr>
        <w:pStyle w:val="TextBody"/>
        <w:spacing w:before="120" w:after="0"/>
        <w:jc w:val="left"/>
        <w:rPr>
          <w:rFonts w:ascii="Times New Roman" w:hAnsi="Times New Roman"/>
          <w:sz w:val="20"/>
        </w:rPr>
      </w:pPr>
      <w:r>
        <w:rPr>
          <w:rFonts w:ascii="Times New Roman" w:hAnsi="Times New Roman"/>
          <w:sz w:val="20"/>
        </w:rPr>
        <w:t xml:space="preserve">Income tax expense for the year ended December 31, 2022 was primarily attributable to a lump sum tax payable of US$2.3 million in lieu of Macau Complementary Tax otherwise due by Melco Resorts Macau’s shareholders on dividends distributable to them by Melco Resorts Macau and deferred income tax expenses of US$2.3 million. The effective tax rate for the year ended December 31, 2022 was (0.48)%, as compared to (0.30)% for the year ended December 31, 2021. Such rates differ from the statutory Macau Complementary Tax rate of 12%,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where the Company’s majority operations are located, primarily due to the effects of expired tax losses, changes in valuation allowances, expenses for which no income tax benefit is receivable, income for which no income tax expense is payable, tax losses that cannot be carried forward and different tax rates of subsidiaries operating in other jurisdictions for the relevant years together with the effects of profits generated by gaming operations being exempted from Philippine Corporate Income Tax for the year ended December 31, 2022 and the effects of profits generated by gaming operations being exempted from Philippine Corporate Income Tax and change in income tax rate for the year ended December 31, 2021. </w:t>
      </w:r>
    </w:p>
    <w:p>
      <w:pPr>
        <w:pStyle w:val="TextBody"/>
        <w:spacing w:before="240" w:after="0"/>
        <w:jc w:val="left"/>
        <w:rPr>
          <w:rFonts w:ascii="Times New Roman" w:hAnsi="Times New Roman"/>
          <w:sz w:val="20"/>
        </w:rPr>
      </w:pPr>
      <w:r>
        <w:rPr>
          <w:rFonts w:ascii="Times New Roman" w:hAnsi="Times New Roman"/>
          <w:sz w:val="20"/>
        </w:rPr>
        <w:t xml:space="preserve">Our management currently does not expect to realize significant income tax benefits associated with net operating loss carryforwards and other deferred tax assets generated by our Macau and Philippine operations. However, to the extent that the financial results of our Macau and Philippine operations improve and it becomes more likely than not that the deferred tax assets are realizable, we will be able to reduce the valuation allowance related to the net operating losses and other deferred tax assets. </w:t>
      </w:r>
    </w:p>
    <w:p>
      <w:pPr>
        <w:pStyle w:val="TextBody"/>
        <w:spacing w:before="360" w:after="0"/>
        <w:jc w:val="left"/>
        <w:rPr>
          <w:rFonts w:ascii="Times New Roman" w:hAnsi="Times New Roman"/>
          <w:b/>
          <w:i/>
          <w:sz w:val="20"/>
        </w:rPr>
      </w:pPr>
      <w:r>
        <w:rPr>
          <w:rFonts w:ascii="Times New Roman" w:hAnsi="Times New Roman"/>
          <w:b/>
          <w:i/>
          <w:sz w:val="20"/>
        </w:rPr>
        <w:t xml:space="preserve">Net loss attributable to noncontrolling interests </w:t>
      </w:r>
    </w:p>
    <w:p>
      <w:pPr>
        <w:pStyle w:val="TextBody"/>
        <w:spacing w:before="120" w:after="0"/>
        <w:jc w:val="left"/>
        <w:rPr>
          <w:rFonts w:ascii="Times New Roman" w:hAnsi="Times New Roman"/>
          <w:sz w:val="20"/>
        </w:rPr>
      </w:pPr>
      <w:r>
        <w:rPr>
          <w:rFonts w:ascii="Times New Roman" w:hAnsi="Times New Roman"/>
          <w:sz w:val="20"/>
        </w:rPr>
        <w:t xml:space="preserve">Our net loss attributable to noncontrolling interests was US$166.6 million for the year ended December 31, 2022, compared to a net loss attributable to noncontrolling interests of US$144.7 million for the year ended December 31, 2021. For the year ended December 31, 2022, such net loss represented the share of Studio City’s expenses of US$166.4 million, Cyprus operations’ expenses of US$0.4 million, partially offset by City of Dreams Manila’s income of US$0.1 million attributable to the respective minority shareholders. </w:t>
      </w:r>
    </w:p>
    <w:p>
      <w:pPr>
        <w:pStyle w:val="TextBody"/>
        <w:spacing w:before="360" w:after="0"/>
        <w:jc w:val="left"/>
        <w:rPr>
          <w:rFonts w:ascii="Times New Roman" w:hAnsi="Times New Roman"/>
          <w:b/>
          <w:i/>
          <w:sz w:val="20"/>
        </w:rPr>
      </w:pPr>
      <w:r>
        <w:rPr>
          <w:rFonts w:ascii="Times New Roman" w:hAnsi="Times New Roman"/>
          <w:b/>
          <w:i/>
          <w:sz w:val="20"/>
        </w:rPr>
        <w:t xml:space="preserve">Net loss attributable to Melco Resorts &amp; Entertainment Limited </w:t>
      </w:r>
    </w:p>
    <w:p>
      <w:pPr>
        <w:pStyle w:val="TextBody"/>
        <w:spacing w:before="120" w:after="0"/>
        <w:jc w:val="left"/>
        <w:rPr>
          <w:rFonts w:ascii="Times New Roman" w:hAnsi="Times New Roman"/>
          <w:sz w:val="20"/>
        </w:rPr>
      </w:pPr>
      <w:r>
        <w:rPr>
          <w:rFonts w:ascii="Times New Roman" w:hAnsi="Times New Roman"/>
          <w:sz w:val="20"/>
        </w:rPr>
        <w:t xml:space="preserve">As a result of the foregoing, we had net loss attributable to Melco Resorts &amp; Entertainment Limited of US$0.93 billion for the year ended December 31, 2022, compared to net loss attributable to Melco Resorts &amp; Entertainment Limited of US$0.81 billion for the year ended December 31, 2021. </w:t>
      </w:r>
    </w:p>
    <w:p>
      <w:pPr>
        <w:pStyle w:val="TextBody"/>
        <w:spacing w:before="240" w:after="0"/>
        <w:jc w:val="left"/>
        <w:rPr>
          <w:rFonts w:ascii="Times New Roman" w:hAnsi="Times New Roman"/>
          <w:sz w:val="20"/>
        </w:rPr>
      </w:pPr>
      <w:r>
        <w:rPr>
          <w:rFonts w:ascii="Times New Roman" w:hAnsi="Times New Roman"/>
          <w:sz w:val="20"/>
        </w:rPr>
        <w:t xml:space="preserve">For a discussion of our results of operations for the year ended December 31, 2021 compared with the year ended December 31, 2020, see “Item 5. Operating and Financial Review and Prospects — A. Operating Results — Year Ended December 31, 2021 Compared to Year Ended December 31, 2020” of our annual report on Form 20-F for the fiscal year ended December 31, 2021, filed with the SEC on March 31, 2022. </w:t>
      </w:r>
    </w:p>
    <w:p>
      <w:pPr>
        <w:pStyle w:val="TextBody"/>
        <w:spacing w:before="360" w:after="0"/>
        <w:jc w:val="left"/>
        <w:rPr>
          <w:rFonts w:ascii="Times New Roman" w:hAnsi="Times New Roman"/>
          <w:b/>
          <w:sz w:val="20"/>
        </w:rPr>
      </w:pPr>
      <w:r>
        <w:rPr>
          <w:rFonts w:ascii="Times New Roman" w:hAnsi="Times New Roman"/>
          <w:b/>
          <w:sz w:val="20"/>
        </w:rPr>
        <w:t xml:space="preserve">Adjusted Property EBITDA and Adjusted EBITDA </w:t>
      </w:r>
    </w:p>
    <w:p>
      <w:pPr>
        <w:pStyle w:val="TextBody"/>
        <w:spacing w:before="120" w:after="0"/>
        <w:jc w:val="left"/>
        <w:rPr>
          <w:rFonts w:ascii="Times New Roman" w:hAnsi="Times New Roman"/>
          <w:sz w:val="20"/>
        </w:rPr>
      </w:pPr>
      <w:r>
        <w:rPr>
          <w:rFonts w:ascii="Times New Roman" w:hAnsi="Times New Roman"/>
          <w:sz w:val="20"/>
        </w:rPr>
        <w:t xml:space="preserve">Adjusted Property EBITDA is net income/loss before interest, taxes, depreciation, amortization, pre-opening costs, development costs, property charges and other, share-based compensation, payments to the Philippine Parties, land rent to Belle Corporation, Corporate and Other expenses and other non-operating income and expenses. We recorded Adjusted Property EBITDA of US$0.6 million for the year ended December 31, 2022, compared to Adjusted Property EBITDA of US$235.1 million and negative Adjusted Property EBITDA of US$104.3 million for the years ended December 31, 2021 and 2020, respectively. Altira Macau, City of Dreams and Studio City recorded negative Adjusted Property EBITDA of US$43.0 million, US$32.2 million and US$105.2 million, respectively, while Mocha and Other, City of Dreams Manila and Cyprus Operations recorded Adjusted Property EBITDA of US$10.3 million, US$146.9 million and US$23.7 million, respectively, for the year ended December 31, 2022. Altira Macau and Studio City recorded negative Adjusted Property EBITDA of US$54.0 million and US$20.5 million, respectively, while City of Dreams, Mocha Clubs, City of Dreams Manila and Cyprus Operations recorded Adjusted Property EBITDA of US$202.0 million, US$17.1 million, US$89.0 million and US$1.6 million, respectively, for the year ended December 31, 2021. Altira Macau, City of Dreams and Studio City recorded negative Adjusted Property EBITDA of US$58.8 million, US$1.3 million and US$79.0 million, respectively, while Mocha Clubs, City of Dreams Manila and Cyprus Operations recorded Adjusted Property EBITDA of US$3.6 million, US$29.0 million and US$2.3 million, respectively, for the year ended December 31,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Adjusted EBITDA is net income/loss before interest, taxes, depreciation, amortization, pre-opening costs, development costs, property charges and other, share-based compensation, payments to the Philippine Parties, land rent to Belle Corporation and other non-operating income and expenses. We recorded negative Adjusted EBITDA of US$62.6 million for the year ended December 31, 2022, compared to Adjusted EBITDA of US$165.0 million for the year ended December 31, 2021 and negative Adjusted EBITDA of US$177.3 million for the year ended December 31, 2020. </w:t>
      </w:r>
    </w:p>
    <w:p>
      <w:pPr>
        <w:pStyle w:val="TextBody"/>
        <w:spacing w:before="240" w:after="0"/>
        <w:jc w:val="left"/>
        <w:rPr>
          <w:rFonts w:ascii="Times New Roman" w:hAnsi="Times New Roman"/>
          <w:sz w:val="20"/>
        </w:rPr>
      </w:pPr>
      <w:r>
        <w:rPr>
          <w:rFonts w:ascii="Times New Roman" w:hAnsi="Times New Roman"/>
          <w:sz w:val="20"/>
        </w:rPr>
        <w:t xml:space="preserve">Our management uses Adjusted Property EBITDA to measure the operating performance of our Altira Macau, City of Dreams, Studio City, City of Dreams Manila, Mocha Clubs and Cyprus businesses, and to compare the operating performance of our properties with those of our competitors. Adjusted EBITDA and Adjusted Property EBITDA are also presented as supplemental disclosures because management believes they are widely used to measure performance and as a basis for valuation of gaming companies. Our management also uses Adjusted Property EBITDA and Adjusted EBITDA because they are used by some investors as a way to measure a company’s ability to incur and service debt, make capital expenditures and meet working capital requirements. Gaming companies have historically reported similar measures as a supplement to financial measures in accordance with generally accepted accounting principles, in particular, U.S. GAAP or International Financial Reporting Standards. </w:t>
      </w:r>
    </w:p>
    <w:p>
      <w:pPr>
        <w:pStyle w:val="TextBody"/>
        <w:spacing w:before="240" w:after="0"/>
        <w:jc w:val="left"/>
        <w:rPr>
          <w:rFonts w:ascii="Times New Roman" w:hAnsi="Times New Roman"/>
          <w:sz w:val="20"/>
        </w:rPr>
      </w:pPr>
      <w:r>
        <w:rPr>
          <w:rFonts w:ascii="Times New Roman" w:hAnsi="Times New Roman"/>
          <w:sz w:val="20"/>
        </w:rPr>
        <w:t xml:space="preserve">However, Adjusted Property EBITDA or Adjusted EBITDA should not be considered in isolation, construed as an alternative to profit or operating profit, treated as an indicator of our U.S. GAAP operating performance, other operating operations or cash flow data, or interpreted as an alternative to cash flow as a measure of liquidity. Adjusted Property EBITDA and Adjusted EBITDA presented in this annual report may not be comparable to other similarly titled measures of other companies’ operating in the gaming or other business sectors. While our management believes these figures may provide useful additional information to investors when considered in conjunction with our U.S. GAAP financial statements and other information in this annual report, less reliance should be placed on Adjusted Property EBITDA or Adjusted EBITDA as a measure in assessing our overall financial performance. </w:t>
      </w:r>
    </w:p>
    <w:p>
      <w:pPr>
        <w:pStyle w:val="TextBody"/>
        <w:spacing w:before="360" w:after="0"/>
        <w:jc w:val="left"/>
        <w:rPr>
          <w:rFonts w:ascii="Times New Roman" w:hAnsi="Times New Roman"/>
          <w:b/>
          <w:sz w:val="20"/>
        </w:rPr>
      </w:pPr>
      <w:r>
        <w:rPr>
          <w:rFonts w:ascii="Times New Roman" w:hAnsi="Times New Roman"/>
          <w:b/>
          <w:sz w:val="20"/>
        </w:rPr>
        <w:t xml:space="preserve">Reconciliation of Net Loss Attributable to Melco Resorts &amp; Entertainment Limited to Adjusted EBITDA and Adjusted Property EBITDA </w:t>
      </w:r>
    </w:p>
    <w:p>
      <w:pPr>
        <w:pStyle w:val="TextBody"/>
        <w:spacing w:before="0" w:after="0"/>
        <w:jc w:val="left"/>
        <w:rPr/>
      </w:pPr>
      <w:r>
        <w:rPr/>
        <w:t> </w:t>
      </w:r>
    </w:p>
    <w:tbl>
      <w:tblPr>
        <w:tblW w:w="9425" w:type="dxa"/>
        <w:jc w:val="left"/>
        <w:tblInd w:w="0" w:type="dxa"/>
        <w:tblCellMar>
          <w:top w:w="0" w:type="dxa"/>
          <w:left w:w="0" w:type="dxa"/>
          <w:bottom w:w="0" w:type="dxa"/>
          <w:right w:w="0" w:type="dxa"/>
        </w:tblCellMar>
      </w:tblPr>
      <w:tblGrid>
        <w:gridCol w:w="5180"/>
        <w:gridCol w:w="120"/>
        <w:gridCol w:w="140"/>
        <w:gridCol w:w="1055"/>
        <w:gridCol w:w="155"/>
        <w:gridCol w:w="120"/>
        <w:gridCol w:w="140"/>
        <w:gridCol w:w="875"/>
        <w:gridCol w:w="155"/>
        <w:gridCol w:w="120"/>
        <w:gridCol w:w="140"/>
        <w:gridCol w:w="1055"/>
        <w:gridCol w:w="170"/>
      </w:tblGrid>
      <w:tr>
        <w:trPr/>
        <w:tc>
          <w:tcPr>
            <w:tcW w:w="5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55" w:type="dxa"/>
            <w:gridSpan w:val="10"/>
            <w:tcBorders/>
            <w:shd w:fill="auto" w:val="clear"/>
            <w:vAlign w:val="center"/>
          </w:tcPr>
          <w:p>
            <w:pPr>
              <w:pStyle w:val="TableContents"/>
              <w:spacing w:before="0" w:after="283"/>
              <w:jc w:val="center"/>
              <w:rPr>
                <w:b/>
              </w:rPr>
            </w:pPr>
            <w:r>
              <w:rPr>
                <w:b/>
              </w:rPr>
              <w:t>(in thousands of US$)</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 attributable to Melco Resorts &amp; Entertainment Limited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(930,526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(811,751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(1,263,492</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 attributable to noncontrolling interests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(166,641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(144,713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(191,122</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(1,097,167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(956,464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(1,454,614</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 (credit)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5,236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2,885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(2,913</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Interest and other non-operating expenses,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348,826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376,128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516,970</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Property charges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39,982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30,575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47,223</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521,939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579,847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618,530</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Share-based compensation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71,809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67,957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54,392</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Development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30,677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25,616</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Pre-opening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15,585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4,157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1,322</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Land rent to Belle Corporation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2,318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2,848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3,195</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Payments to the Philippine Parties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28,894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26,371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12,989</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Adjusted EBITDA</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(62,578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164,981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(177,290</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Corporate and Other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63,147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70,118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73,014</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75"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1055"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Adjusted Property EBITDA</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569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235,099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(104,276</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055"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75"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1055"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396630_20"/>
      <w:bookmarkEnd w:id="23"/>
      <w:r>
        <w:rPr>
          <w:rFonts w:ascii="Times New Roman" w:hAnsi="Times New Roman"/>
          <w:b/>
          <w:sz w:val="20"/>
        </w:rPr>
        <w:t xml:space="preserve">B. 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We have relied and intend to rely on our cash generated from our operations and our debt and equity financings to meet our financing needs and repay our indebtedness, as the case may be. </w:t>
      </w:r>
    </w:p>
    <w:p>
      <w:pPr>
        <w:pStyle w:val="TextBody"/>
        <w:spacing w:before="240" w:after="0"/>
        <w:jc w:val="left"/>
        <w:rPr>
          <w:rFonts w:ascii="Times New Roman" w:hAnsi="Times New Roman"/>
          <w:sz w:val="20"/>
        </w:rPr>
      </w:pPr>
      <w:r>
        <w:rPr>
          <w:rFonts w:ascii="Times New Roman" w:hAnsi="Times New Roman"/>
          <w:sz w:val="20"/>
        </w:rPr>
        <w:t xml:space="preserve">As of December 31, 2022, we held cash and cash equivalents and restricted cash (mainly being cash collateral for concession-related guarantees issued to the Macau Government and security under credit facilities) of approximately US$1.81 billion and US$175.7 million, respectively. In January 2023, restricted cash of MOP410.0 million (equivalent to approximately US$51.0 million) was released. Major currencies in which our cash and bank balances (including restricted cash) were held as of December 31, 2022 were the U.S. dollar, H.K. dollar, Euro, Philippine peso and Pataca. </w:t>
      </w:r>
    </w:p>
    <w:p>
      <w:pPr>
        <w:pStyle w:val="TextBody"/>
        <w:spacing w:before="240" w:after="0"/>
        <w:jc w:val="left"/>
        <w:rPr>
          <w:rFonts w:ascii="Times New Roman" w:hAnsi="Times New Roman"/>
          <w:sz w:val="20"/>
        </w:rPr>
      </w:pPr>
      <w:r>
        <w:rPr>
          <w:rFonts w:ascii="Times New Roman" w:hAnsi="Times New Roman"/>
          <w:sz w:val="20"/>
        </w:rPr>
        <w:t xml:space="preserve">As of December 31, 2022, we had the following bank credit facilities available for future drawdown, subject to satisfaction of certain conditions precedent: (1) the HK$1.0 million (equivalent to approximately US$0.1 million) of the revolving credit facility under the 2015 Credit Facilities; (2) the HK$233.0 million (equivalent to approximately US$29.8 million) revolving credit facility under the 2028 Studio City Senior Secured Credit Facility; and (3) the PHP2.35 billion (equivalent to approximately US$41.9 million) bank credit facility of MRP. We have been able to meet our working capital needs, and we believe that our operating cash flow, existing cash balances, funds available under various credit facilities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 </w:t>
      </w:r>
    </w:p>
    <w:p>
      <w:pPr>
        <w:pStyle w:val="TextBody"/>
        <w:spacing w:before="360" w:after="0"/>
        <w:jc w:val="left"/>
        <w:rPr>
          <w:rFonts w:ascii="Times New Roman" w:hAnsi="Times New Roman"/>
          <w:b/>
          <w:sz w:val="20"/>
        </w:rPr>
      </w:pPr>
      <w:r>
        <w:rPr>
          <w:rFonts w:ascii="Times New Roman" w:hAnsi="Times New Roman"/>
          <w:b/>
          <w:sz w:val="20"/>
        </w:rPr>
        <w:t xml:space="preserve">Cash Flows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 summary of our cash flows for the years presented.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005"/>
        <w:gridCol w:w="120"/>
        <w:gridCol w:w="140"/>
        <w:gridCol w:w="980"/>
        <w:gridCol w:w="155"/>
        <w:gridCol w:w="120"/>
        <w:gridCol w:w="140"/>
        <w:gridCol w:w="980"/>
        <w:gridCol w:w="155"/>
        <w:gridCol w:w="120"/>
        <w:gridCol w:w="140"/>
        <w:gridCol w:w="980"/>
        <w:gridCol w:w="170"/>
      </w:tblGrid>
      <w:tr>
        <w:trPr/>
        <w:tc>
          <w:tcPr>
            <w:tcW w:w="6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0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0"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170" w:type="dxa"/>
            <w:tcBorders/>
            <w:shd w:fill="auto"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170" w:type="dxa"/>
            <w:tcBorders/>
            <w:shd w:fill="auto"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10" w:type="dxa"/>
            <w:gridSpan w:val="10"/>
            <w:tcBorders/>
            <w:shd w:fill="auto" w:val="clear"/>
            <w:vAlign w:val="center"/>
          </w:tcPr>
          <w:p>
            <w:pPr>
              <w:pStyle w:val="TableContents"/>
              <w:spacing w:before="0" w:after="283"/>
              <w:jc w:val="center"/>
              <w:rPr>
                <w:b/>
              </w:rPr>
            </w:pPr>
            <w:r>
              <w:rPr>
                <w:b/>
              </w:rPr>
              <w:t>(in thousands of US$)</w:t>
            </w:r>
          </w:p>
        </w:tc>
        <w:tc>
          <w:tcPr>
            <w:tcW w:w="170" w:type="dxa"/>
            <w:tcBorders/>
            <w:shd w:fill="auto"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(619,434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(268,774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(860,963</w:t>
            </w:r>
          </w:p>
        </w:tc>
        <w:tc>
          <w:tcPr>
            <w:tcW w:w="170" w:type="dxa"/>
            <w:tcBorders/>
            <w:shd w:fill="CCEEFF"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cash used in investing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(806,107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(674,551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(53,312</w:t>
            </w:r>
          </w:p>
        </w:tc>
        <w:tc>
          <w:tcPr>
            <w:tcW w:w="170" w:type="dxa"/>
            <w:tcBorders/>
            <w:shd w:fill="auto"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1,783,285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821,745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1,263,607</w:t>
            </w:r>
          </w:p>
        </w:tc>
        <w:tc>
          <w:tcPr>
            <w:tcW w:w="170" w:type="dxa"/>
            <w:tcBorders/>
            <w:shd w:fill="CCEEFF"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Effect of exchange rate on cash, cash equivalents and 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(22,602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19,359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(26,064</w:t>
            </w:r>
          </w:p>
        </w:tc>
        <w:tc>
          <w:tcPr>
            <w:tcW w:w="170" w:type="dxa"/>
            <w:tcBorders/>
            <w:shd w:fill="auto"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Increase (decrease) in cash, cash equivalents and restricted cash, including those classified within assets held for sale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335,142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(102,221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323,268</w:t>
            </w:r>
          </w:p>
        </w:tc>
        <w:tc>
          <w:tcPr>
            <w:tcW w:w="170" w:type="dxa"/>
            <w:tcBorders/>
            <w:shd w:fill="CCEEFF"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Cash, cash equivalents and restricted cash at beginning of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1,653,315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1,755,770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1,432,502</w:t>
            </w:r>
          </w:p>
        </w:tc>
        <w:tc>
          <w:tcPr>
            <w:tcW w:w="170" w:type="dxa"/>
            <w:tcBorders/>
            <w:shd w:fill="auto"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cash equivalents and restricted cash at end of year, including those classified within assets held for sale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1,988,457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1,653,549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1,755,770</w:t>
            </w:r>
          </w:p>
        </w:tc>
        <w:tc>
          <w:tcPr>
            <w:tcW w:w="170" w:type="dxa"/>
            <w:tcBorders/>
            <w:shd w:fill="CCEEFF"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Less: cash and cash equivalents classified within assets held for sale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980" w:type="dxa"/>
            <w:tcBorders/>
            <w:shd w:fill="auto" w:val="clear"/>
            <w:vAlign w:val="center"/>
          </w:tcPr>
          <w:p>
            <w:pPr>
              <w:pStyle w:val="TableContents"/>
              <w:pBdr>
                <w:top w:val="single" w:sz="2"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r>
        <w:trPr/>
        <w:tc>
          <w:tcPr>
            <w:tcW w:w="60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cash equivalents and restricted cash at end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1,988,457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1,653,315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1,755,770</w:t>
            </w:r>
          </w:p>
        </w:tc>
        <w:tc>
          <w:tcPr>
            <w:tcW w:w="170" w:type="dxa"/>
            <w:tcBorders/>
            <w:shd w:fill="CCEEFF" w:val="clear"/>
            <w:vAlign w:val="center"/>
          </w:tcPr>
          <w:p>
            <w:pPr>
              <w:pStyle w:val="TableContents"/>
              <w:spacing w:before="0" w:after="283"/>
              <w:rPr/>
            </w:pPr>
            <w:r>
              <w:rPr/>
              <w:t> </w:t>
            </w:r>
          </w:p>
        </w:tc>
      </w:tr>
      <w:tr>
        <w:trPr/>
        <w:tc>
          <w:tcPr>
            <w:tcW w:w="60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980"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980" w:type="dxa"/>
            <w:tcBorders/>
            <w:shd w:fill="auto" w:val="clear"/>
            <w:vAlign w:val="center"/>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980" w:type="dxa"/>
            <w:tcBorders/>
            <w:shd w:fill="auto" w:val="clear"/>
            <w:vAlign w:val="center"/>
          </w:tcPr>
          <w:p>
            <w:pPr>
              <w:pStyle w:val="TableContents"/>
              <w:pBdr>
                <w:top w:val="double" w:sz="6" w:space="1" w:color="000000"/>
              </w:pBdr>
              <w:spacing w:before="0" w:after="0"/>
              <w:rPr/>
            </w:pPr>
            <w:r>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Operating Activities </w:t>
      </w:r>
    </w:p>
    <w:p>
      <w:pPr>
        <w:pStyle w:val="TextBody"/>
        <w:spacing w:before="120" w:after="0"/>
        <w:jc w:val="left"/>
        <w:rPr>
          <w:rFonts w:ascii="Times New Roman" w:hAnsi="Times New Roman"/>
          <w:sz w:val="20"/>
        </w:rPr>
      </w:pPr>
      <w:r>
        <w:rPr>
          <w:rFonts w:ascii="Times New Roman" w:hAnsi="Times New Roman"/>
          <w:sz w:val="20"/>
        </w:rPr>
        <w:t xml:space="preserve">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was US$619.4 million for the year ended December 31, 2022, compared to net cash used in operating activities of US$268.8 million for the year ended December 31, 2021. The change was primarily due to softer performance of operations as described in the foregoing section and increased working capital for operations. </w:t>
      </w:r>
    </w:p>
    <w:p>
      <w:pPr>
        <w:pStyle w:val="TextBody"/>
        <w:spacing w:before="240" w:after="0"/>
        <w:jc w:val="left"/>
        <w:rPr>
          <w:rFonts w:ascii="Times New Roman" w:hAnsi="Times New Roman"/>
          <w:sz w:val="20"/>
        </w:rPr>
      </w:pPr>
      <w:r>
        <w:rPr>
          <w:rFonts w:ascii="Times New Roman" w:hAnsi="Times New Roman"/>
          <w:sz w:val="20"/>
        </w:rPr>
        <w:t xml:space="preserve">Net cash used in operating activities was US$268.8 million for the year ended December 31, 2021, compared to net cash used in operating activities of US$861.0 million for the year ended December 31, 2020. The change was primarily due to improved performance of operations and decreased working capital for operations. </w:t>
      </w:r>
    </w:p>
    <w:p>
      <w:pPr>
        <w:pStyle w:val="TextBody"/>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spacing w:before="120" w:after="0"/>
        <w:jc w:val="left"/>
        <w:rPr>
          <w:rFonts w:ascii="Times New Roman" w:hAnsi="Times New Roman"/>
          <w:sz w:val="20"/>
        </w:rPr>
      </w:pPr>
      <w:r>
        <w:rPr>
          <w:rFonts w:ascii="Times New Roman" w:hAnsi="Times New Roman"/>
          <w:sz w:val="20"/>
        </w:rPr>
        <w:t xml:space="preserve">Net cash used in investing activities was US$806.1 million for the year ended December 31, 2022, compared to net cash used in investing activities of US$674.6 million for the year ended December 31, 2021. The change was primarily due to advances to an affiliated company during the year ended December 31, 2022. Net cash used in investing activities for the year ended December 31, 2022 mainly included payments for capitalized construction costs and acquisition of property and equipment of US$609.6 million, advances to an affiliated company of US$200.0 million and payments for intangible and other assets of US$12.5 million, partially offset by proceeds from sale of assets held for sale of US$15.6 million. </w:t>
      </w:r>
    </w:p>
    <w:p>
      <w:pPr>
        <w:pStyle w:val="TextBody"/>
        <w:spacing w:before="240" w:after="0"/>
        <w:jc w:val="left"/>
        <w:rPr>
          <w:rFonts w:ascii="Times New Roman" w:hAnsi="Times New Roman"/>
          <w:sz w:val="20"/>
        </w:rPr>
      </w:pPr>
      <w:r>
        <w:rPr>
          <w:rFonts w:ascii="Times New Roman" w:hAnsi="Times New Roman"/>
          <w:sz w:val="20"/>
        </w:rPr>
        <w:t xml:space="preserve">Net cash used in investing activities was US$674.6 million for the year ended December 31, 2021, compared to net cash used in investing activities of US$53.3 million for the year ended December 31, 2020. The change was primarily due to higher payments for capitalized construction costs during the year ended December 31, 2021 and no proceeds from the sale of investment securities received for the year ended December 31, 2021. Net cash used in investing activities for the year ended December 31, 2021 mainly included payments for capitalized construction costs and acquisition of property and equipment of US$671.8 million and payments for intangible and other assets of US$7.6 million. </w:t>
      </w:r>
    </w:p>
    <w:p>
      <w:pPr>
        <w:pStyle w:val="TextBody"/>
        <w:spacing w:before="240" w:after="0"/>
        <w:jc w:val="left"/>
        <w:rPr>
          <w:rFonts w:ascii="Times New Roman" w:hAnsi="Times New Roman"/>
          <w:sz w:val="20"/>
        </w:rPr>
      </w:pPr>
      <w:r>
        <w:rPr>
          <w:rFonts w:ascii="Times New Roman" w:hAnsi="Times New Roman"/>
          <w:sz w:val="20"/>
        </w:rPr>
        <w:t xml:space="preserve">Our total payments for capitalized construction costs and acquisition of property and equipment were US$609.6 million and US$671.8 million for the years ended December 31, 2022 and 2021, respectively. Such expenditures were mainly associated with our development projects, as well as enhancement to our integrated resort offerings. </w:t>
      </w:r>
    </w:p>
    <w:p>
      <w:pPr>
        <w:pStyle w:val="TextBody"/>
        <w:spacing w:before="240" w:after="0"/>
        <w:jc w:val="left"/>
        <w:rPr>
          <w:rFonts w:ascii="Times New Roman" w:hAnsi="Times New Roman"/>
          <w:sz w:val="20"/>
        </w:rPr>
      </w:pPr>
      <w:r>
        <w:rPr>
          <w:rFonts w:ascii="Times New Roman" w:hAnsi="Times New Roman"/>
          <w:sz w:val="20"/>
        </w:rPr>
        <w:t xml:space="preserve">We expect to incur significant capital expenditures for the ongoing enhancement and maintenance of our Macau properties and City of Dreams Manila and the construction of City of Dreams Mediterranean. We intend to finance these projects through our operating cash flow and existing cash balances as well as equity or debt financings. See “— Other Financing and Liquidity Matters” below for more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sets forth our capital expenditures incurred by segment on an accrual basis for the years ended December 31, 2022, 2021 and 2020. </w:t>
      </w:r>
    </w:p>
    <w:p>
      <w:pPr>
        <w:pStyle w:val="TextBody"/>
        <w:spacing w:before="0" w:after="0"/>
        <w:jc w:val="left"/>
        <w:rPr/>
      </w:pPr>
      <w:r>
        <w:rPr/>
        <w:t> </w:t>
      </w:r>
    </w:p>
    <w:tbl>
      <w:tblPr>
        <w:tblW w:w="5540" w:type="dxa"/>
        <w:jc w:val="left"/>
        <w:tblInd w:w="0" w:type="dxa"/>
        <w:tblCellMar>
          <w:top w:w="0" w:type="dxa"/>
          <w:left w:w="0" w:type="dxa"/>
          <w:bottom w:w="0" w:type="dxa"/>
          <w:right w:w="0" w:type="dxa"/>
        </w:tblCellMar>
      </w:tblPr>
      <w:tblGrid>
        <w:gridCol w:w="2165"/>
        <w:gridCol w:w="120"/>
        <w:gridCol w:w="140"/>
        <w:gridCol w:w="800"/>
        <w:gridCol w:w="60"/>
        <w:gridCol w:w="120"/>
        <w:gridCol w:w="140"/>
        <w:gridCol w:w="800"/>
        <w:gridCol w:w="60"/>
        <w:gridCol w:w="120"/>
        <w:gridCol w:w="140"/>
        <w:gridCol w:w="800"/>
        <w:gridCol w:w="75"/>
      </w:tblGrid>
      <w:tr>
        <w:trPr/>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80"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80" w:type="dxa"/>
            <w:gridSpan w:val="10"/>
            <w:tcBorders/>
            <w:shd w:fill="auto" w:val="clear"/>
            <w:vAlign w:val="center"/>
          </w:tcPr>
          <w:p>
            <w:pPr>
              <w:pStyle w:val="TableContents"/>
              <w:spacing w:before="0" w:after="283"/>
              <w:jc w:val="center"/>
              <w:rPr>
                <w:b/>
              </w:rPr>
            </w:pPr>
            <w:r>
              <w:rPr>
                <w:b/>
              </w:rPr>
              <w:t>(in thousands of US$)</w:t>
            </w:r>
          </w:p>
        </w:tc>
        <w:tc>
          <w:tcPr>
            <w:tcW w:w="75" w:type="dxa"/>
            <w:tcBorders/>
            <w:shd w:fill="auto"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1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Mocha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1,704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1,368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3,490</w:t>
            </w:r>
          </w:p>
        </w:tc>
        <w:tc>
          <w:tcPr>
            <w:tcW w:w="75" w:type="dxa"/>
            <w:tcBorders/>
            <w:shd w:fill="auto"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Altira 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3,303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6,123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11,519</w:t>
            </w:r>
          </w:p>
        </w:tc>
        <w:tc>
          <w:tcPr>
            <w:tcW w:w="75" w:type="dxa"/>
            <w:tcBorders/>
            <w:shd w:fill="CCEEFF"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City of Dreams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21,684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52,520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119,014</w:t>
            </w:r>
          </w:p>
        </w:tc>
        <w:tc>
          <w:tcPr>
            <w:tcW w:w="75" w:type="dxa"/>
            <w:tcBorders/>
            <w:shd w:fill="auto"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Studio City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429,362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505,783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214,625</w:t>
            </w:r>
          </w:p>
        </w:tc>
        <w:tc>
          <w:tcPr>
            <w:tcW w:w="75" w:type="dxa"/>
            <w:tcBorders/>
            <w:shd w:fill="CCEEFF"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0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456,053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565,794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348,648</w:t>
            </w:r>
          </w:p>
        </w:tc>
        <w:tc>
          <w:tcPr>
            <w:tcW w:w="75" w:type="dxa"/>
            <w:tcBorders/>
            <w:shd w:fill="auto"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The Philippines: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1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City of Dreams Manila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4,986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22,912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15,622</w:t>
            </w:r>
          </w:p>
        </w:tc>
        <w:tc>
          <w:tcPr>
            <w:tcW w:w="75" w:type="dxa"/>
            <w:tcBorders/>
            <w:shd w:fill="auto"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Cyprus: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1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Cyprus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131,419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186,361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74,523</w:t>
            </w:r>
          </w:p>
        </w:tc>
        <w:tc>
          <w:tcPr>
            <w:tcW w:w="75" w:type="dxa"/>
            <w:tcBorders/>
            <w:shd w:fill="auto" w:val="clear"/>
            <w:vAlign w:val="center"/>
          </w:tcPr>
          <w:p>
            <w:pPr>
              <w:pStyle w:val="TableContents"/>
              <w:spacing w:before="0" w:after="283"/>
              <w:rPr/>
            </w:pPr>
            <w:r>
              <w:rPr/>
              <w:t> </w:t>
            </w:r>
          </w:p>
        </w:tc>
      </w:tr>
      <w:tr>
        <w:trPr/>
        <w:tc>
          <w:tcPr>
            <w:tcW w:w="21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Corporate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5,956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7,083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25,460</w:t>
            </w:r>
          </w:p>
        </w:tc>
        <w:tc>
          <w:tcPr>
            <w:tcW w:w="75" w:type="dxa"/>
            <w:tcBorders/>
            <w:shd w:fill="CCEEFF"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00"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 capital expenditures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598,414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782,150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464,253</w:t>
            </w:r>
          </w:p>
        </w:tc>
        <w:tc>
          <w:tcPr>
            <w:tcW w:w="75" w:type="dxa"/>
            <w:tcBorders/>
            <w:shd w:fill="auto" w:val="clear"/>
            <w:vAlign w:val="center"/>
          </w:tcPr>
          <w:p>
            <w:pPr>
              <w:pStyle w:val="TableContents"/>
              <w:spacing w:before="0" w:after="283"/>
              <w:rPr/>
            </w:pPr>
            <w:r>
              <w:rPr/>
              <w:t> </w:t>
            </w:r>
          </w:p>
        </w:tc>
      </w:tr>
      <w:tr>
        <w:trPr/>
        <w:tc>
          <w:tcPr>
            <w:tcW w:w="2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0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0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00"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Our capital expenditures for the year ended December 31, 2022 decreased from that for the year ended December 31, 2021 was primarily due to the decrease in capital expenditures on construction projects in Studio City and Cyprus Operations. Our capital expenditures for the year ended December 31, 2021 increased from that for the year ended December 31, 2020 was primarily due to the construction projects in Studio City and Cyprus Operations. </w:t>
      </w:r>
    </w:p>
    <w:p>
      <w:pPr>
        <w:pStyle w:val="TextBody"/>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spacing w:before="120" w:after="0"/>
        <w:jc w:val="left"/>
        <w:rPr>
          <w:rFonts w:ascii="Times New Roman" w:hAnsi="Times New Roman"/>
          <w:sz w:val="20"/>
        </w:rPr>
      </w:pPr>
      <w:r>
        <w:rPr>
          <w:rFonts w:ascii="Times New Roman" w:hAnsi="Times New Roman"/>
          <w:sz w:val="20"/>
        </w:rPr>
        <w:t xml:space="preserve">Net cash provided by financing activities of US$1.78 billion for the year ended December 31, 2022 was primarily due to (i) the proceeds from drawdown of the revolving credit facility under the 2020 Credit Facilities of US$1.50 billion and (ii) the proceeds from the issuance of the 2027 Studio City Notes of US$350.0 million, which priced at 100.0% of the principal amount, (iii) net proceeds from issuance of shares of subsidiaries of US$134.1 million, which were offset in part by (iv) repurchase of shares of US$189.2 million and (v) the payments of deferred financing costs of US$8.0 million.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of US$821.7 million for the year ended December 31, 2021 was primarily due to (i) the proceeds from the issuance of the First 2029 Studio City Notes in aggregate principal amount of US$750.0 million, (ii) the proceeds from the issuance of the Additional 2029 Studio City Notes of US$355.3 million, which priced at 101.5% of the principal amount, (iii) the proceeds from the issuance of the Additional 2029 Senior Notes of US$258.1 million, which priced at 103.250% of the principal amount, and (iv) the drawdown of the revolving credit facility under the 2020 Credit Facilities of US$399.7 million in December 2021, which were offset in part by (v) the payment of 2024 Studio City Notes Tender Offer of US$347.1 million in aggregate principal amount, (vi) the redemption of the remaining 2024 Studio City Notes of US$252.9 million in aggregate principal amount outstanding, (vii) the repayment of outstanding revolving credit facility under the 2020 Credit Facility of US$249.9 million, (viii) repurchase of shares of US$52.0 million and (ix) the payments of deferred financing costs of US$37.4 million. </w:t>
      </w:r>
    </w:p>
    <w:p>
      <w:pPr>
        <w:pStyle w:val="TextBody"/>
        <w:spacing w:before="240" w:after="0"/>
        <w:jc w:val="left"/>
        <w:rPr>
          <w:rFonts w:ascii="Times New Roman" w:hAnsi="Times New Roman"/>
          <w:sz w:val="20"/>
        </w:rPr>
      </w:pPr>
      <w:r>
        <w:rPr>
          <w:rFonts w:ascii="Times New Roman" w:hAnsi="Times New Roman"/>
          <w:sz w:val="20"/>
        </w:rPr>
        <w:t xml:space="preserve">Net cash provided by financing activities of US$1,263.6 million for the year ended December 31, 2020 was, primarily due to (i) the proceeds from the issuance of 2025 Studio City Notes in an aggregate principal amount of US$500.0 million, (ii) the proceeds from the issuance of 2028 Studio City Notes in an aggregate principal amount of US$500.0 million, (iii) the proceeds from the issuance of the First 2028 Senior Notes in aggregate principal amount of US$500.0 million in July 2020, (iv) the issuance of the Additional 2028 Senior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Notes of US$353.5 million in August 2020, which priced at 101.0% of the principal amount, (v) the drawdown of the 2020 Credit Facilities of US$602.2 million, (vi) the drawdown of the revolving credit facility under the 2015 Credit Facilities of US$251.5 million and (vii) net proceeds from issuance of shares of subsidiaries of US$218.4 million, which were offset in part by (viii) the full redemption of the 2021 Studio City Company Notes of US$850.0 million, (ix) the repayment of the 2020 Credit Facilities of US$352.2 million, (x) the repayment of all loan amounts under the 2015 Credit Facilities of US$252.6 million, other than HK$1.0 million (equivalent to US$0.1 million) which remained outstanding under the term loan facility, (xi) the payments of deferred financing costs of US$84.1 million and (xii) dividend payments of US$79.1 million. </w:t>
      </w:r>
    </w:p>
    <w:p>
      <w:pPr>
        <w:pStyle w:val="TextBody"/>
        <w:spacing w:before="360" w:after="0"/>
        <w:jc w:val="left"/>
        <w:rPr>
          <w:rFonts w:ascii="Times New Roman" w:hAnsi="Times New Roman"/>
          <w:b/>
          <w:sz w:val="20"/>
        </w:rPr>
      </w:pPr>
      <w:r>
        <w:rPr>
          <w:rFonts w:ascii="Times New Roman" w:hAnsi="Times New Roman"/>
          <w:b/>
          <w:sz w:val="20"/>
        </w:rPr>
        <w:t xml:space="preserve">Indebtedness </w:t>
      </w:r>
    </w:p>
    <w:p>
      <w:pPr>
        <w:pStyle w:val="TextBody"/>
        <w:spacing w:before="120" w:after="0"/>
        <w:jc w:val="left"/>
        <w:rPr>
          <w:rFonts w:ascii="Times New Roman" w:hAnsi="Times New Roman"/>
          <w:sz w:val="20"/>
        </w:rPr>
      </w:pPr>
      <w:r>
        <w:rPr>
          <w:rFonts w:ascii="Times New Roman" w:hAnsi="Times New Roman"/>
          <w:sz w:val="20"/>
        </w:rPr>
        <w:t xml:space="preserve">We enter into loan facilities and issue notes through our subsidiaries. The following table presents a summary of our gross indebtedness as of December 31, 2022: </w:t>
      </w:r>
    </w:p>
    <w:p>
      <w:pPr>
        <w:pStyle w:val="TextBody"/>
        <w:spacing w:before="0" w:after="0"/>
        <w:jc w:val="left"/>
        <w:rPr/>
      </w:pPr>
      <w:r>
        <w:rPr/>
        <w:t> </w:t>
      </w:r>
    </w:p>
    <w:tbl>
      <w:tblPr>
        <w:tblW w:w="6309" w:type="dxa"/>
        <w:jc w:val="left"/>
        <w:tblInd w:w="0" w:type="dxa"/>
        <w:tblCellMar>
          <w:top w:w="0" w:type="dxa"/>
          <w:left w:w="0" w:type="dxa"/>
          <w:bottom w:w="0" w:type="dxa"/>
          <w:right w:w="0" w:type="dxa"/>
        </w:tblCellMar>
      </w:tblPr>
      <w:tblGrid>
        <w:gridCol w:w="3935"/>
        <w:gridCol w:w="120"/>
        <w:gridCol w:w="272"/>
        <w:gridCol w:w="1907"/>
        <w:gridCol w:w="75"/>
      </w:tblGrid>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9"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As of December 31,</w:t>
            </w:r>
            <w:r>
              <w:rPr/>
              <w:br/>
            </w:r>
            <w:r>
              <w:rPr>
                <w:b/>
              </w:rPr>
              <w:t>2022</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79" w:type="dxa"/>
            <w:gridSpan w:val="2"/>
            <w:tcBorders/>
            <w:shd w:fill="auto" w:val="clear"/>
            <w:vAlign w:val="center"/>
          </w:tcPr>
          <w:p>
            <w:pPr>
              <w:pStyle w:val="TableContents"/>
              <w:spacing w:before="0" w:after="283"/>
              <w:jc w:val="center"/>
              <w:rPr>
                <w:b/>
                <w:i/>
              </w:rPr>
            </w:pPr>
            <w:r>
              <w:rPr>
                <w:b/>
                <w:i/>
              </w:rPr>
              <w:t>(in thousands of US$)</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2029 Senior Notes</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w:t>
            </w:r>
          </w:p>
        </w:tc>
        <w:tc>
          <w:tcPr>
            <w:tcW w:w="1907" w:type="dxa"/>
            <w:tcBorders/>
            <w:shd w:fill="CCEEFF" w:val="clear"/>
            <w:vAlign w:val="center"/>
          </w:tcPr>
          <w:p>
            <w:pPr>
              <w:pStyle w:val="TableContents"/>
              <w:spacing w:before="0" w:after="283"/>
              <w:jc w:val="right"/>
              <w:rPr/>
            </w:pPr>
            <w:r>
              <w:rPr/>
              <w:t>1,150,000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2029 Studio City Notes</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907" w:type="dxa"/>
            <w:tcBorders/>
            <w:shd w:fill="auto" w:val="clear"/>
            <w:vAlign w:val="center"/>
          </w:tcPr>
          <w:p>
            <w:pPr>
              <w:pStyle w:val="TableContents"/>
              <w:spacing w:before="0" w:after="283"/>
              <w:jc w:val="right"/>
              <w:rPr/>
            </w:pPr>
            <w:r>
              <w:rPr/>
              <w:t>1,100,000</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2025 Senior Notes</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907" w:type="dxa"/>
            <w:tcBorders/>
            <w:shd w:fill="CCEEFF" w:val="clear"/>
            <w:vAlign w:val="center"/>
          </w:tcPr>
          <w:p>
            <w:pPr>
              <w:pStyle w:val="TableContents"/>
              <w:spacing w:before="0" w:after="283"/>
              <w:jc w:val="right"/>
              <w:rPr/>
            </w:pPr>
            <w:r>
              <w:rPr/>
              <w:t>1,000,000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2028 Senior Notes</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907" w:type="dxa"/>
            <w:tcBorders/>
            <w:shd w:fill="auto" w:val="clear"/>
            <w:vAlign w:val="center"/>
          </w:tcPr>
          <w:p>
            <w:pPr>
              <w:pStyle w:val="TableContents"/>
              <w:spacing w:before="0" w:after="283"/>
              <w:jc w:val="right"/>
              <w:rPr/>
            </w:pPr>
            <w:r>
              <w:rPr/>
              <w:t>850,000</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2027 Senior Notes</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907" w:type="dxa"/>
            <w:tcBorders/>
            <w:shd w:fill="CCEEFF" w:val="clear"/>
            <w:vAlign w:val="center"/>
          </w:tcPr>
          <w:p>
            <w:pPr>
              <w:pStyle w:val="TableContents"/>
              <w:spacing w:before="0" w:after="283"/>
              <w:jc w:val="right"/>
              <w:rPr/>
            </w:pPr>
            <w:r>
              <w:rPr/>
              <w:t>600,000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2026 Senior Notes</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907" w:type="dxa"/>
            <w:tcBorders/>
            <w:shd w:fill="auto" w:val="clear"/>
            <w:vAlign w:val="center"/>
          </w:tcPr>
          <w:p>
            <w:pPr>
              <w:pStyle w:val="TableContents"/>
              <w:spacing w:before="0" w:after="283"/>
              <w:jc w:val="right"/>
              <w:rPr/>
            </w:pPr>
            <w:r>
              <w:rPr/>
              <w:t>500,000</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2025 Studio City Notes</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907" w:type="dxa"/>
            <w:tcBorders/>
            <w:shd w:fill="CCEEFF" w:val="clear"/>
            <w:vAlign w:val="center"/>
          </w:tcPr>
          <w:p>
            <w:pPr>
              <w:pStyle w:val="TableContents"/>
              <w:spacing w:before="0" w:after="283"/>
              <w:jc w:val="right"/>
              <w:rPr/>
            </w:pPr>
            <w:r>
              <w:rPr/>
              <w:t>500,000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2028 Studio City Notes</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907" w:type="dxa"/>
            <w:tcBorders/>
            <w:shd w:fill="auto" w:val="clear"/>
            <w:vAlign w:val="center"/>
          </w:tcPr>
          <w:p>
            <w:pPr>
              <w:pStyle w:val="TableContents"/>
              <w:spacing w:before="0" w:after="283"/>
              <w:jc w:val="right"/>
              <w:rPr/>
            </w:pPr>
            <w:r>
              <w:rPr/>
              <w:t>500,000</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2027 Studio City Notes</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907" w:type="dxa"/>
            <w:tcBorders/>
            <w:shd w:fill="CCEEFF" w:val="clear"/>
            <w:vAlign w:val="center"/>
          </w:tcPr>
          <w:p>
            <w:pPr>
              <w:pStyle w:val="TableContents"/>
              <w:spacing w:before="0" w:after="283"/>
              <w:jc w:val="right"/>
              <w:rPr/>
            </w:pPr>
            <w:r>
              <w:rPr/>
              <w:t>350,000</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2020 Credit Facilities</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907" w:type="dxa"/>
            <w:tcBorders/>
            <w:shd w:fill="auto" w:val="clear"/>
            <w:vAlign w:val="center"/>
          </w:tcPr>
          <w:p>
            <w:pPr>
              <w:pStyle w:val="TableContents"/>
              <w:spacing w:before="0" w:after="283"/>
              <w:jc w:val="right"/>
              <w:rPr/>
            </w:pPr>
            <w:r>
              <w:rPr/>
              <w:t>1,899,203</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2015 Credit Facilities</w:t>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pPr>
            <w:r>
              <w:rPr/>
              <w:t> </w:t>
            </w:r>
          </w:p>
        </w:tc>
        <w:tc>
          <w:tcPr>
            <w:tcW w:w="1907" w:type="dxa"/>
            <w:tcBorders/>
            <w:shd w:fill="CCEEFF" w:val="clear"/>
            <w:vAlign w:val="center"/>
          </w:tcPr>
          <w:p>
            <w:pPr>
              <w:pStyle w:val="TableContents"/>
              <w:spacing w:before="0" w:after="283"/>
              <w:jc w:val="right"/>
              <w:rPr/>
            </w:pPr>
            <w:r>
              <w:rPr/>
              <w:t>128</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2028 Studio City Senior Secured Credit Facility</w:t>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rPr/>
            </w:pPr>
            <w:r>
              <w:rPr/>
              <w:t> </w:t>
            </w:r>
          </w:p>
        </w:tc>
        <w:tc>
          <w:tcPr>
            <w:tcW w:w="1907" w:type="dxa"/>
            <w:tcBorders/>
            <w:shd w:fill="auto" w:val="clear"/>
            <w:vAlign w:val="center"/>
          </w:tcPr>
          <w:p>
            <w:pPr>
              <w:pStyle w:val="TableContents"/>
              <w:spacing w:before="0" w:after="283"/>
              <w:jc w:val="right"/>
              <w:rPr/>
            </w:pPr>
            <w:r>
              <w:rPr/>
              <w:t>128</w:t>
            </w:r>
          </w:p>
        </w:tc>
        <w:tc>
          <w:tcPr>
            <w:tcW w:w="75" w:type="dxa"/>
            <w:tcBorders/>
            <w:shd w:fill="auto"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pBdr>
                <w:top w:val="single" w:sz="2" w:space="1" w:color="000000"/>
              </w:pBdr>
              <w:spacing w:before="0" w:after="0"/>
              <w:rPr/>
            </w:pPr>
            <w:r>
              <w:rPr/>
              <w:t> </w:t>
            </w:r>
          </w:p>
        </w:tc>
        <w:tc>
          <w:tcPr>
            <w:tcW w:w="1907"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393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72" w:type="dxa"/>
            <w:tcBorders/>
            <w:shd w:fill="CCEEFF" w:val="clear"/>
            <w:vAlign w:val="center"/>
          </w:tcPr>
          <w:p>
            <w:pPr>
              <w:pStyle w:val="TableContents"/>
              <w:spacing w:before="0" w:after="283"/>
              <w:rPr>
                <w:b/>
              </w:rPr>
            </w:pPr>
            <w:r>
              <w:rPr>
                <w:b/>
              </w:rPr>
              <w:t>$</w:t>
            </w:r>
          </w:p>
        </w:tc>
        <w:tc>
          <w:tcPr>
            <w:tcW w:w="1907" w:type="dxa"/>
            <w:tcBorders/>
            <w:shd w:fill="CCEEFF" w:val="clear"/>
            <w:vAlign w:val="center"/>
          </w:tcPr>
          <w:p>
            <w:pPr>
              <w:pStyle w:val="TableContents"/>
              <w:spacing w:before="0" w:after="283"/>
              <w:jc w:val="right"/>
              <w:rPr>
                <w:b/>
              </w:rPr>
            </w:pPr>
            <w:r>
              <w:rPr>
                <w:b/>
              </w:rPr>
              <w:t>8,449,459</w:t>
            </w:r>
          </w:p>
        </w:tc>
        <w:tc>
          <w:tcPr>
            <w:tcW w:w="75" w:type="dxa"/>
            <w:tcBorders/>
            <w:shd w:fill="CCEEFF" w:val="clear"/>
            <w:vAlign w:val="center"/>
          </w:tcPr>
          <w:p>
            <w:pPr>
              <w:pStyle w:val="TableContents"/>
              <w:spacing w:before="0" w:after="283"/>
              <w:rPr/>
            </w:pPr>
            <w:r>
              <w:rPr/>
              <w:t> </w:t>
            </w:r>
          </w:p>
        </w:tc>
      </w:tr>
      <w:tr>
        <w:trPr/>
        <w:tc>
          <w:tcPr>
            <w:tcW w:w="3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pBdr>
                <w:top w:val="double" w:sz="6" w:space="1" w:color="000000"/>
              </w:pBdr>
              <w:spacing w:before="0" w:after="0"/>
              <w:rPr/>
            </w:pPr>
            <w:r>
              <w:rPr/>
              <w:t> </w:t>
            </w:r>
          </w:p>
        </w:tc>
        <w:tc>
          <w:tcPr>
            <w:tcW w:w="1907" w:type="dxa"/>
            <w:tcBorders/>
            <w:shd w:fill="auto" w:val="clear"/>
            <w:vAlign w:val="center"/>
          </w:tcPr>
          <w:p>
            <w:pPr>
              <w:pStyle w:val="TableContents"/>
              <w:pBdr>
                <w:top w:val="double" w:sz="6"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Major changes in our indebtedness during the year ended and subsequent to December 31, 2022 are summarized below. </w:t>
      </w:r>
    </w:p>
    <w:p>
      <w:pPr>
        <w:pStyle w:val="TextBody"/>
        <w:spacing w:before="240" w:after="0"/>
        <w:jc w:val="left"/>
        <w:rPr>
          <w:rFonts w:ascii="Times New Roman" w:hAnsi="Times New Roman"/>
          <w:sz w:val="20"/>
        </w:rPr>
      </w:pPr>
      <w:r>
        <w:rPr>
          <w:rFonts w:ascii="Times New Roman" w:hAnsi="Times New Roman"/>
          <w:sz w:val="20"/>
        </w:rPr>
        <w:t xml:space="preserve">On February 16, 2022, Studio City Company issued US$350.0 million in aggregate principal amount of the 2027 Studio City Notes. </w:t>
      </w:r>
    </w:p>
    <w:p>
      <w:pPr>
        <w:pStyle w:val="TextBody"/>
        <w:spacing w:before="240" w:after="0"/>
        <w:jc w:val="left"/>
        <w:rPr>
          <w:rFonts w:ascii="Times New Roman" w:hAnsi="Times New Roman"/>
          <w:sz w:val="20"/>
        </w:rPr>
      </w:pPr>
      <w:r>
        <w:rPr>
          <w:rFonts w:ascii="Times New Roman" w:hAnsi="Times New Roman"/>
          <w:sz w:val="20"/>
        </w:rPr>
        <w:t xml:space="preserve">On February 23, 2022, MCO Nominee One drew down US$170.0 million under the 2020 Credit Facilities to fund the purchase of shares from SCI as part of its private placement announced in February 2022. </w:t>
      </w:r>
    </w:p>
    <w:p>
      <w:pPr>
        <w:pStyle w:val="TextBody"/>
        <w:spacing w:before="240" w:after="0"/>
        <w:jc w:val="left"/>
        <w:rPr>
          <w:rFonts w:ascii="Times New Roman" w:hAnsi="Times New Roman"/>
          <w:sz w:val="20"/>
        </w:rPr>
      </w:pPr>
      <w:r>
        <w:rPr>
          <w:rFonts w:ascii="Times New Roman" w:hAnsi="Times New Roman"/>
          <w:sz w:val="20"/>
        </w:rPr>
        <w:t xml:space="preserve">On April 6, 2022, MCO Nominee One further drew down US$250.0 million under the 2020 Credit Facilities, out of which US$170.0 million was advanced to our Company for working capital and general corporate purposes. </w:t>
      </w:r>
    </w:p>
    <w:p>
      <w:pPr>
        <w:pStyle w:val="TextBody"/>
        <w:spacing w:before="240" w:after="0"/>
        <w:jc w:val="left"/>
        <w:rPr>
          <w:rFonts w:ascii="Times New Roman" w:hAnsi="Times New Roman"/>
          <w:sz w:val="20"/>
        </w:rPr>
      </w:pPr>
      <w:r>
        <w:rPr>
          <w:rFonts w:ascii="Times New Roman" w:hAnsi="Times New Roman"/>
          <w:sz w:val="20"/>
        </w:rPr>
        <w:t xml:space="preserve">On May 4, 2022, the maturity date of the 2015 Credit Facilities was extended to December 31, 2022 pursuant to an extension request letter. </w:t>
      </w:r>
    </w:p>
    <w:p>
      <w:pPr>
        <w:pStyle w:val="TextBody"/>
        <w:spacing w:before="240" w:after="0"/>
        <w:jc w:val="left"/>
        <w:rPr>
          <w:rFonts w:ascii="Times New Roman" w:hAnsi="Times New Roman"/>
          <w:sz w:val="20"/>
        </w:rPr>
      </w:pPr>
      <w:r>
        <w:rPr>
          <w:rFonts w:ascii="Times New Roman" w:hAnsi="Times New Roman"/>
          <w:sz w:val="20"/>
        </w:rPr>
        <w:t xml:space="preserve">On August 16, 2022, MCO Nominee One received confirmation that the majority of lenders of 2020 Credit Facilities agreement dated April 29, 2020 consented and agreed to a waiver extension of the financial condition covenants contained therein, being the interest cover ratio (the ratio of consolidated EBITDA to consolidated net finance charges), the senior leverage ratio (the ratio of consolidated total debt to consolidated EBITDA) and the total leverage ratio (the ratio of consolidated total debt to consolidated EBITDA). The existing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waiver remains valid in respect of the relevant periods ending on the December 31, 2022 test date, and the waiver extension granted extends that waiver for all relevant periods to and including the March 31, 2024 test date. MCO Nominee One paid a customary fee to all consenting lenders in relation to such consent and such consent has become effective upon receipt of the consent fee by the facility agent. </w:t>
      </w:r>
    </w:p>
    <w:p>
      <w:pPr>
        <w:pStyle w:val="TextBody"/>
        <w:spacing w:before="240" w:after="0"/>
        <w:jc w:val="left"/>
        <w:rPr>
          <w:rFonts w:ascii="Times New Roman" w:hAnsi="Times New Roman"/>
          <w:sz w:val="20"/>
        </w:rPr>
      </w:pPr>
      <w:r>
        <w:rPr>
          <w:rFonts w:ascii="Times New Roman" w:hAnsi="Times New Roman"/>
          <w:sz w:val="20"/>
        </w:rPr>
        <w:t xml:space="preserve">On August 24, 2022, MCO Nominee One drew down US$400.0 million under the 2020 Credit Facilities, out of which US$160.0 million was advanced to our Company for corporate purposes. </w:t>
      </w:r>
    </w:p>
    <w:p>
      <w:pPr>
        <w:pStyle w:val="TextBody"/>
        <w:spacing w:before="240" w:after="0"/>
        <w:jc w:val="left"/>
        <w:rPr>
          <w:rFonts w:ascii="Times New Roman" w:hAnsi="Times New Roman"/>
          <w:sz w:val="20"/>
        </w:rPr>
      </w:pPr>
      <w:r>
        <w:rPr>
          <w:rFonts w:ascii="Times New Roman" w:hAnsi="Times New Roman"/>
          <w:sz w:val="20"/>
        </w:rPr>
        <w:t xml:space="preserve">On December 5, 2022, MCO Nominee One drew down HK$5.31 billion (equivalent to US$680.1 million) under the 2020 Credit Facilities and were advanced to Melco Resorts Macau, out of which approximately US$496.0 million was used to pay MOP3.99 billion (equivalent to US$496.0 million) in dividends from Melco Resorts Macau to MCO Investments. </w:t>
      </w:r>
    </w:p>
    <w:p>
      <w:pPr>
        <w:pStyle w:val="TextBody"/>
        <w:spacing w:before="240" w:after="0"/>
        <w:jc w:val="left"/>
        <w:rPr>
          <w:rFonts w:ascii="Times New Roman" w:hAnsi="Times New Roman"/>
          <w:sz w:val="20"/>
        </w:rPr>
      </w:pPr>
      <w:r>
        <w:rPr>
          <w:rFonts w:ascii="Times New Roman" w:hAnsi="Times New Roman"/>
          <w:sz w:val="20"/>
        </w:rPr>
        <w:t xml:space="preserve">On December 16, 2022, the maturity date of the 2015 Credit Facilities was extended to June 24, 2024 pursuant to an extension request letter. </w:t>
      </w:r>
    </w:p>
    <w:p>
      <w:pPr>
        <w:pStyle w:val="TextBody"/>
        <w:spacing w:before="240" w:after="0"/>
        <w:jc w:val="left"/>
        <w:rPr>
          <w:rFonts w:ascii="Times New Roman" w:hAnsi="Times New Roman"/>
          <w:sz w:val="20"/>
        </w:rPr>
      </w:pPr>
      <w:r>
        <w:rPr>
          <w:rFonts w:ascii="Times New Roman" w:hAnsi="Times New Roman"/>
          <w:sz w:val="20"/>
        </w:rPr>
        <w:t xml:space="preserve">On January 5, 2023, MCO Nominee One repaid the outstanding loan principal amount of HK$5.31 billion (equivalent to US$680.1 million) under the 2020 Credit Facilities, together with accrued interest. </w:t>
      </w:r>
    </w:p>
    <w:p>
      <w:pPr>
        <w:pStyle w:val="TextBody"/>
        <w:spacing w:before="240" w:after="0"/>
        <w:jc w:val="left"/>
        <w:rPr>
          <w:rFonts w:ascii="Times New Roman" w:hAnsi="Times New Roman"/>
          <w:sz w:val="20"/>
        </w:rPr>
      </w:pPr>
      <w:r>
        <w:rPr>
          <w:rFonts w:ascii="Times New Roman" w:hAnsi="Times New Roman"/>
          <w:sz w:val="20"/>
        </w:rPr>
        <w:t xml:space="preserve">On January 10, 2023, MCO Nominee One drew down US$300.0 million under the 2020 Credit Facilities for working capital purposes. </w:t>
      </w:r>
    </w:p>
    <w:p>
      <w:pPr>
        <w:pStyle w:val="TextBody"/>
        <w:spacing w:before="240" w:after="0"/>
        <w:jc w:val="left"/>
        <w:rPr>
          <w:rFonts w:ascii="Times New Roman" w:hAnsi="Times New Roman"/>
          <w:sz w:val="20"/>
        </w:rPr>
      </w:pPr>
      <w:r>
        <w:rPr>
          <w:rFonts w:ascii="Times New Roman" w:hAnsi="Times New Roman"/>
          <w:sz w:val="20"/>
        </w:rPr>
        <w:t xml:space="preserve">On January 30, 2023, MCO Nominee One prepaid the outstanding loan principal amount of US$170.0 million under the 2020 Credit Facilities, together with accrued interest. </w:t>
      </w:r>
    </w:p>
    <w:p>
      <w:pPr>
        <w:pStyle w:val="TextBody"/>
        <w:spacing w:before="240" w:after="0"/>
        <w:jc w:val="left"/>
        <w:rPr>
          <w:rFonts w:ascii="Times New Roman" w:hAnsi="Times New Roman"/>
          <w:sz w:val="20"/>
        </w:rPr>
      </w:pPr>
      <w:r>
        <w:rPr>
          <w:rFonts w:ascii="Times New Roman" w:hAnsi="Times New Roman"/>
          <w:sz w:val="20"/>
        </w:rPr>
        <w:t xml:space="preserve">For further details of the above indebtedness, see note 13 to the consolidated financial statements included elsewhere in this annual report, which includes information regarding the type of debt facilities used, the extent to which borrowings are at fixed rates, the maturity profile of debt, the currency and interest rate structure, the charge on our assets and the nature and extent of any restrictions on our ability, and the ability of our subsidiaries, to transfer funds as cash dividends, loans or advances. See also “— Other Financing and Liquidity Matters” below for details of the maturity profile of debt and “Item 11. Quantitative and Qualitative Disclosures about Market Risk” for further understanding of our hedging of interest rate risk and foreign exchange risk exposure. </w:t>
      </w:r>
    </w:p>
    <w:p>
      <w:pPr>
        <w:pStyle w:val="TextBody"/>
        <w:spacing w:before="360" w:after="0"/>
        <w:jc w:val="left"/>
        <w:rPr>
          <w:rFonts w:ascii="Times New Roman" w:hAnsi="Times New Roman"/>
          <w:b/>
          <w:sz w:val="20"/>
        </w:rPr>
      </w:pPr>
      <w:r>
        <w:rPr>
          <w:rFonts w:ascii="Times New Roman" w:hAnsi="Times New Roman"/>
          <w:b/>
          <w:sz w:val="20"/>
        </w:rPr>
        <w:t xml:space="preserve">Other Financing and Liquidity Matters </w:t>
      </w:r>
    </w:p>
    <w:p>
      <w:pPr>
        <w:pStyle w:val="TextBody"/>
        <w:spacing w:before="120" w:after="0"/>
        <w:jc w:val="left"/>
        <w:rPr>
          <w:rFonts w:ascii="Times New Roman" w:hAnsi="Times New Roman"/>
          <w:sz w:val="20"/>
        </w:rPr>
      </w:pPr>
      <w:r>
        <w:rPr>
          <w:rFonts w:ascii="Times New Roman" w:hAnsi="Times New Roman"/>
          <w:sz w:val="20"/>
        </w:rPr>
        <w:t xml:space="preserve">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our properties, in particular, the remaining land of Studio City and City of Dreams Mediterranean. </w:t>
      </w:r>
    </w:p>
    <w:p>
      <w:pPr>
        <w:pStyle w:val="TextBody"/>
        <w:spacing w:before="240" w:after="0"/>
        <w:jc w:val="left"/>
        <w:rPr>
          <w:rFonts w:ascii="Times New Roman" w:hAnsi="Times New Roman"/>
          <w:sz w:val="20"/>
        </w:rPr>
      </w:pPr>
      <w:r>
        <w:rPr>
          <w:rFonts w:ascii="Times New Roman" w:hAnsi="Times New Roman"/>
          <w:sz w:val="20"/>
        </w:rPr>
        <w:t xml:space="preserve">We have relied, and intend in the future to rely, on our operating cash flow and different forms of financing to meet our funding needs and repay our indebtedness, as the case may be. </w:t>
      </w:r>
    </w:p>
    <w:p>
      <w:pPr>
        <w:pStyle w:val="TextBody"/>
        <w:spacing w:before="240" w:after="0"/>
        <w:jc w:val="left"/>
        <w:rPr>
          <w:rFonts w:ascii="Times New Roman" w:hAnsi="Times New Roman"/>
          <w:sz w:val="20"/>
        </w:rPr>
      </w:pPr>
      <w:r>
        <w:rPr>
          <w:rFonts w:ascii="Times New Roman" w:hAnsi="Times New Roman"/>
          <w:sz w:val="20"/>
        </w:rPr>
        <w:t xml:space="preserve">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August 2020, SCI completed a US$500 million private placement of shares. The net proceeds from this private placement were approximately US$499.2 million, of which US$219.2 million was from noncontrolling interests. In March 2022, SCI completed a US$300 million private placement of shares. The net proceeds from this private placement were approximately US$299.2 million, of which US$134.9 million was from noncontrolling interests. </w:t>
      </w:r>
    </w:p>
    <w:p>
      <w:pPr>
        <w:pStyle w:val="TextBody"/>
        <w:spacing w:before="240" w:after="0"/>
        <w:jc w:val="left"/>
        <w:rPr>
          <w:rFonts w:ascii="Times New Roman" w:hAnsi="Times New Roman"/>
          <w:sz w:val="20"/>
        </w:rPr>
      </w:pPr>
      <w:r>
        <w:rPr>
          <w:rFonts w:ascii="Times New Roman" w:hAnsi="Times New Roman"/>
          <w:sz w:val="20"/>
        </w:rPr>
        <w:t xml:space="preserve">Our material cash requirements arise from the development and continuous enhancement of our Macau properties, City of Dreams Manila and City of Dreams Mediterranean, as well as the payment of interest expenses and repayment of principal relating to our indebtedness. We are also required to comply with the investment plan which forms part of the gaming concession contract in Macau in the amount of MOP11,823,700,000 (equivalent to approximately US$1.5 billion) of which MOP10,008,000,000 (equivalent to approximately US$1.2 billion) are to be invested in non-gaming projects per the terms of the concession contract. </w:t>
      </w:r>
    </w:p>
    <w:p>
      <w:pPr>
        <w:pStyle w:val="TextBody"/>
        <w:spacing w:before="240" w:after="0"/>
        <w:jc w:val="left"/>
        <w:rPr>
          <w:rFonts w:ascii="Times New Roman" w:hAnsi="Times New Roman"/>
          <w:sz w:val="20"/>
        </w:rPr>
      </w:pPr>
      <w:r>
        <w:rPr>
          <w:rFonts w:ascii="Times New Roman" w:hAnsi="Times New Roman"/>
          <w:sz w:val="20"/>
        </w:rPr>
        <w:t xml:space="preserve">Cash from financings and operations is primarily retained by our operating subsidiaries for the purposes of funding our operating activities, capital expenditures and investing activities. Cash from financing and operations within our group is primarily transferred between our subsidiaries through intercompany loan arrangements or equity capital contributions. In 2022, excluding cash transferred for the purpose of the settlement of intragroup charges, cash transferred to our holding company, Melco Resorts &amp; Entertainment Limited, from its subsidiaries amounted to US$521.9 million. See also “Item 4. Information on the Company — B. Business Overview — Tax” and “Item 8. Financial Information — A. Consolidated Statements and Other Financial Information — Dividend Policy.” There are no regulatory or foreign exchange restrictions or limitations on our ability to transfer cash within our corporate group, or to declare dividends to holders of our ADSs, except that Melco Resorts Macau must notify the Macau Chief Executive five business days in advance of any decision related to internal funds transfer in an amount greater than MOP2.5 billion (equivalent to approximately US$310.8 million) seek Macau government consent to grant or receive any loan in the amount of MOP100 million (equivalent to approximately US$12.4 million) and our subsidiaries incorporated in Macau are required to set aside a specified amount of the entity’s profit after tax as a legal reserve which is not distributable to the shareholders of such subsidiaries and authorization is required in the Philippines for inward and outward transfers of Philippine pesos above a certain amount. See “Item 4. Information on the Company — B. Business Overview — Regulations — Macau Regulations — Restrictions on Distribution of Profits Regulations” and “Item 10. Additional Information — D. Exchange Controls.” </w:t>
      </w:r>
    </w:p>
    <w:p>
      <w:pPr>
        <w:pStyle w:val="TextBody"/>
        <w:spacing w:before="240" w:after="0"/>
        <w:jc w:val="left"/>
        <w:rPr>
          <w:rFonts w:ascii="Times New Roman" w:hAnsi="Times New Roman"/>
          <w:sz w:val="20"/>
        </w:rPr>
      </w:pPr>
      <w:r>
        <w:rPr>
          <w:rFonts w:ascii="Times New Roman" w:hAnsi="Times New Roman"/>
          <w:sz w:val="20"/>
        </w:rPr>
        <w:t xml:space="preserve">As of December 31, 2022, we had capital commitments contracted for but not incurred mainly for the construction and acquisition of property and equipment for Studio City, City of Dreams Mediterranean, City of Dreams and operations in Cyprus totaling US$78.5 million. In addition, we have contingent liabilities arising in the ordinary course of business. For further details for our commitments and contingencies, see note 23 to the consolidated financial statements included elsewhere in this annual report.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total long-term indebtedness and other contractual obligations as of December 31, 2022 are summarized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578"/>
        <w:gridCol w:w="120"/>
        <w:gridCol w:w="199"/>
        <w:gridCol w:w="796"/>
        <w:gridCol w:w="60"/>
        <w:gridCol w:w="120"/>
        <w:gridCol w:w="145"/>
        <w:gridCol w:w="772"/>
        <w:gridCol w:w="60"/>
        <w:gridCol w:w="120"/>
        <w:gridCol w:w="145"/>
        <w:gridCol w:w="772"/>
        <w:gridCol w:w="60"/>
        <w:gridCol w:w="120"/>
        <w:gridCol w:w="140"/>
        <w:gridCol w:w="740"/>
        <w:gridCol w:w="60"/>
        <w:gridCol w:w="120"/>
        <w:gridCol w:w="140"/>
        <w:gridCol w:w="860"/>
        <w:gridCol w:w="78"/>
      </w:tblGrid>
      <w:tr>
        <w:trPr/>
        <w:tc>
          <w:tcPr>
            <w:tcW w:w="45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429" w:type="dxa"/>
            <w:gridSpan w:val="18"/>
            <w:tcBorders>
              <w:bottom w:val="single" w:sz="8" w:space="0" w:color="000000"/>
            </w:tcBorders>
            <w:shd w:fill="auto" w:val="clear"/>
            <w:tcMar>
              <w:bottom w:w="28" w:type="dxa"/>
            </w:tcMar>
            <w:vAlign w:val="center"/>
          </w:tcPr>
          <w:p>
            <w:pPr>
              <w:pStyle w:val="TableContents"/>
              <w:spacing w:before="0" w:after="283"/>
              <w:jc w:val="center"/>
              <w:rPr>
                <w:b/>
              </w:rPr>
            </w:pPr>
            <w:r>
              <w:rPr>
                <w:b/>
              </w:rPr>
              <w:t>Payments Due by Period</w:t>
            </w:r>
          </w:p>
        </w:tc>
        <w:tc>
          <w:tcPr>
            <w:tcW w:w="78" w:type="dxa"/>
            <w:tcBorders/>
            <w:shd w:fill="auto" w:val="clear"/>
            <w:vAlign w:val="center"/>
          </w:tcPr>
          <w:p>
            <w:pPr>
              <w:pStyle w:val="TableContents"/>
              <w:spacing w:before="0" w:after="283"/>
              <w:rPr/>
            </w:pPr>
            <w:r>
              <w:rPr/>
              <w:t> </w:t>
            </w:r>
          </w:p>
        </w:tc>
      </w:tr>
      <w:tr>
        <w:trPr/>
        <w:tc>
          <w:tcPr>
            <w:tcW w:w="45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Less than</w:t>
            </w:r>
            <w:r>
              <w:rPr/>
              <w:br/>
            </w:r>
            <w:r>
              <w:rPr>
                <w:b/>
              </w:rPr>
              <w:t>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1-3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17"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3-5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More</w:t>
            </w:r>
            <w:r>
              <w:rPr/>
              <w:br/>
            </w:r>
            <w:r>
              <w:rPr>
                <w:b/>
              </w:rPr>
              <w:t>than</w:t>
            </w:r>
            <w:r>
              <w:rPr/>
              <w:br/>
            </w:r>
            <w:r>
              <w:rPr>
                <w:b/>
              </w:rPr>
              <w:t>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w:t>
            </w:r>
          </w:p>
        </w:tc>
        <w:tc>
          <w:tcPr>
            <w:tcW w:w="78" w:type="dxa"/>
            <w:tcBorders/>
            <w:shd w:fill="auto" w:val="clear"/>
            <w:vAlign w:val="center"/>
          </w:tcPr>
          <w:p>
            <w:pPr>
              <w:pStyle w:val="TableContents"/>
              <w:spacing w:before="0" w:after="283"/>
              <w:rPr/>
            </w:pPr>
            <w:r>
              <w:rPr/>
              <w:t> </w:t>
            </w:r>
          </w:p>
        </w:tc>
      </w:tr>
      <w:tr>
        <w:trPr/>
        <w:tc>
          <w:tcPr>
            <w:tcW w:w="4578"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429" w:type="dxa"/>
            <w:gridSpan w:val="18"/>
            <w:tcBorders/>
            <w:shd w:fill="auto" w:val="clear"/>
            <w:vAlign w:val="center"/>
          </w:tcPr>
          <w:p>
            <w:pPr>
              <w:pStyle w:val="TableContents"/>
              <w:spacing w:before="0" w:after="283"/>
              <w:jc w:val="center"/>
              <w:rPr>
                <w:b/>
              </w:rPr>
            </w:pPr>
            <w:r>
              <w:rPr>
                <w:b/>
              </w:rPr>
              <w:t>(in millions of US$)</w:t>
            </w:r>
          </w:p>
        </w:tc>
        <w:tc>
          <w:tcPr>
            <w:tcW w:w="78" w:type="dxa"/>
            <w:tcBorders/>
            <w:shd w:fill="auto" w:val="clear"/>
            <w:vAlign w:val="center"/>
          </w:tcPr>
          <w:p>
            <w:pPr>
              <w:pStyle w:val="TableContents"/>
              <w:spacing w:before="0" w:after="283"/>
              <w:rPr/>
            </w:pPr>
            <w:r>
              <w:rPr/>
              <w:t> </w:t>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b/>
                <w:i/>
                <w:sz w:val="20"/>
              </w:rPr>
              <w:t>Long-term debt obligations</w:t>
            </w:r>
            <w:r>
              <w:rPr>
                <w:rFonts w:ascii="Times New Roman" w:hAnsi="Times New Roman"/>
                <w:sz w:val="20"/>
              </w:rPr>
              <w:t>(1)</w:t>
            </w:r>
            <w:r>
              <w:rPr>
                <w:rFonts w:ascii="Times New Roman" w:hAnsi="Times New Roman"/>
                <w:b/>
                <w:i/>
                <w:sz w:val="20"/>
              </w:rPr>
              <w:t>:</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sz w:val="4"/>
                <w:szCs w:val="4"/>
              </w:rPr>
            </w:pPr>
            <w:r>
              <w:rPr>
                <w:sz w:val="4"/>
                <w:szCs w:val="4"/>
              </w:rPr>
            </w:r>
          </w:p>
        </w:tc>
        <w:tc>
          <w:tcPr>
            <w:tcW w:w="5230" w:type="dxa"/>
            <w:gridSpan w:val="17"/>
            <w:tcBorders/>
            <w:shd w:fill="CCEEFF" w:val="clear"/>
            <w:vAlign w:val="center"/>
          </w:tcPr>
          <w:p>
            <w:pPr>
              <w:pStyle w:val="TableContents"/>
              <w:spacing w:before="0" w:after="283"/>
              <w:rPr>
                <w:sz w:val="4"/>
                <w:szCs w:val="4"/>
              </w:rPr>
            </w:pPr>
            <w:r>
              <w:rPr>
                <w:sz w:val="4"/>
                <w:szCs w:val="4"/>
              </w:rPr>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2020 Credit Facilities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w:t>
            </w:r>
          </w:p>
        </w:tc>
        <w:tc>
          <w:tcPr>
            <w:tcW w:w="796" w:type="dxa"/>
            <w:tcBorders/>
            <w:shd w:fill="auto" w:val="clear"/>
            <w:vAlign w:val="center"/>
          </w:tcPr>
          <w:p>
            <w:pPr>
              <w:pStyle w:val="TableContents"/>
              <w:spacing w:before="0" w:after="283"/>
              <w:jc w:val="right"/>
              <w:rPr/>
            </w:pPr>
            <w:r>
              <w:rPr/>
              <w:t>322.5</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w:t>
            </w:r>
          </w:p>
        </w:tc>
        <w:tc>
          <w:tcPr>
            <w:tcW w:w="772" w:type="dxa"/>
            <w:tcBorders/>
            <w:shd w:fill="auto" w:val="clear"/>
            <w:vAlign w:val="center"/>
          </w:tcPr>
          <w:p>
            <w:pPr>
              <w:pStyle w:val="TableContents"/>
              <w:spacing w:before="0" w:after="283"/>
              <w:jc w:val="right"/>
              <w:rPr/>
            </w:pPr>
            <w:r>
              <w:rPr/>
              <w:t>1,576.7</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jc w:val="right"/>
              <w:rPr/>
            </w:pPr>
            <w:r>
              <w:rPr/>
              <w:t>1,899.2</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2029 Senior Notes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1,150.0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1,150.0</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2029 Studio City Notes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1,100.0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1,100.0</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2025 Senior Notes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1,000.0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1,000.0</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2028 Senior Notes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850.0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850.0</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2027 Senior Notes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600.0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600.0</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2026 Senior Notes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500.0</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2025 Studio City Notes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500.0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500.0</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2028 Studio City Notes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500.0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500.0</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2027 Studio City Note</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350.0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350.0</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2015 Credit Facilities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0.1</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0.1</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2028 Studio City Senior Secured Credit Facility</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0.1</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0.1</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Fixed interest payments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361.6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681.3</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484.6</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204.4</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1,731.9</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Variable interest payments(2)</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106.9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141.9</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248.8</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b/>
                <w:i/>
                <w:sz w:val="20"/>
              </w:rPr>
              <w:t>Finance leases</w:t>
            </w:r>
            <w:r>
              <w:rPr>
                <w:rFonts w:ascii="Times New Roman" w:hAnsi="Times New Roman"/>
                <w:sz w:val="13"/>
              </w:rPr>
              <w:t>(3)</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37.0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74.0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74.0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204.8</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389.8</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b/>
                <w:i/>
                <w:sz w:val="20"/>
              </w:rPr>
              <w:t>Operating leases</w:t>
            </w:r>
            <w:r>
              <w:rPr>
                <w:rFonts w:ascii="Times New Roman" w:hAnsi="Times New Roman"/>
                <w:sz w:val="20"/>
              </w:rPr>
              <w:t>(3)</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13.1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16.4</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12.8</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76.7</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119.0</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b/>
                <w:i/>
                <w:sz w:val="20"/>
              </w:rPr>
            </w:pPr>
            <w:r>
              <w:rPr>
                <w:rFonts w:ascii="Times New Roman" w:hAnsi="Times New Roman"/>
                <w:b/>
                <w:i/>
                <w:sz w:val="20"/>
              </w:rPr>
              <w:t>Construction costs and property and equipment retention payables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25.6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24.0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49.6</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b/>
                <w:i/>
                <w:sz w:val="20"/>
              </w:rPr>
            </w:pPr>
            <w:r>
              <w:rPr>
                <w:rFonts w:ascii="Times New Roman" w:hAnsi="Times New Roman"/>
                <w:b/>
                <w:i/>
                <w:sz w:val="20"/>
              </w:rPr>
              <w:t>Other contractual commitments: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sz w:val="4"/>
                <w:szCs w:val="4"/>
              </w:rPr>
            </w:pPr>
            <w:r>
              <w:rPr>
                <w:sz w:val="4"/>
                <w:szCs w:val="4"/>
              </w:rPr>
            </w:r>
          </w:p>
        </w:tc>
        <w:tc>
          <w:tcPr>
            <w:tcW w:w="79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sz w:val="4"/>
                <w:szCs w:val="4"/>
              </w:rPr>
            </w:pPr>
            <w:r>
              <w:rPr>
                <w:sz w:val="4"/>
                <w:szCs w:val="4"/>
              </w:rPr>
            </w:r>
          </w:p>
        </w:tc>
        <w:tc>
          <w:tcPr>
            <w:tcW w:w="77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sz w:val="4"/>
                <w:szCs w:val="4"/>
              </w:rPr>
            </w:pPr>
            <w:r>
              <w:rPr>
                <w:sz w:val="4"/>
                <w:szCs w:val="4"/>
              </w:rPr>
            </w:r>
          </w:p>
        </w:tc>
        <w:tc>
          <w:tcPr>
            <w:tcW w:w="772"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74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60" w:type="dxa"/>
            <w:tcBorders/>
            <w:shd w:fill="CCEEFF" w:val="clear"/>
            <w:vAlign w:val="center"/>
          </w:tcPr>
          <w:p>
            <w:pPr>
              <w:pStyle w:val="TableContents"/>
              <w:spacing w:before="0" w:after="283"/>
              <w:rPr>
                <w:sz w:val="4"/>
                <w:szCs w:val="4"/>
              </w:rPr>
            </w:pPr>
            <w:r>
              <w:rPr>
                <w:sz w:val="4"/>
                <w:szCs w:val="4"/>
              </w:rPr>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Construction costs and property and equipment acquisition commitments</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72.5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6.0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78.5</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Gaming concession premium and license fee(4)</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796" w:type="dxa"/>
            <w:tcBorders/>
            <w:shd w:fill="CCEEFF" w:val="clear"/>
            <w:vAlign w:val="center"/>
          </w:tcPr>
          <w:p>
            <w:pPr>
              <w:pStyle w:val="TableContents"/>
              <w:spacing w:before="0" w:after="283"/>
              <w:jc w:val="right"/>
              <w:rPr/>
            </w:pPr>
            <w:r>
              <w:rPr/>
              <w:t>42.1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84.2</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772" w:type="dxa"/>
            <w:tcBorders/>
            <w:shd w:fill="CCEEFF" w:val="clear"/>
            <w:vAlign w:val="center"/>
          </w:tcPr>
          <w:p>
            <w:pPr>
              <w:pStyle w:val="TableContents"/>
              <w:spacing w:before="0" w:after="283"/>
              <w:jc w:val="right"/>
              <w:rPr/>
            </w:pPr>
            <w:r>
              <w:rPr/>
              <w:t>84.2</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319.1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529.6</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Reversion Assets payments(5)</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 </w:t>
            </w:r>
          </w:p>
        </w:tc>
        <w:tc>
          <w:tcPr>
            <w:tcW w:w="796" w:type="dxa"/>
            <w:tcBorders/>
            <w:shd w:fill="auto" w:val="clear"/>
            <w:vAlign w:val="center"/>
          </w:tcPr>
          <w:p>
            <w:pPr>
              <w:pStyle w:val="TableContents"/>
              <w:spacing w:before="0" w:after="283"/>
              <w:jc w:val="right"/>
              <w:rPr/>
            </w:pPr>
            <w:r>
              <w:rPr/>
              <w:t>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14.4</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772" w:type="dxa"/>
            <w:tcBorders/>
            <w:shd w:fill="auto" w:val="clear"/>
            <w:vAlign w:val="center"/>
          </w:tcPr>
          <w:p>
            <w:pPr>
              <w:pStyle w:val="TableContents"/>
              <w:spacing w:before="0" w:after="283"/>
              <w:jc w:val="right"/>
              <w:rPr/>
            </w:pPr>
            <w:r>
              <w:rPr/>
              <w:t>48.0</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119.9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189.5</w:t>
            </w:r>
          </w:p>
        </w:tc>
        <w:tc>
          <w:tcPr>
            <w:tcW w:w="78" w:type="dxa"/>
            <w:tcBorders/>
            <w:shd w:fill="auto"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pBdr>
                <w:top w:val="single" w:sz="2" w:space="1" w:color="000000"/>
              </w:pBdr>
              <w:spacing w:before="0" w:after="0"/>
              <w:rPr/>
            </w:pPr>
            <w:r>
              <w:rPr/>
              <w:t> </w:t>
            </w:r>
          </w:p>
        </w:tc>
        <w:tc>
          <w:tcPr>
            <w:tcW w:w="796"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pBdr>
                <w:top w:val="single" w:sz="2" w:space="1" w:color="000000"/>
              </w:pBdr>
              <w:spacing w:before="0" w:after="0"/>
              <w:rPr/>
            </w:pPr>
            <w:r>
              <w:rPr/>
              <w:t> </w:t>
            </w:r>
          </w:p>
        </w:tc>
        <w:tc>
          <w:tcPr>
            <w:tcW w:w="77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pBdr>
                <w:top w:val="single" w:sz="2" w:space="1" w:color="000000"/>
              </w:pBdr>
              <w:spacing w:before="0" w:after="0"/>
              <w:rPr/>
            </w:pPr>
            <w:r>
              <w:rPr/>
              <w:t> </w:t>
            </w:r>
          </w:p>
        </w:tc>
        <w:tc>
          <w:tcPr>
            <w:tcW w:w="77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74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860" w:type="dxa"/>
            <w:tcBorders/>
            <w:shd w:fill="auto" w:val="clear"/>
            <w:vAlign w:val="center"/>
          </w:tcPr>
          <w:p>
            <w:pPr>
              <w:pStyle w:val="TableContents"/>
              <w:pBdr>
                <w:top w:val="single" w:sz="2" w:space="1" w:color="000000"/>
              </w:pBdr>
              <w:spacing w:before="0" w:after="0"/>
              <w:rPr/>
            </w:pPr>
            <w:r>
              <w:rPr/>
              <w:t> </w:t>
            </w:r>
          </w:p>
        </w:tc>
        <w:tc>
          <w:tcPr>
            <w:tcW w:w="78" w:type="dxa"/>
            <w:tcBorders/>
            <w:shd w:fill="auto" w:val="clear"/>
            <w:vAlign w:val="center"/>
          </w:tcPr>
          <w:p>
            <w:pPr>
              <w:pStyle w:val="TableContents"/>
              <w:spacing w:before="0" w:after="283"/>
              <w:rPr/>
            </w:pPr>
            <w:r>
              <w:rPr/>
              <w:t> </w:t>
            </w:r>
          </w:p>
        </w:tc>
      </w:tr>
      <w:tr>
        <w:trPr/>
        <w:tc>
          <w:tcPr>
            <w:tcW w:w="4578"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contractual obligations</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796" w:type="dxa"/>
            <w:tcBorders/>
            <w:shd w:fill="CCEEFF" w:val="clear"/>
            <w:vAlign w:val="center"/>
          </w:tcPr>
          <w:p>
            <w:pPr>
              <w:pStyle w:val="TableContents"/>
              <w:spacing w:before="0" w:after="283"/>
              <w:jc w:val="right"/>
              <w:rPr/>
            </w:pPr>
            <w:r>
              <w:rPr/>
              <w:t>988.5</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w:t>
            </w:r>
          </w:p>
        </w:tc>
        <w:tc>
          <w:tcPr>
            <w:tcW w:w="772" w:type="dxa"/>
            <w:tcBorders/>
            <w:shd w:fill="CCEEFF" w:val="clear"/>
            <w:vAlign w:val="center"/>
          </w:tcPr>
          <w:p>
            <w:pPr>
              <w:pStyle w:val="TableContents"/>
              <w:spacing w:before="0" w:after="283"/>
              <w:jc w:val="right"/>
              <w:rPr/>
            </w:pPr>
            <w:r>
              <w:rPr/>
              <w:t>4,119.0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w:t>
            </w:r>
          </w:p>
        </w:tc>
        <w:tc>
          <w:tcPr>
            <w:tcW w:w="772" w:type="dxa"/>
            <w:tcBorders/>
            <w:shd w:fill="CCEEFF" w:val="clear"/>
            <w:vAlign w:val="center"/>
          </w:tcPr>
          <w:p>
            <w:pPr>
              <w:pStyle w:val="TableContents"/>
              <w:spacing w:before="0" w:after="283"/>
              <w:jc w:val="right"/>
              <w:rPr/>
            </w:pPr>
            <w:r>
              <w:rPr/>
              <w:t>2,153.6</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4,525.0</w:t>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jc w:val="right"/>
              <w:rPr/>
            </w:pPr>
            <w:r>
              <w:rPr/>
              <w:t>11,786.1</w:t>
            </w:r>
          </w:p>
        </w:tc>
        <w:tc>
          <w:tcPr>
            <w:tcW w:w="78" w:type="dxa"/>
            <w:tcBorders/>
            <w:shd w:fill="CCEEFF" w:val="clear"/>
            <w:vAlign w:val="center"/>
          </w:tcPr>
          <w:p>
            <w:pPr>
              <w:pStyle w:val="TableContents"/>
              <w:spacing w:before="0" w:after="283"/>
              <w:rPr>
                <w:sz w:val="4"/>
                <w:szCs w:val="4"/>
              </w:rPr>
            </w:pPr>
            <w:r>
              <w:rPr>
                <w:sz w:val="4"/>
                <w:szCs w:val="4"/>
              </w:rPr>
            </w:r>
          </w:p>
        </w:tc>
      </w:tr>
      <w:tr>
        <w:trPr/>
        <w:tc>
          <w:tcPr>
            <w:tcW w:w="45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pBdr>
                <w:top w:val="double" w:sz="6" w:space="1" w:color="000000"/>
              </w:pBdr>
              <w:spacing w:before="0" w:after="0"/>
              <w:rPr/>
            </w:pPr>
            <w:r>
              <w:rPr/>
              <w:t> </w:t>
            </w:r>
          </w:p>
        </w:tc>
        <w:tc>
          <w:tcPr>
            <w:tcW w:w="796"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pBdr>
                <w:top w:val="double" w:sz="6" w:space="1" w:color="000000"/>
              </w:pBdr>
              <w:spacing w:before="0" w:after="0"/>
              <w:rPr/>
            </w:pPr>
            <w:r>
              <w:rPr/>
              <w:t> </w:t>
            </w:r>
          </w:p>
        </w:tc>
        <w:tc>
          <w:tcPr>
            <w:tcW w:w="772"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pBdr>
                <w:top w:val="double" w:sz="6" w:space="1" w:color="000000"/>
              </w:pBdr>
              <w:spacing w:before="0" w:after="0"/>
              <w:rPr/>
            </w:pPr>
            <w:r>
              <w:rPr/>
              <w:t> </w:t>
            </w:r>
          </w:p>
        </w:tc>
        <w:tc>
          <w:tcPr>
            <w:tcW w:w="772"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740"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double" w:sz="6" w:space="1" w:color="000000"/>
              </w:pBdr>
              <w:spacing w:before="0" w:after="0"/>
              <w:rPr/>
            </w:pPr>
            <w:r>
              <w:rPr/>
              <w:t> </w:t>
            </w:r>
          </w:p>
        </w:tc>
        <w:tc>
          <w:tcPr>
            <w:tcW w:w="860" w:type="dxa"/>
            <w:tcBorders/>
            <w:shd w:fill="auto" w:val="clear"/>
            <w:vAlign w:val="center"/>
          </w:tcPr>
          <w:p>
            <w:pPr>
              <w:pStyle w:val="TableContents"/>
              <w:pBdr>
                <w:top w:val="double" w:sz="6" w:space="1" w:color="000000"/>
              </w:pBdr>
              <w:spacing w:before="0" w:after="0"/>
              <w:rPr/>
            </w:pPr>
            <w:r>
              <w:rPr/>
              <w:t> </w:t>
            </w:r>
          </w:p>
        </w:tc>
        <w:tc>
          <w:tcPr>
            <w:tcW w:w="78"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jc w:val="left"/>
              <w:rPr/>
            </w:pPr>
            <w:r>
              <w:rPr/>
              <w:t>(1)</w:t>
            </w:r>
          </w:p>
        </w:tc>
        <w:tc>
          <w:tcPr>
            <w:tcW w:w="990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See note 13 to the consolidated financial statements included elsewhere in this annual report for further details on these debt facilities.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pPr>
            <w:r>
              <w:rPr/>
              <w:t>(2)</w:t>
            </w:r>
          </w:p>
        </w:tc>
        <w:tc>
          <w:tcPr>
            <w:tcW w:w="994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for all periods represent our estimated interest payments on our debt facilities based upon amounts outstanding and HIBOR as at December 31, 2022 plus the applicable interest rate spread in accordance with the respective debt agreements. Actual rates will vary.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6"/>
        <w:gridCol w:w="9909"/>
      </w:tblGrid>
      <w:tr>
        <w:trPr/>
        <w:tc>
          <w:tcPr>
            <w:tcW w:w="296" w:type="dxa"/>
            <w:tcBorders/>
            <w:shd w:fill="auto" w:val="clear"/>
            <w:vAlign w:val="center"/>
          </w:tcPr>
          <w:p>
            <w:pPr>
              <w:pStyle w:val="TableContents"/>
              <w:spacing w:before="0" w:after="283"/>
              <w:jc w:val="left"/>
              <w:rPr/>
            </w:pPr>
            <w:r>
              <w:rPr/>
              <w:t>(3)</w:t>
            </w:r>
          </w:p>
        </w:tc>
        <w:tc>
          <w:tcPr>
            <w:tcW w:w="990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See note 14 to the consolidated financial statements included elsewhere in this annual report for further details on these lease liabilities.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(4)</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i) annual premium with a fixed portion and a variable portion based on the number and type of gaming tables and machines in operation as of December 31, 2022 for our gaming concession in Macau; and ii) fixed portion of gaming license fee for the Cyprus License. The gaming tax for gaming concession in Macau and the variable portion of license fee for the Cyprus License and the Philippine License as disclosed in note 23(b) to the consolidated financial statements included elsewhere in this annual report are not included in this table as the amount is variable in nature.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(5)</w:t>
            </w:r>
          </w:p>
        </w:tc>
        <w:tc>
          <w:tcPr>
            <w:tcW w:w="995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gaming and gaming support areas of the Altira casino, City of Dreams casino and Studio City casino with an area of 17,128.8 square meters, 31,227.3 square meters and 28,784.3 square meters, respectively, and related gaming equipment and utensils (collectively as referred to the “Reversion Assets”) are owned by the Macau government. Effective from January 1, 2023, the Macau government has transferred the Reversion Assets to us for usage in our operations during the duration of the Concession Contract for a fee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of MOP750.00 (equivalent to approximately US$93) per square meter for years 1 to 3 of the Concession Contract, subject to consumer price index increase in years 2 and 3 of the concession. The fee will increase to MOP2,500.00 (equivalent to approximately US$311) per square meter for years 4 to 10 of the concession, subject to consumer price index increase in years 5 to 10 of the concession.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(6)</w:t>
            </w:r>
          </w:p>
        </w:tc>
        <w:tc>
          <w:tcPr>
            <w:tcW w:w="996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addition to amounts included in the table above, in connection with the Concession Contract, Melco Resorts Macau committed to an overall investment of MOP11,823,700,000 (equivalent to approximately US$1.5 billion) and incremental additional non-gaming investment in the amount of approximately 20% of its initial non-gaming investment, or MOP2,003,000,000 (equivalent to approximately US$249.0 million), in the event Macau’s annual gross gaming revenue reaches MOP180,000,000,000 (equivalent to approximately US$22.4 billion), which incremental investment amount is reduced to 16%, 12%, 8%, 4% of the initial non-gaming investment amount or nil, if the Incremental Investment Trigger occurs in year 6, year 7, year 8, year 9 or year 10 of the Concession Contract, respectively. </w:t>
            </w:r>
          </w:p>
        </w:tc>
      </w:tr>
    </w:tbl>
    <w:p>
      <w:pPr>
        <w:pStyle w:val="TextBody"/>
        <w:spacing w:before="240" w:after="0"/>
        <w:jc w:val="left"/>
        <w:rPr>
          <w:rFonts w:ascii="Times New Roman" w:hAnsi="Times New Roman"/>
          <w:sz w:val="20"/>
        </w:rPr>
      </w:pPr>
      <w:r>
        <w:rPr>
          <w:rFonts w:ascii="Times New Roman" w:hAnsi="Times New Roman"/>
          <w:sz w:val="20"/>
        </w:rPr>
        <w:t xml:space="preserve">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 </w:t>
      </w:r>
    </w:p>
    <w:p>
      <w:pPr>
        <w:pStyle w:val="TextBody"/>
        <w:spacing w:before="240" w:after="0"/>
        <w:jc w:val="left"/>
        <w:rPr>
          <w:rFonts w:ascii="Times New Roman" w:hAnsi="Times New Roman"/>
          <w:sz w:val="20"/>
        </w:rPr>
      </w:pPr>
      <w:r>
        <w:rPr>
          <w:rFonts w:ascii="Times New Roman" w:hAnsi="Times New Roman"/>
          <w:sz w:val="20"/>
        </w:rPr>
        <w:t xml:space="preserve">Each of Melco Resorts Macau and Studio City Company has a corporate rating of “BB-” and “B+” by Standard &amp; Poor’s, respectively, and each of Melco Resorts Finance and Studio City Finance has a corporate rating of “Ba3” and “B1” by Moody’s Investors Service, respectively. For future borrowings, any decrease in our corporate rating could result in an increase in borrowing costs. </w:t>
      </w:r>
    </w:p>
    <w:p>
      <w:pPr>
        <w:pStyle w:val="TextBody"/>
        <w:spacing w:before="360" w:after="0"/>
        <w:jc w:val="left"/>
        <w:rPr>
          <w:rFonts w:ascii="Times New Roman" w:hAnsi="Times New Roman"/>
          <w:b/>
          <w:sz w:val="20"/>
        </w:rPr>
      </w:pPr>
      <w:r>
        <w:rPr>
          <w:rFonts w:ascii="Times New Roman" w:hAnsi="Times New Roman"/>
          <w:b/>
          <w:sz w:val="20"/>
        </w:rPr>
        <w:t xml:space="preserve">Restrictions on Distributions </w:t>
      </w:r>
    </w:p>
    <w:p>
      <w:pPr>
        <w:pStyle w:val="TextBody"/>
        <w:spacing w:before="120" w:after="0"/>
        <w:jc w:val="left"/>
        <w:rPr>
          <w:rFonts w:ascii="Times New Roman" w:hAnsi="Times New Roman"/>
          <w:sz w:val="20"/>
        </w:rPr>
      </w:pPr>
      <w:r>
        <w:rPr>
          <w:rFonts w:ascii="Times New Roman" w:hAnsi="Times New Roman"/>
          <w:sz w:val="20"/>
        </w:rPr>
        <w:t xml:space="preserve">For discussion on the ability of our subsidiaries to transfer funds to our Company in the form of cash dividends, loans or advances and the impact such restrictions have on our ability to meet our cash obligations, see “Item 4. Information on the Company — B. Business Overview — Regulations — Macau Regulations — Restrictions on Distribution of Profits Regulations.” See also “Item 8. Financial Information — A. Consolidated Statements and Other Financial Information — Dividend Policy” and note 20 to the consolidated financial statements included elsewhere in this annual report. </w:t>
      </w:r>
    </w:p>
    <w:p>
      <w:pPr>
        <w:pStyle w:val="TextBody"/>
        <w:spacing w:before="480" w:after="0"/>
        <w:jc w:val="center"/>
        <w:rPr>
          <w:rFonts w:ascii="Times New Roman" w:hAnsi="Times New Roman"/>
          <w:b/>
          <w:sz w:val="20"/>
        </w:rPr>
      </w:pPr>
      <w:bookmarkStart w:id="24" w:name="rom396630_21"/>
      <w:bookmarkEnd w:id="24"/>
      <w:r>
        <w:rPr>
          <w:rFonts w:ascii="Times New Roman" w:hAnsi="Times New Roman"/>
          <w:b/>
          <w:sz w:val="20"/>
        </w:rPr>
        <w:t xml:space="preserve">C. RESEARCH AND DEVELOPMENT, PATENTS AND LICENSES, ETC. </w:t>
      </w:r>
    </w:p>
    <w:p>
      <w:pPr>
        <w:pStyle w:val="TextBody"/>
        <w:spacing w:before="240" w:after="0"/>
        <w:jc w:val="left"/>
        <w:rPr>
          <w:rFonts w:ascii="Times New Roman" w:hAnsi="Times New Roman"/>
          <w:sz w:val="20"/>
        </w:rPr>
      </w:pPr>
      <w:r>
        <w:rPr>
          <w:rFonts w:ascii="Times New Roman" w:hAnsi="Times New Roman"/>
          <w:sz w:val="20"/>
        </w:rPr>
        <w:t xml:space="preserve">We have entered into license or hotel management agreements with the following entities or groups: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Hyatt group in relation to the use of various trademarks owned by Hyatt group for the branding of the Grand Hyatt hotel at City of Dreams;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Nobu Hospitality LLC in relation to the use of certain trademarks and intellectual property rights owned by Nobu in connection with its development, operation and management of the Nobu hotel and restaurant at City of Dreams Manila;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Hyatt International Corporation and Melco Resorts Leisure, under which various trademarks owned by Hyatt are licensed to Melco Resorts Leisure for its operation of a hotel at City of Dreams Manila;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DreamWorks Animation and Melco Resorts Leisure, under which various trademarks and other intellectual property rights owned by DreamWorks Animation are licensed to Melco Resorts Leisure for its operation of DreamPlay by DreamWorks, a family entertainment center at City of Dreams Manila;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Marriott International group in relation to the use of its various trademarks for the operation of a W-branded hotel by the Marriot International group at Studio City. </w:t>
            </w:r>
          </w:p>
        </w:tc>
      </w:tr>
    </w:tbl>
    <w:p>
      <w:pPr>
        <w:pStyle w:val="TextBody"/>
        <w:spacing w:before="240" w:after="0"/>
        <w:jc w:val="left"/>
        <w:rPr>
          <w:rFonts w:ascii="Times New Roman" w:hAnsi="Times New Roman"/>
          <w:sz w:val="20"/>
        </w:rPr>
      </w:pPr>
      <w:r>
        <w:rPr>
          <w:rFonts w:ascii="Times New Roman" w:hAnsi="Times New Roman"/>
          <w:sz w:val="20"/>
        </w:rPr>
        <w:t xml:space="preserve">In addition, we also purchase gaming tables and gaming machines and enter into licensing agreements for the use of certain trade names and, in the case of the gaming machines, the right to use software in connection therewith. These include a license to use a jackpot system for the gaming machines. For other intellectual property that we owned, see “Item 4. Information on the Company — B. Business Overview — Intellectual Property.” </w:t>
      </w:r>
    </w:p>
    <w:p>
      <w:pPr>
        <w:pStyle w:val="TextBody"/>
        <w:spacing w:before="480" w:after="0"/>
        <w:jc w:val="center"/>
        <w:rPr>
          <w:rFonts w:ascii="Times New Roman" w:hAnsi="Times New Roman"/>
          <w:b/>
          <w:sz w:val="20"/>
        </w:rPr>
      </w:pPr>
      <w:bookmarkStart w:id="25" w:name="rom396630_22"/>
      <w:bookmarkEnd w:id="25"/>
      <w:r>
        <w:rPr>
          <w:rFonts w:ascii="Times New Roman" w:hAnsi="Times New Roman"/>
          <w:b/>
          <w:sz w:val="20"/>
        </w:rPr>
        <w:t xml:space="preserve">D. TREND INFORMATION </w:t>
      </w:r>
    </w:p>
    <w:p>
      <w:pPr>
        <w:pStyle w:val="TextBody"/>
        <w:spacing w:before="240" w:after="0"/>
        <w:jc w:val="left"/>
        <w:rPr>
          <w:rFonts w:ascii="Times New Roman" w:hAnsi="Times New Roman"/>
          <w:sz w:val="20"/>
        </w:rPr>
      </w:pPr>
      <w:r>
        <w:rPr>
          <w:rFonts w:ascii="Times New Roman" w:hAnsi="Times New Roman"/>
          <w:sz w:val="20"/>
        </w:rPr>
        <w:t xml:space="preserve">The following trends and uncertainties may affect our operations and financial conditions: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recovery from the disruptions caused by COVID-19 outbreaks, including any re-imposition of travel and visa restrictions and quarantine requirements due to any future COVID-19 outbreaks, the efficacy of COVID-19 vaccines, including against any new strains of the coronavirus that causes COVID-19, the impact of potentially higher unemployment rates, declines in income levels, and loss of personal wealth resulting from COVID-19 outbreaks affecting discretionary spending and travel, all of which remain highly uncertain. The disruptions to our business caused by COVID-19 outbreaks have had an adverse effect on our operations and any recovery from such disruptions is highly uncertain;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implementation of the amended Macau Gaming Operations Law, as well as any other policies and legislation implemented by the Macau government, including interpretations thereof, such as those relating to travel and visa policies and gaming concessionaire’s liability;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Policies and campaigns implemented by the Chinese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the PRC or new measures taken by the Chinese government, including criminalization of certain conduct, to deter marketing of gaming activities to mainland Chinese residents by foreign casinos, as well as any slowdown of economic growth in the PRC, may lead to a decline and limit the recovery and growth in the number of patrons visiting our properties and the spending amount of such patrons;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gaming and leisure market in Macau and the Philippines are developing and the competitive landscapes are expected to evolve as more gaming and non-gaming facilities are developed in the regions where our properties are located. More supply of integrated resorts in the Cotai region of Macau and in Entertainment City of the Philippines will intensify the competition in the business that we operate. Our business in Cyprus operates in a new gaming market and the market landscape is expected to be more volatile and unpredictable, especially given that our flagship project in Cyprus, City of Dreams Mediterranean, is still being developed;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impact of new policies and legislation implemented by the Philippine government, including potential additional licensing requirements and potential tax legislation subjecting our Philippine subsidiaries to Philippines corporate income tax, value-added tax and other tax assessments in addition to the license fees paid to PAGCOR pursuant to the Philippine License;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Greater regulatory scrutiny, including increased audits and inspections, in relation to movement of capital and anti-money laundering and other financial crime. Anti-money laundering, anti-bribery and corruption and sanctions and counter-terrorism financing laws and regulations have become increasingly complex and subject to greater regulatory scrutiny and supervision by regulators globally and may increase our compliance costs and any potential non- compliances of such laws and regulations could have an adverse effect on our reputation, financial condition, results of operations or cash flows;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Enactment of new laws, or amendments to existing laws with more stringent requirements, in relation to personal data, including, among others, collection, use and/or transmission of personal data, and as to which there may be limited precedence on their interpretation and application, may increase operating costs and/or adversely impact our ability to market to our customers and guests. In addition, any non-compliance with such laws may result in damage of our reputation and/or subject us to lawsuits, fines and other penalties as well as restrictions on our use or transfer of data;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Increases in cybersecurity and ransomware attacks around the world and the need to continually evaluate, enhance and improve our internal process, systems and technology infrastructure to comply with the increasing cybersecurity, data privacy and data protection laws, regulations and requirements;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Gaming promoters in Macau have experienced significantly increased regulatory scrutiny that has resulted in the cessation of business of many gaming promoters. While we ceased all gaming promoters arrangements in Macau in December 2021, we may engage gaming promoters in the future. </w:t>
            </w:r>
          </w:p>
        </w:tc>
      </w:tr>
    </w:tbl>
    <w:p>
      <w:pPr>
        <w:pStyle w:val="TextBody"/>
        <w:spacing w:before="240" w:after="0"/>
        <w:jc w:val="left"/>
        <w:rPr>
          <w:rFonts w:ascii="Times New Roman" w:hAnsi="Times New Roman"/>
          <w:sz w:val="20"/>
        </w:rPr>
      </w:pPr>
      <w:r>
        <w:rPr>
          <w:rFonts w:ascii="Times New Roman" w:hAnsi="Times New Roman"/>
          <w:sz w:val="20"/>
        </w:rPr>
        <w:t xml:space="preserve">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 </w:t>
      </w:r>
    </w:p>
    <w:p>
      <w:pPr>
        <w:pStyle w:val="TextBody"/>
        <w:spacing w:before="480" w:after="0"/>
        <w:jc w:val="center"/>
        <w:rPr>
          <w:rFonts w:ascii="Times New Roman" w:hAnsi="Times New Roman"/>
          <w:b/>
          <w:sz w:val="20"/>
        </w:rPr>
      </w:pPr>
      <w:bookmarkStart w:id="26" w:name="rom396630_23"/>
      <w:bookmarkEnd w:id="26"/>
      <w:r>
        <w:rPr>
          <w:rFonts w:ascii="Times New Roman" w:hAnsi="Times New Roman"/>
          <w:b/>
          <w:sz w:val="20"/>
        </w:rPr>
        <w:t xml:space="preserve">E. CRITICAL ACCOUNTING ESTIMATES </w:t>
      </w:r>
    </w:p>
    <w:p>
      <w:pPr>
        <w:pStyle w:val="TextBody"/>
        <w:spacing w:before="240" w:after="0"/>
        <w:jc w:val="left"/>
        <w:rPr>
          <w:rFonts w:ascii="Times New Roman" w:hAnsi="Times New Roman"/>
          <w:sz w:val="20"/>
        </w:rPr>
      </w:pPr>
      <w:r>
        <w:rPr>
          <w:rFonts w:ascii="Times New Roman" w:hAnsi="Times New Roman"/>
          <w:sz w:val="20"/>
        </w:rPr>
        <w:t xml:space="preserve">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apply significant judgment in defining the appropriate assumptions integral to financial estimates. On an ongoing basis, management evaluates those estimates and judgments which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 </w:t>
      </w:r>
    </w:p>
    <w:p>
      <w:pPr>
        <w:pStyle w:val="TextBody"/>
        <w:spacing w:before="360" w:after="0"/>
        <w:jc w:val="left"/>
        <w:rPr>
          <w:rFonts w:ascii="Times New Roman" w:hAnsi="Times New Roman"/>
          <w:b/>
          <w:i/>
          <w:sz w:val="20"/>
        </w:rPr>
      </w:pPr>
      <w:r>
        <w:rPr>
          <w:rFonts w:ascii="Times New Roman" w:hAnsi="Times New Roman"/>
          <w:b/>
          <w:i/>
          <w:sz w:val="20"/>
        </w:rPr>
        <w:t xml:space="preserve">Property and Equipment, Other Long-lived Assets and Assets held for sale </w:t>
      </w:r>
    </w:p>
    <w:p>
      <w:pPr>
        <w:pStyle w:val="TextBody"/>
        <w:spacing w:before="120" w:after="0"/>
        <w:jc w:val="left"/>
        <w:rPr>
          <w:rFonts w:ascii="Times New Roman" w:hAnsi="Times New Roman"/>
          <w:sz w:val="20"/>
        </w:rPr>
      </w:pPr>
      <w:r>
        <w:rPr>
          <w:rFonts w:ascii="Times New Roman" w:hAnsi="Times New Roman"/>
          <w:sz w:val="20"/>
        </w:rPr>
        <w:t xml:space="preserve">During the development and construction stage of our integrated resort facilities, direct and incremental costs related to the design and construction, including costs under construction contracts, duties and tariffs, equipment installations, shipping costs, payroll and payroll 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 Pre-opening costs, consisting of marketing and other expenses related to our new or start-up operations are expensed as incurred. </w:t>
      </w:r>
    </w:p>
    <w:p>
      <w:pPr>
        <w:pStyle w:val="TextBody"/>
        <w:spacing w:before="240" w:after="0"/>
        <w:jc w:val="left"/>
        <w:rPr>
          <w:rFonts w:ascii="Times New Roman" w:hAnsi="Times New Roman"/>
          <w:sz w:val="20"/>
        </w:rPr>
      </w:pPr>
      <w:r>
        <w:rPr>
          <w:rFonts w:ascii="Times New Roman" w:hAnsi="Times New Roman"/>
          <w:sz w:val="20"/>
        </w:rPr>
        <w:t xml:space="preserve">Depreciation and amortization expense related to capitalized construction costs and other property and equipment is recognized from the time each asset is placed in service. This may occur at different stages as integrated resort facilities are completed and opened. Property and equipment and other long-lived assets with a finite useful life are depreciated and amortized on a straight-line basis over the asset’s estimated useful life. The estimated useful lives are based on factors including the nature of the assets, its relationship to other assets,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operating plans and anticipated use and other economic and legal factors that impose limits. The remaining estimated useful lives of the property and equipment are periodically reviewed. Refer to note 2(k) to the consolidated financial statements included elsewhere in this annual report for further details of estimated useful lives of the property and equipment. </w:t>
      </w:r>
    </w:p>
    <w:p>
      <w:pPr>
        <w:pStyle w:val="TextBody"/>
        <w:spacing w:before="240" w:after="0"/>
        <w:jc w:val="left"/>
        <w:rPr>
          <w:rFonts w:ascii="Times New Roman" w:hAnsi="Times New Roman"/>
          <w:sz w:val="20"/>
        </w:rPr>
      </w:pPr>
      <w:r>
        <w:rPr>
          <w:rFonts w:ascii="Times New Roman" w:hAnsi="Times New Roman"/>
          <w:sz w:val="20"/>
        </w:rPr>
        <w:t xml:space="preserve">Our land use rights in Macau under the land concession contracts for Altira Macau, City of Dreams and Studio City are being amortized over the estimated term of the land use rights on a straight-line basis. The estimated term of the land use rights under the applicable land concession contracts are based on factors including the business and operating environment of the gaming industry in Macau, laws and regulations in Macau, and our development plans. The estimated term of the land use rights are periodically reviewed. Refer to note 2(r) to the consolidated financial statements included elsewhere in this annual report for further details of estimated term of the land use rights. </w:t>
      </w:r>
    </w:p>
    <w:p>
      <w:pPr>
        <w:pStyle w:val="TextBody"/>
        <w:spacing w:before="240" w:after="0"/>
        <w:jc w:val="left"/>
        <w:rPr>
          <w:rFonts w:ascii="Times New Roman" w:hAnsi="Times New Roman"/>
          <w:sz w:val="20"/>
        </w:rPr>
      </w:pPr>
      <w:r>
        <w:rPr>
          <w:rFonts w:ascii="Times New Roman" w:hAnsi="Times New Roman"/>
          <w:sz w:val="20"/>
        </w:rPr>
        <w:t xml:space="preserve">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 </w:t>
      </w:r>
    </w:p>
    <w:p>
      <w:pPr>
        <w:pStyle w:val="TextBody"/>
        <w:spacing w:before="240" w:after="0"/>
        <w:jc w:val="left"/>
        <w:rPr>
          <w:rFonts w:ascii="Times New Roman" w:hAnsi="Times New Roman"/>
          <w:sz w:val="20"/>
        </w:rPr>
      </w:pPr>
      <w:r>
        <w:rPr>
          <w:rFonts w:ascii="Times New Roman" w:hAnsi="Times New Roman"/>
          <w:sz w:val="20"/>
        </w:rPr>
        <w:t xml:space="preserve">Costs incurred to develop software for internal use are capitalized and amortized on a straight-line basis over the estimated useful life.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 The remaining estimated useful lives of the internal-use software are periodically reviewed. Refer to note 2(n) to the consolidated financial statements included elsewhere in this annual report for further details of estimated useful lives of the internal-use software. </w:t>
      </w:r>
    </w:p>
    <w:p>
      <w:pPr>
        <w:pStyle w:val="TextBody"/>
        <w:spacing w:before="240" w:after="0"/>
        <w:jc w:val="left"/>
        <w:rPr>
          <w:rFonts w:ascii="Times New Roman" w:hAnsi="Times New Roman"/>
          <w:sz w:val="20"/>
        </w:rPr>
      </w:pPr>
      <w:r>
        <w:rPr>
          <w:rFonts w:ascii="Times New Roman" w:hAnsi="Times New Roman"/>
          <w:sz w:val="20"/>
        </w:rPr>
        <w:t xml:space="preserve">Our total capital expenditures for the years ended December 31, 2022, 2021 and 2020 were US$598.4 million, US$782.2 million and US$464.3 million, respectively, of which US$488.3 million, US$653.8 million and US$249.2 million, respectively, were attributable to our development and construction projects, with the remainder primarily related to the enhancements to our integrated resort offerings of our properties. The development and construction capital expenditures primarily related to the development and construction of various projects at City of Dreams, including Morpheus, Studio City and City of Dreams Mediterranean during the years ended December 31, 2022, 2021 and 2020. Refer to note 25 to the consolidated financial statements included elsewhere in this annual report for further details of these capital expenditures. </w:t>
      </w:r>
    </w:p>
    <w:p>
      <w:pPr>
        <w:pStyle w:val="TextBody"/>
        <w:spacing w:before="240" w:after="0"/>
        <w:jc w:val="left"/>
        <w:rPr>
          <w:rFonts w:ascii="Times New Roman" w:hAnsi="Times New Roman"/>
          <w:sz w:val="20"/>
        </w:rPr>
      </w:pPr>
      <w:r>
        <w:rPr>
          <w:rFonts w:ascii="Times New Roman" w:hAnsi="Times New Roman"/>
          <w:sz w:val="20"/>
        </w:rPr>
        <w:t xml:space="preserve">We also review our property and equipment and other long-lived assets with finite lives to be held and used for impairment whenever indicators of impairment exist. If an indicator of impairment exists, we then compare the estimated future cash flows of the asset, on an undiscounted basis, to the carrying value of the asset. Estimating future cash flows of the assets involves significant assumptions, including future revenue growth rates and gross margins.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then an impairment charge is recorded based on the fair value of the asset group, typically measured using a discounted cash flow model with assumptions that market participants would use in their estimates of fair value, including the estimated future cash flows, discount rates and capitalization rates. If an asset is still under development, future cash flows include remaining construction costs. All recognized impairment losses are recorded as operating expenses.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an impairment loss on property and equipment of US$3.6 million was recognized for a significant decrease in the market value of an aircraft. During the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ended December 31, 2021, an impairment loss of US$1.1 million was recognized for a piece of freehold land due to a significant decrease in its market value. During the years ended December 31, 2021 and 2020, US$2.5 million and US$8.1 million were recognized, respectively, mainly due to reconfigurations and renovations at our operating properties. </w:t>
      </w:r>
    </w:p>
    <w:p>
      <w:pPr>
        <w:pStyle w:val="TextBody"/>
        <w:spacing w:before="240" w:after="0"/>
        <w:jc w:val="left"/>
        <w:rPr>
          <w:rFonts w:ascii="Times New Roman" w:hAnsi="Times New Roman"/>
          <w:sz w:val="20"/>
        </w:rPr>
      </w:pPr>
      <w:r>
        <w:rPr>
          <w:rFonts w:ascii="Times New Roman" w:hAnsi="Times New Roman"/>
          <w:sz w:val="20"/>
        </w:rPr>
        <w:t xml:space="preserve">The disruptions to our business caused by COVID-19 outbreaks and the earlier cessation of gaming promoter arrangements in Macau by Melco Resorts Macau had an adverse effect on our financial condition and operations for the year ended December 31, 2022. As a result, we concluded that a triggering event occurred and evaluated our long-lived assets at each asset group, including our casino properties in Macau, the Philippines and Cyprus for recoverability at interim and as of December 31, 2022. Based on our review, no other impairments on our properties existed for the year ended and as of December 31, 2022. As discussed above, estimating future cash flows of the assets involves significant assumptions. Future changes to our estimates and assumptions based upon changes in operating results, macro-economic factors or management’s intentions may result in future changes to the future cash flows of our long-lived assets. </w:t>
      </w:r>
    </w:p>
    <w:p>
      <w:pPr>
        <w:pStyle w:val="TextBody"/>
        <w:spacing w:before="360" w:after="0"/>
        <w:jc w:val="left"/>
        <w:rPr>
          <w:rFonts w:ascii="Times New Roman" w:hAnsi="Times New Roman"/>
          <w:b/>
          <w:i/>
          <w:sz w:val="20"/>
        </w:rPr>
      </w:pPr>
      <w:r>
        <w:rPr>
          <w:rFonts w:ascii="Times New Roman" w:hAnsi="Times New Roman"/>
          <w:b/>
          <w:i/>
          <w:sz w:val="20"/>
        </w:rPr>
        <w:t xml:space="preserve">Assets held for sale </w:t>
      </w:r>
    </w:p>
    <w:p>
      <w:pPr>
        <w:pStyle w:val="TextBody"/>
        <w:spacing w:before="120" w:after="0"/>
        <w:jc w:val="left"/>
        <w:rPr>
          <w:rFonts w:ascii="Times New Roman" w:hAnsi="Times New Roman"/>
          <w:sz w:val="20"/>
        </w:rPr>
      </w:pPr>
      <w:r>
        <w:rPr>
          <w:rFonts w:ascii="Times New Roman" w:hAnsi="Times New Roman"/>
          <w:sz w:val="20"/>
        </w:rPr>
        <w:t xml:space="preserve">We review our assets classified as held for sale for impairment, where losses are recognized for any initial or subsequent write-down to fair values less costs to sell, while gains are recognized for any subsequent increases in fair value less costs to sell, but not in excess of the cumulative losses previously recognized. During the year ended December 31, 2022, an impairment loss on assets held for sale of US$6.8 million was recognized which related to a significant decrease in the market value of a piece of freehold land. No impairment losses on assets held for sale were recognized during the years ended December 31, 2021 and 2020. </w:t>
      </w:r>
    </w:p>
    <w:p>
      <w:pPr>
        <w:pStyle w:val="TextBody"/>
        <w:spacing w:before="360" w:after="0"/>
        <w:jc w:val="left"/>
        <w:rPr>
          <w:rFonts w:ascii="Times New Roman" w:hAnsi="Times New Roman"/>
          <w:b/>
          <w:i/>
          <w:sz w:val="20"/>
        </w:rPr>
      </w:pPr>
      <w:r>
        <w:rPr>
          <w:rFonts w:ascii="Times New Roman" w:hAnsi="Times New Roman"/>
          <w:b/>
          <w:i/>
          <w:sz w:val="20"/>
        </w:rPr>
        <w:t xml:space="preserve">Goodwill and Purchased Intangible Assets </w:t>
      </w:r>
    </w:p>
    <w:p>
      <w:pPr>
        <w:pStyle w:val="TextBody"/>
        <w:spacing w:before="120" w:after="0"/>
        <w:jc w:val="left"/>
        <w:rPr>
          <w:rFonts w:ascii="Times New Roman" w:hAnsi="Times New Roman"/>
          <w:sz w:val="20"/>
        </w:rPr>
      </w:pPr>
      <w:r>
        <w:rPr>
          <w:rFonts w:ascii="Times New Roman" w:hAnsi="Times New Roman"/>
          <w:sz w:val="20"/>
        </w:rPr>
        <w:t xml:space="preserve">We review the carrying value of goodwill and purchased intangible assets with indefinite useful lives for impairment at least on an annual basis or whenever events or changes in circumstances indicate that the carrying value may not be recoverable. Goodwill and purchased intangible assets with indefinite useful lives as at December 31, 2022 was associated with Mocha Clubs, a reporting unit, which arose from the acquisition of Mocha Slot Group Limited and its subsidiaries by our Company in 2006. Goodwill and purchased intangible assets with indefinite useful lives as at December 31, 2021 and 2020 were associated with Mocha Clubs and the Japan Ski Resort, a reporting unit, which arose from the acquisition of Kabushiki Kaisha Okushiga Kogen Resort in 2019. </w:t>
      </w:r>
    </w:p>
    <w:p>
      <w:pPr>
        <w:pStyle w:val="TextBody"/>
        <w:spacing w:before="240" w:after="0"/>
        <w:jc w:val="left"/>
        <w:rPr>
          <w:rFonts w:ascii="Times New Roman" w:hAnsi="Times New Roman"/>
          <w:sz w:val="20"/>
        </w:rPr>
      </w:pPr>
      <w:r>
        <w:rPr>
          <w:rFonts w:ascii="Times New Roman" w:hAnsi="Times New Roman"/>
          <w:sz w:val="20"/>
        </w:rPr>
        <w:t xml:space="preserve">When performing the impairment analysis for goodwill and intangible assets with indefinite lives, we may first perform a qualitative assessment to determine whether it is necessary to perform a quantitative impairment test. If the qualitative factors indicate that the carrying amount of the reporting unit is more likely than not to exceed the fair value then a quantitative impairment test is performed. </w:t>
      </w:r>
    </w:p>
    <w:p>
      <w:pPr>
        <w:pStyle w:val="TextBody"/>
        <w:spacing w:before="240" w:after="0"/>
        <w:jc w:val="left"/>
        <w:rPr>
          <w:rFonts w:ascii="Times New Roman" w:hAnsi="Times New Roman"/>
          <w:sz w:val="20"/>
        </w:rPr>
      </w:pPr>
      <w:r>
        <w:rPr>
          <w:rFonts w:ascii="Times New Roman" w:hAnsi="Times New Roman"/>
          <w:sz w:val="20"/>
        </w:rPr>
        <w:t xml:space="preserve">To perform a quantitative impairment test of goodwill, we perform an assessment that consists of a comparison of the carrying value of a reporting unit with its fair value. If the carrying value of the reporting unit exceeds its fair value, we would recognize an impairment loss for the amount by which the carrying value exceeds the reporting unit’s fair value, limited to the total amount of goodwill allocated to that reporting unit. We determine the fair value of our reporting units using income valuation approaches through the application of discounted cash flow method. The projections for future cash flows utilized in the discounted cash flow method are derived from historical experience and assumptions regarding future growth and profitability of the reporting unit. These projections are consistent with our budget and strategic plan. Cash flows for the five years subsequent to the date of the quantitative goodwill impairment test were utilized in the determination of the fair value of the reporting unit. Beyond five years, a terminal value was determined using a perpetuity growth rate. For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goodwill impairment test of Mocha Clubs, the rates used to discount the cash flow are 12.6% and 9.8% for the years ended December 31, 2022 and 2021 respectively and sensitivity analysis was performed by either reducing the operating cash flows by 5% or increasing the discount rate by one percentage point, which would not have resulted in its carrying value exceeding its fair value. </w:t>
      </w:r>
    </w:p>
    <w:p>
      <w:pPr>
        <w:pStyle w:val="TextBody"/>
        <w:spacing w:before="240" w:after="0"/>
        <w:jc w:val="left"/>
        <w:rPr>
          <w:rFonts w:ascii="Times New Roman" w:hAnsi="Times New Roman"/>
          <w:sz w:val="20"/>
        </w:rPr>
      </w:pPr>
      <w:r>
        <w:rPr>
          <w:rFonts w:ascii="Times New Roman" w:hAnsi="Times New Roman"/>
          <w:sz w:val="20"/>
        </w:rPr>
        <w:t xml:space="preserve">To perform a quantitative impairment test of the trademarks of Mocha Clubs, we perform an assessment that consists of a comparison of their carrying values with their fair values using the relief-from-royalty method. Under this method, we estimate the fair values of the trademarks, mainly based on the incremental after-tax cash flow representing the royalties that we are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 </w:t>
      </w:r>
    </w:p>
    <w:p>
      <w:pPr>
        <w:pStyle w:val="TextBody"/>
        <w:spacing w:before="240" w:after="0"/>
        <w:jc w:val="left"/>
        <w:rPr>
          <w:rFonts w:ascii="Times New Roman" w:hAnsi="Times New Roman"/>
          <w:sz w:val="20"/>
        </w:rPr>
      </w:pPr>
      <w:r>
        <w:rPr>
          <w:rFonts w:ascii="Times New Roman" w:hAnsi="Times New Roman"/>
          <w:sz w:val="20"/>
        </w:rPr>
        <w:t xml:space="preserve">The disruptions to our business caused by COVID-19 outbreaks had adverse effects on the financial condition and operations of Mocha Clubs for the year ended December 31, 2022. The disruptions to our business caused by COVID-19 outbreaks had adverse effects on the financial condition and operations of Mocha Clubs and the Japan Ski Resort for the year ended December 31, 2021 and 2020. As a result, we concluded that a triggering event occurred and we have performed quantitative assessments for impairment of goodwill and trademarks of these reporting units at interim and as of December 31, 2022, 2021 and 2020. </w:t>
      </w:r>
    </w:p>
    <w:p>
      <w:pPr>
        <w:pStyle w:val="TextBody"/>
        <w:spacing w:before="240" w:after="0"/>
        <w:jc w:val="left"/>
        <w:rPr>
          <w:rFonts w:ascii="Times New Roman" w:hAnsi="Times New Roman"/>
          <w:sz w:val="20"/>
        </w:rPr>
      </w:pPr>
      <w:r>
        <w:rPr>
          <w:rFonts w:ascii="Times New Roman" w:hAnsi="Times New Roman"/>
          <w:sz w:val="20"/>
        </w:rPr>
        <w:t xml:space="preserve">As a result of these assessments, no impairment losses on goodwill and trademarks were recognized during the years ended December 31, 2022 and 2021. An impairment loss of US$13.9 million was recognized against the goodwill of the Japan Ski Resort for the year ended December 31, 2020. </w:t>
      </w:r>
    </w:p>
    <w:p>
      <w:pPr>
        <w:pStyle w:val="TextBody"/>
        <w:spacing w:before="240" w:after="0"/>
        <w:jc w:val="left"/>
        <w:rPr>
          <w:rFonts w:ascii="Times New Roman" w:hAnsi="Times New Roman"/>
          <w:sz w:val="20"/>
        </w:rPr>
      </w:pPr>
      <w:r>
        <w:rPr>
          <w:rFonts w:ascii="Times New Roman" w:hAnsi="Times New Roman"/>
          <w:sz w:val="20"/>
        </w:rPr>
        <w:t xml:space="preserve">As discussed above, determining the fair value of goodwill and trademarks is judgmental in nature and requires the use of significant estimates and assumptions. Future changes to our estimates and assumptions based upon changes in operating results, macro-economic factors or management’s intentions may result in future changes to the fair value of the goodwill and trademarks of the Group. </w:t>
      </w:r>
    </w:p>
    <w:p>
      <w:pPr>
        <w:pStyle w:val="TextBody"/>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spacing w:before="120" w:after="0"/>
        <w:jc w:val="left"/>
        <w:rPr>
          <w:rFonts w:ascii="Times New Roman" w:hAnsi="Times New Roman"/>
          <w:sz w:val="20"/>
        </w:rPr>
      </w:pPr>
      <w:r>
        <w:rPr>
          <w:rFonts w:ascii="Times New Roman" w:hAnsi="Times New Roman"/>
          <w:sz w:val="20"/>
        </w:rPr>
        <w:t xml:space="preserve">Our revenues from contracts with customers consist of casino wagers, sales of rooms, food and beverage, entertainment, retail and other goods and services. </w:t>
      </w:r>
    </w:p>
    <w:p>
      <w:pPr>
        <w:pStyle w:val="TextBody"/>
        <w:spacing w:before="240" w:after="0"/>
        <w:jc w:val="left"/>
        <w:rPr>
          <w:rFonts w:ascii="Times New Roman" w:hAnsi="Times New Roman"/>
          <w:sz w:val="20"/>
        </w:rPr>
      </w:pPr>
      <w:r>
        <w:rPr>
          <w:rFonts w:ascii="Times New Roman" w:hAnsi="Times New Roman"/>
          <w:sz w:val="20"/>
        </w:rPr>
        <w:t xml:space="preserve">Gross casino revenues are measured by the aggregate net difference between gaming wins and losses. We account for its casino wagering transactions on a portfolio basis versus an individual basis as all wagers have similar characteristics. Commissions rebated to customers either directly or indirectly through gaming promoters and cash discounts and other cash incentives earned by customers are recorded as reductions of casino revenues. In addition to the wagers, casino transactions typically include performance obligations related to complimentary goods or services provided to incentivize future gaming or in exchange for incentives or points earned under our non-discretionary incentive programs (including loyalty programs). </w:t>
      </w:r>
    </w:p>
    <w:p>
      <w:pPr>
        <w:pStyle w:val="TextBody"/>
        <w:spacing w:before="240" w:after="0"/>
        <w:jc w:val="left"/>
        <w:rPr>
          <w:rFonts w:ascii="Times New Roman" w:hAnsi="Times New Roman"/>
          <w:sz w:val="20"/>
        </w:rPr>
      </w:pPr>
      <w:r>
        <w:rPr>
          <w:rFonts w:ascii="Times New Roman" w:hAnsi="Times New Roman"/>
          <w:sz w:val="20"/>
        </w:rPr>
        <w:t xml:space="preserve">For casino transactions that include complimentary goods or services provided by us to incentivize future gaming, we allocate the standalone selling price of each good or service to the appropriate revenue type based on the good or service provided. Complimentary goods or services that are provided under our control and discretion and supplied by third parties are recorded as operating expenses. </w:t>
      </w:r>
    </w:p>
    <w:p>
      <w:pPr>
        <w:pStyle w:val="TextBody"/>
        <w:spacing w:before="240" w:after="0"/>
        <w:jc w:val="left"/>
        <w:rPr>
          <w:rFonts w:ascii="Times New Roman" w:hAnsi="Times New Roman"/>
          <w:sz w:val="20"/>
        </w:rPr>
      </w:pPr>
      <w:r>
        <w:rPr>
          <w:rFonts w:ascii="Times New Roman" w:hAnsi="Times New Roman"/>
          <w:sz w:val="20"/>
        </w:rPr>
        <w:t xml:space="preserve">We operate different non-discretionary incentives programs in certain of our properties which include our loyalty programs to encourage repeat business mainly from loyal slot machine customers and table games patrons. Customers earn points primarily based on gaming activity and such points can be redeemed for free play and other free goods and services. For casino transactions that include points earned under our loyalty programs, we defer a portion of the revenue by recording the estimated standalone selling prices of the earned points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are expected to be redeemed as a liability. Upon redemption of the points for our self-owned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 </w:t>
      </w:r>
    </w:p>
    <w:p>
      <w:pPr>
        <w:pStyle w:val="TextBody"/>
        <w:spacing w:before="240" w:after="0"/>
        <w:jc w:val="left"/>
        <w:rPr>
          <w:rFonts w:ascii="Times New Roman" w:hAnsi="Times New Roman"/>
          <w:sz w:val="20"/>
        </w:rPr>
      </w:pPr>
      <w:r>
        <w:rPr>
          <w:rFonts w:ascii="Times New Roman" w:hAnsi="Times New Roman"/>
          <w:sz w:val="20"/>
        </w:rPr>
        <w:t xml:space="preserve">After allocating amounts to the complimentary goods or services provided and to the points earned under our loyalty programs, the residual amount is recorded as casino revenue when the wagers are settled. </w:t>
      </w:r>
    </w:p>
    <w:p>
      <w:pPr>
        <w:pStyle w:val="TextBody"/>
        <w:spacing w:before="240" w:after="0"/>
        <w:jc w:val="left"/>
        <w:rPr>
          <w:rFonts w:ascii="Times New Roman" w:hAnsi="Times New Roman"/>
          <w:sz w:val="20"/>
        </w:rPr>
      </w:pPr>
      <w:r>
        <w:rPr>
          <w:rFonts w:ascii="Times New Roman" w:hAnsi="Times New Roman"/>
          <w:sz w:val="20"/>
        </w:rPr>
        <w:t xml:space="preserve">The Company follows the accounting standards for reporting revenue gross as a principal versus net as an agent, when accounting for operations of one of its hotels and Grand Dragon Casino and concluded that it is the controlling entity and is the principal to these arrangements. For the operations of one of its hotels, the Company is the owner of the hotel property, and the hotel manager operates the hotel under a management agreement providing management services to the Company, and the Company receives all rewards and takes substantial risks associated with the hotel’s business, it is the principal and the transactions are, therefore, recognized on a gross basis. For the operations of Grand Dragon Casino, given the Company operates the casino under a right to use agreement with the owner of the casino premises and has full responsibility for the casino operations in accordance with its gaming subconcession or concession, it is the principal and casino revenue is, therefore, recognized on a gross basis. </w:t>
      </w:r>
    </w:p>
    <w:p>
      <w:pPr>
        <w:pStyle w:val="TextBody"/>
        <w:spacing w:before="240" w:after="0"/>
        <w:jc w:val="left"/>
        <w:rPr>
          <w:rFonts w:ascii="Times New Roman" w:hAnsi="Times New Roman"/>
          <w:sz w:val="20"/>
        </w:rPr>
      </w:pPr>
      <w:r>
        <w:rPr>
          <w:rFonts w:ascii="Times New Roman" w:hAnsi="Times New Roman"/>
          <w:sz w:val="20"/>
        </w:rPr>
        <w:t xml:space="preserve">The transaction prices for rooms, food and beverage, entertainment, retail and other goods and services are the net amounts collected from the customers for such goods and services that are recorded as revenues when the goods are provided, services are performed or events are held. Service taxes and other applicable taxes collected by us are excluded from revenues. Advance deposits on rooms and advance ticket sales are recorded as customer deposits until services are provided to the customers. Revenues from contracts with multiple goods or services provided by us are allocated to each good or service based on its relative standalone selling price. </w:t>
      </w:r>
    </w:p>
    <w:p>
      <w:pPr>
        <w:pStyle w:val="TextBody"/>
        <w:spacing w:before="240" w:after="0"/>
        <w:jc w:val="left"/>
        <w:rPr>
          <w:rFonts w:ascii="Times New Roman" w:hAnsi="Times New Roman"/>
          <w:sz w:val="20"/>
        </w:rPr>
      </w:pPr>
      <w:r>
        <w:rPr>
          <w:rFonts w:ascii="Times New Roman" w:hAnsi="Times New Roman"/>
          <w:sz w:val="20"/>
        </w:rPr>
        <w:t xml:space="preserve">Minimum operating and right to use fees representing lease revenues, adjusted for contractual base fees and operating fees escalations, are included in other revenues and are recognized over the terms of the related agreements on a straight-line basis. </w:t>
      </w:r>
    </w:p>
    <w:p>
      <w:pPr>
        <w:pStyle w:val="TextBody"/>
        <w:spacing w:before="360" w:after="0"/>
        <w:jc w:val="left"/>
        <w:rPr>
          <w:rFonts w:ascii="Times New Roman" w:hAnsi="Times New Roman"/>
          <w:b/>
          <w:i/>
          <w:sz w:val="20"/>
        </w:rPr>
      </w:pPr>
      <w:r>
        <w:rPr>
          <w:rFonts w:ascii="Times New Roman" w:hAnsi="Times New Roman"/>
          <w:b/>
          <w:i/>
          <w:sz w:val="20"/>
        </w:rPr>
        <w:t xml:space="preserve">Accounts Receivable and Credit Risk </w:t>
      </w:r>
    </w:p>
    <w:p>
      <w:pPr>
        <w:pStyle w:val="TextBody"/>
        <w:spacing w:before="120" w:after="0"/>
        <w:jc w:val="left"/>
        <w:rPr>
          <w:rFonts w:ascii="Times New Roman" w:hAnsi="Times New Roman"/>
          <w:sz w:val="20"/>
        </w:rPr>
      </w:pPr>
      <w:r>
        <w:rPr>
          <w:rFonts w:ascii="Times New Roman" w:hAnsi="Times New Roman"/>
          <w:sz w:val="20"/>
        </w:rPr>
        <w:t xml:space="preserve">Financial instruments that potentially subject our Company to concentrations of credit risk consist principally of casino receivables. We issue credit in the form of markers to approved casino customers following investigations of creditworthiness. Credit is also given to our gaming promoters in Philippines and, historically, to gaming promoters in Macau, which receivables can be offset against commissions payable and any other value items held by us to the respective customers and for which we intend to set off when required. For the years ended December 31, 2022, 2021 and 2020, approximately 0.3%, 11.9%, and 15.6% of our casino revenues were derived from customers sourced through our rolling chip gaming promoters, respectively. </w:t>
      </w:r>
    </w:p>
    <w:p>
      <w:pPr>
        <w:pStyle w:val="TextBody"/>
        <w:spacing w:before="240" w:after="0"/>
        <w:jc w:val="left"/>
        <w:rPr>
          <w:rFonts w:ascii="Times New Roman" w:hAnsi="Times New Roman"/>
          <w:sz w:val="20"/>
        </w:rPr>
      </w:pPr>
      <w:r>
        <w:rPr>
          <w:rFonts w:ascii="Times New Roman" w:hAnsi="Times New Roman"/>
          <w:sz w:val="20"/>
        </w:rPr>
        <w:t xml:space="preserve">As of December 31, 2022 and 2021, a substantial portion of our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these countries. </w:t>
      </w:r>
    </w:p>
    <w:p>
      <w:pPr>
        <w:pStyle w:val="TextBody"/>
        <w:spacing w:before="240" w:after="0"/>
        <w:jc w:val="left"/>
        <w:rPr>
          <w:rFonts w:ascii="Times New Roman" w:hAnsi="Times New Roman"/>
          <w:sz w:val="20"/>
        </w:rPr>
      </w:pPr>
      <w:r>
        <w:rPr>
          <w:rFonts w:ascii="Times New Roman" w:hAnsi="Times New Roman"/>
          <w:sz w:val="20"/>
        </w:rPr>
        <w:t xml:space="preserve">Accounts receivable, including casino, hotel and other receivables, are typically non-interest bearing and are recorded at amortized cost. Accounts are written off when management deems it is probable the receivables are uncollectible. Recoveries of accounts previously written off are recorded when received. An estimated allowance for credit losses is maintained to reduce our receivables to their carrying amounts, which reflects the net amount the Company expects to collect. The allowance is estimated based on our specific reviews of the age of the balances owed, the customers’ financial condition, management’s experience with the collection trends of the customers, and management’s expectations of current and future economic conditions.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of December 31, 2022 and 2021, the Company’s allowances for casino credit losses were 80.0% and 83.4% of gross casino accounts receivables, respectively. At December 31, 2022, a 100 basis-point change in the estimated allowance for credit losses as a percentage of casino receivables would change the allowance for credit losses by approximately US$2.7 million. </w:t>
      </w:r>
    </w:p>
    <w:p>
      <w:pPr>
        <w:pStyle w:val="TextBody"/>
        <w:spacing w:before="360" w:after="0"/>
        <w:jc w:val="left"/>
        <w:rPr>
          <w:rFonts w:ascii="Times New Roman" w:hAnsi="Times New Roman"/>
          <w:b/>
          <w:i/>
          <w:sz w:val="20"/>
        </w:rPr>
      </w:pPr>
      <w:r>
        <w:rPr>
          <w:rFonts w:ascii="Times New Roman" w:hAnsi="Times New Roman"/>
          <w:b/>
          <w:i/>
          <w:sz w:val="20"/>
        </w:rPr>
        <w:t xml:space="preserve">Income Tax </w:t>
      </w:r>
    </w:p>
    <w:p>
      <w:pPr>
        <w:pStyle w:val="TextBody"/>
        <w:spacing w:before="120" w:after="0"/>
        <w:jc w:val="left"/>
        <w:rPr>
          <w:rFonts w:ascii="Times New Roman" w:hAnsi="Times New Roman"/>
          <w:sz w:val="20"/>
        </w:rPr>
      </w:pPr>
      <w:r>
        <w:rPr>
          <w:rFonts w:ascii="Times New Roman" w:hAnsi="Times New Roman"/>
          <w:sz w:val="20"/>
        </w:rPr>
        <w:t xml:space="preserve">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2022 and 2021, we recorded valuation allowances of US$299.6 million and US$267.3 million, respectively, as management believes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 </w:t>
      </w:r>
    </w:p>
    <w:p>
      <w:pPr>
        <w:pStyle w:val="TextBody"/>
        <w:spacing w:before="360" w:after="0"/>
        <w:jc w:val="left"/>
        <w:rPr>
          <w:rFonts w:ascii="Times New Roman" w:hAnsi="Times New Roman"/>
          <w:b/>
          <w:i/>
          <w:sz w:val="20"/>
        </w:rPr>
      </w:pPr>
      <w:r>
        <w:rPr>
          <w:rFonts w:ascii="Times New Roman" w:hAnsi="Times New Roman"/>
          <w:b/>
          <w:i/>
          <w:sz w:val="20"/>
        </w:rPr>
        <w:t xml:space="preserve">Other Estimates </w:t>
      </w:r>
    </w:p>
    <w:p>
      <w:pPr>
        <w:pStyle w:val="TextBody"/>
        <w:spacing w:before="120" w:after="0"/>
        <w:jc w:val="left"/>
        <w:rPr>
          <w:rFonts w:ascii="Times New Roman" w:hAnsi="Times New Roman"/>
          <w:sz w:val="20"/>
        </w:rPr>
      </w:pPr>
      <w:r>
        <w:rPr>
          <w:rFonts w:ascii="Times New Roman" w:hAnsi="Times New Roman"/>
          <w:sz w:val="20"/>
        </w:rPr>
        <w:t xml:space="preserve">In addition to the critical accounting estimates described above, there are other accounting estimates within the consolidated financial statements. Management believes the current assumptions and other considerations used to estimate amounts reflected in the consolidated financial statements are appropriate. However, if actual experience differs from the assumptions and other considerations used in estimating amounts reflected in the consolidated financial statements, the resulting changes could have a material adverse effect on the consolidated financial statements. See note 2 to the consolidated financial statements for further information on significant accounting policies. </w:t>
      </w:r>
    </w:p>
    <w:p>
      <w:pPr>
        <w:pStyle w:val="TextBody"/>
        <w:spacing w:before="0" w:after="0"/>
        <w:jc w:val="left"/>
        <w:rPr/>
      </w:pPr>
      <w:r>
        <w:rPr/>
        <w:t> </w:t>
      </w:r>
    </w:p>
    <w:tbl>
      <w:tblPr>
        <w:tblW w:w="6190" w:type="dxa"/>
        <w:jc w:val="left"/>
        <w:tblInd w:w="0" w:type="dxa"/>
        <w:tblCellMar>
          <w:top w:w="0" w:type="dxa"/>
          <w:left w:w="0" w:type="dxa"/>
          <w:bottom w:w="0" w:type="dxa"/>
          <w:right w:w="0" w:type="dxa"/>
        </w:tblCellMar>
      </w:tblPr>
      <w:tblGrid>
        <w:gridCol w:w="920"/>
        <w:gridCol w:w="5270"/>
      </w:tblGrid>
      <w:tr>
        <w:trPr/>
        <w:tc>
          <w:tcPr>
            <w:tcW w:w="920" w:type="dxa"/>
            <w:tcBorders/>
            <w:shd w:fill="auto" w:val="clear"/>
            <w:vAlign w:val="center"/>
          </w:tcPr>
          <w:p>
            <w:pPr>
              <w:pStyle w:val="TableContents"/>
              <w:spacing w:before="0" w:after="283"/>
              <w:jc w:val="left"/>
              <w:rPr>
                <w:b/>
              </w:rPr>
            </w:pPr>
            <w:bookmarkStart w:id="27" w:name="rom396630_24"/>
            <w:bookmarkEnd w:id="27"/>
            <w:r>
              <w:rPr>
                <w:b/>
              </w:rPr>
              <w:t>ITEM 6.</w:t>
            </w:r>
          </w:p>
        </w:tc>
        <w:tc>
          <w:tcPr>
            <w:tcW w:w="52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DIRECTORS, SENIOR MANAGEMENT AND EMPLOYEES </w:t>
            </w:r>
          </w:p>
        </w:tc>
      </w:tr>
    </w:tbl>
    <w:p>
      <w:pPr>
        <w:pStyle w:val="TextBody"/>
        <w:spacing w:before="240" w:after="0"/>
        <w:jc w:val="center"/>
        <w:rPr>
          <w:rFonts w:ascii="Times New Roman" w:hAnsi="Times New Roman"/>
          <w:b/>
          <w:sz w:val="20"/>
        </w:rPr>
      </w:pPr>
      <w:bookmarkStart w:id="28" w:name="rom396630_25"/>
      <w:bookmarkEnd w:id="28"/>
      <w:r>
        <w:rPr>
          <w:rFonts w:ascii="Times New Roman" w:hAnsi="Times New Roman"/>
          <w:b/>
          <w:sz w:val="20"/>
        </w:rPr>
        <w:t xml:space="preserve">A. DIRECTORS AND SENIOR MANAGEMENT </w:t>
      </w:r>
    </w:p>
    <w:p>
      <w:pPr>
        <w:pStyle w:val="TextBody"/>
        <w:spacing w:before="120" w:after="0"/>
        <w:jc w:val="left"/>
        <w:rPr>
          <w:rFonts w:ascii="Times New Roman" w:hAnsi="Times New Roman"/>
          <w:b/>
          <w:sz w:val="20"/>
        </w:rPr>
      </w:pPr>
      <w:r>
        <w:rPr>
          <w:rFonts w:ascii="Times New Roman" w:hAnsi="Times New Roman"/>
          <w:b/>
          <w:sz w:val="20"/>
        </w:rPr>
        <w:t xml:space="preserve">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regarding our directors and executive officers as of the date of this annual report on Form 20-F.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065"/>
        <w:gridCol w:w="120"/>
        <w:gridCol w:w="79"/>
        <w:gridCol w:w="346"/>
        <w:gridCol w:w="60"/>
        <w:gridCol w:w="120"/>
        <w:gridCol w:w="7415"/>
      </w:tblGrid>
      <w:tr>
        <w:trPr/>
        <w:tc>
          <w:tcPr>
            <w:tcW w:w="20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15" w:type="dxa"/>
            <w:tcBorders/>
            <w:shd w:fill="auto" w:val="clear"/>
            <w:vAlign w:val="center"/>
          </w:tcPr>
          <w:p>
            <w:pPr>
              <w:pStyle w:val="TableContents"/>
              <w:spacing w:before="0" w:after="283"/>
              <w:rPr>
                <w:sz w:val="4"/>
                <w:szCs w:val="4"/>
              </w:rPr>
            </w:pPr>
            <w:r>
              <w:rPr>
                <w:sz w:val="4"/>
                <w:szCs w:val="4"/>
              </w:rPr>
            </w:r>
          </w:p>
        </w:tc>
      </w:tr>
      <w:tr>
        <w:trPr/>
        <w:tc>
          <w:tcPr>
            <w:tcW w:w="206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Position/Title</w:t>
            </w:r>
          </w:p>
        </w:tc>
      </w:tr>
      <w:tr>
        <w:trPr/>
        <w:tc>
          <w:tcPr>
            <w:tcW w:w="2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Lawrence Yau Lung Ho</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Chairman, chief executive officer and director</w:t>
            </w:r>
          </w:p>
        </w:tc>
      </w:tr>
      <w:tr>
        <w:trPr/>
        <w:tc>
          <w:tcPr>
            <w:tcW w:w="2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Clarence Yuk Man Chung</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w:t>
            </w:r>
          </w:p>
        </w:tc>
      </w:tr>
      <w:tr>
        <w:trPr/>
        <w:tc>
          <w:tcPr>
            <w:tcW w:w="2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Evan Andrew Winkler</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President and director</w:t>
            </w:r>
          </w:p>
        </w:tc>
      </w:tr>
      <w:tr>
        <w:trPr/>
        <w:tc>
          <w:tcPr>
            <w:tcW w:w="2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Alec Yiu Wa Tsui</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Independent non-executive director</w:t>
            </w:r>
          </w:p>
        </w:tc>
      </w:tr>
      <w:tr>
        <w:trPr/>
        <w:tc>
          <w:tcPr>
            <w:tcW w:w="2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Thomas Jefferson Wu</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Independent non-executive director</w:t>
            </w:r>
          </w:p>
        </w:tc>
      </w:tr>
      <w:tr>
        <w:trPr/>
        <w:tc>
          <w:tcPr>
            <w:tcW w:w="2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John William Crawford</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Independent non-executive director</w:t>
            </w:r>
          </w:p>
        </w:tc>
      </w:tr>
      <w:tr>
        <w:trPr/>
        <w:tc>
          <w:tcPr>
            <w:tcW w:w="2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Francesca Galante</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Independent non-executive director</w:t>
            </w:r>
          </w:p>
        </w:tc>
      </w:tr>
      <w:tr>
        <w:trPr/>
        <w:tc>
          <w:tcPr>
            <w:tcW w:w="2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Geoffrey Stuart Davis</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Executive vice president and chief financial officer</w:t>
            </w:r>
          </w:p>
        </w:tc>
      </w:tr>
      <w:tr>
        <w:trPr/>
        <w:tc>
          <w:tcPr>
            <w:tcW w:w="20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Stephanie Cheung</w:t>
            </w:r>
          </w:p>
        </w:tc>
        <w:tc>
          <w:tcPr>
            <w:tcW w:w="120"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346" w:type="dxa"/>
            <w:tcBorders/>
            <w:shd w:fill="CCEEFF" w:val="clear"/>
            <w:vAlign w:val="center"/>
          </w:tcPr>
          <w:p>
            <w:pPr>
              <w:pStyle w:val="TableContents"/>
              <w:spacing w:before="0" w:after="283"/>
              <w:jc w:val="right"/>
              <w:rPr/>
            </w:pPr>
            <w:r>
              <w:rPr/>
              <w:t>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Executive vice president and chief legal officer</w:t>
            </w:r>
          </w:p>
        </w:tc>
      </w:tr>
      <w:tr>
        <w:trPr/>
        <w:tc>
          <w:tcPr>
            <w:tcW w:w="20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Akiko Takahashi</w:t>
            </w:r>
          </w:p>
        </w:tc>
        <w:tc>
          <w:tcPr>
            <w:tcW w:w="120"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jc w:val="right"/>
              <w:rPr/>
            </w:pPr>
            <w:r>
              <w:rPr/>
              <w:t>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15" w:type="dxa"/>
            <w:tcBorders/>
            <w:shd w:fill="auto" w:val="clear"/>
            <w:vAlign w:val="center"/>
          </w:tcPr>
          <w:p>
            <w:pPr>
              <w:pStyle w:val="TableContents"/>
              <w:spacing w:before="0" w:after="283"/>
              <w:rPr/>
            </w:pPr>
            <w:r>
              <w:rPr/>
              <w:t>Executive vice president and chief of staff to Chairman and chief executive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Directors </w:t>
      </w:r>
    </w:p>
    <w:p>
      <w:pPr>
        <w:pStyle w:val="TextBody"/>
        <w:spacing w:before="12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Lawrence Yau Lung Ho</w:t>
      </w:r>
      <w:r>
        <w:rPr>
          <w:rFonts w:ascii="Times New Roman" w:hAnsi="Times New Roman"/>
          <w:sz w:val="20"/>
        </w:rPr>
        <w:t xml:space="preserve"> was appointed as our director on December 20, 2004 and served as our co-chairman and chief executive officer between December 2004 and April 2016 before being re-designated as chairman and chief executive officer in May 2016. Since November 2001, Mr. Ho has served as the managing director of Melco International and its chairman and chief executive officer since March 2006. In addition, Mr. Ho has been a director of SCI since July 2011. Mr. Ho has also been appointed as the chairman and director of Maple Peak Investment Inc., a company listed on the TSX Venture Exchange in Canada, since July 2016. </w:t>
      </w:r>
    </w:p>
    <w:p>
      <w:pPr>
        <w:pStyle w:val="TextBody"/>
        <w:spacing w:before="240" w:after="0"/>
        <w:jc w:val="left"/>
        <w:rPr>
          <w:rFonts w:ascii="Times New Roman" w:hAnsi="Times New Roman"/>
          <w:sz w:val="20"/>
        </w:rPr>
      </w:pPr>
      <w:r>
        <w:rPr>
          <w:rFonts w:ascii="Times New Roman" w:hAnsi="Times New Roman"/>
          <w:sz w:val="20"/>
        </w:rPr>
        <w:t xml:space="preserve">As a member of the National Committee of the Chinese People’s Political Consultative Conference, Mr. Ho serves on the board or participates as a committee member in various organizations in Hong Kong, Macau and mainland China. He is a vice chairman of All-China Federation of Industry and Commerce; a member of the All-China Youth Federation; a member of the Macau Basic Law Promotion Association; chairman of the Macau International Volunteers Association; a member of the Board of Governors of The Canadian Chamber of Commerce in Hong Kong; a member of the Asia International Leadership Council; permanent honorary committee member of The Chinese General Chamber of Commerce of Hong Kong; honorary patron of The Canadian Chamber of Commerce in Macao; honorary president of the Association of Property Agents and Real Estate Developers of Macau and a director executive of the Macao Chamber of Commerce. </w:t>
      </w:r>
    </w:p>
    <w:p>
      <w:pPr>
        <w:pStyle w:val="TextBody"/>
        <w:spacing w:before="240" w:after="0"/>
        <w:jc w:val="left"/>
        <w:rPr>
          <w:rFonts w:ascii="Times New Roman" w:hAnsi="Times New Roman"/>
          <w:sz w:val="20"/>
        </w:rPr>
      </w:pPr>
      <w:r>
        <w:rPr>
          <w:rFonts w:ascii="Times New Roman" w:hAnsi="Times New Roman"/>
          <w:sz w:val="20"/>
        </w:rPr>
        <w:t xml:space="preserve">In 2017, Mr. Ho was awarded the Medal of Merit-Tourism by the Macau SAR government for his significant contributions to tourism in the territory. </w:t>
      </w:r>
    </w:p>
    <w:p>
      <w:pPr>
        <w:pStyle w:val="TextBody"/>
        <w:spacing w:before="240" w:after="0"/>
        <w:jc w:val="left"/>
        <w:rPr>
          <w:rFonts w:ascii="Times New Roman" w:hAnsi="Times New Roman"/>
          <w:sz w:val="20"/>
        </w:rPr>
      </w:pPr>
      <w:r>
        <w:rPr>
          <w:rFonts w:ascii="Times New Roman" w:hAnsi="Times New Roman"/>
          <w:sz w:val="20"/>
        </w:rPr>
        <w:t xml:space="preserve">In recognition of Mr. Ho’s directorship and entrepreneurial spirit, he was granted the Business Awards of Macau’s “Leadership Gold Award” in 2015 and honored with the “Outstanding Individual Award” at the Industry Community Awards in 2020. Mr. Ho has been honored as one of the recipients of the “Asian Corporate Director Recognition Awards” by Corporate Governance Asia magazine for nine years since 2012 and was awarded “Asia’s Best CEO” at the Asian Excellence Awards for the 11th year in 2022. </w:t>
      </w:r>
    </w:p>
    <w:p>
      <w:pPr>
        <w:pStyle w:val="TextBody"/>
        <w:spacing w:before="240" w:after="0"/>
        <w:jc w:val="left"/>
        <w:rPr>
          <w:rFonts w:ascii="Times New Roman" w:hAnsi="Times New Roman"/>
          <w:sz w:val="20"/>
        </w:rPr>
      </w:pPr>
      <w:r>
        <w:rPr>
          <w:rFonts w:ascii="Times New Roman" w:hAnsi="Times New Roman"/>
          <w:sz w:val="20"/>
        </w:rPr>
        <w:t xml:space="preserve">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Clarence Yuk Man Chung</w:t>
      </w:r>
      <w:r>
        <w:rPr>
          <w:rFonts w:ascii="Times New Roman" w:hAnsi="Times New Roman"/>
          <w:sz w:val="20"/>
        </w:rPr>
        <w:t xml:space="preserve"> was appointed as our director on November 21, 2006. Mr. Chung has also been an executive director of Melco International since May 2006, which he joined in December 2003. In addition, Mr. Chung has been the chairman and president of MRP since December 2012, a director of SCI since October 2018 and has also been appointed as a director of certain of our subsidiaries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Evan Andrew Winkler</w:t>
      </w:r>
      <w:r>
        <w:rPr>
          <w:rFonts w:ascii="Times New Roman" w:hAnsi="Times New Roman"/>
          <w:sz w:val="20"/>
        </w:rPr>
        <w:t xml:space="preserve"> was appointed as our director on August 3, 2016 and also our president on September 4, 2019. Mr. Winkler has served as the managing director and the president of Melco International since August 2016 and May 2018, respectively, and also a director of SCI since August 2016. Mr. Winkler has also been appointed as a director of various subsidiaries of Melco International. </w:t>
      </w:r>
    </w:p>
    <w:p>
      <w:pPr>
        <w:pStyle w:val="TextBody"/>
        <w:spacing w:before="240" w:after="0"/>
        <w:jc w:val="left"/>
        <w:rPr>
          <w:rFonts w:ascii="Times New Roman" w:hAnsi="Times New Roman"/>
          <w:sz w:val="20"/>
        </w:rPr>
      </w:pPr>
      <w:r>
        <w:rPr>
          <w:rFonts w:ascii="Times New Roman" w:hAnsi="Times New Roman"/>
          <w:sz w:val="20"/>
        </w:rPr>
        <w:t xml:space="preserve">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 degree in Economics from the University of Chicago.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Alec Yiu Wa Tsui</w:t>
      </w:r>
      <w:r>
        <w:rPr>
          <w:rFonts w:ascii="Times New Roman" w:hAnsi="Times New Roman"/>
          <w:sz w:val="20"/>
        </w:rPr>
        <w:t xml:space="preserve"> was appointed as an independent non-executive director on December 18, 2006. Mr. Tsui is the chairman of our nominating and corporate governance committee and a member of our audit and risk committee and compensation committee. Mr. Tsui has extensive experience in finance and administration, corporate and strategic planning, information technology and human resources management, having served at 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During his tenure at the HKSE, Mr. Tsui was in charge of the finance and accounting functions. Mr. Tsui was the chairman of the Hong Kong Securities Institute from 2001 to 2004 and a consultant of the Shenzhen Stock Exchange from July 2001 to June 2002. Mr. Tsui was an independent non-executive director of China Blue Chemical Limited from April 2006 to June 2012, China Chengtong Development Group Limited from March 2003 to November 2013, China Power International Development Limited from March 2004 to December 2016 and China Oilfield Services Limited from June 2009 to June 2015, all of which are listed on the HKSE. Mr. Tsui has been a director of Industrial and Commercial Bank of China (Asia) Limited since August 2000. Mr. Tsui is also an independent non-executive director of a number of companies listed on the HKSE and Nasdaq, including COSCO Shipping International (Hong Kong) Co., Ltd. since 2004, Pacific Online Limited since 2007, ATA Creativity Global since 2008, Hua Medicine since September 2018 and Brii Biosciences Limited since July 2021, Summit Ascent Holdings Limited from March 2011 to September 2018, Kangda International Environmental Company Limited from July 2014 to April 2019, DTXS Silk Road Investment Holdings Company Limited from December 2015 to May 2020. In addition, due to his long experience as an executive supervising finance and accounting functions, and extensive knowledge and expertise in internal controls and procedures for financial reporting and other matters performed by audit committees in general, Mr. Tsui also serves as a member of the audit committee on several of the companies on which he serves as a director. </w:t>
      </w:r>
    </w:p>
    <w:p>
      <w:pPr>
        <w:pStyle w:val="TextBody"/>
        <w:spacing w:before="240" w:after="0"/>
        <w:jc w:val="left"/>
        <w:rPr>
          <w:rFonts w:ascii="Times New Roman" w:hAnsi="Times New Roman"/>
          <w:sz w:val="20"/>
        </w:rPr>
      </w:pPr>
      <w:r>
        <w:rPr>
          <w:rFonts w:ascii="Times New Roman" w:hAnsi="Times New Roman"/>
          <w:sz w:val="20"/>
        </w:rPr>
        <w:t xml:space="preserve">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Thomas Jefferson Wu</w:t>
      </w:r>
      <w:r>
        <w:rPr>
          <w:rFonts w:ascii="Times New Roman" w:hAnsi="Times New Roman"/>
          <w:sz w:val="20"/>
        </w:rPr>
        <w:t> </w:t>
      </w:r>
      <w:r>
        <w:rPr>
          <w:rFonts w:ascii="Times New Roman" w:hAnsi="Times New Roman"/>
          <w:b/>
          <w:i/>
          <w:sz w:val="20"/>
        </w:rPr>
        <w:t>JP</w:t>
      </w:r>
      <w:r>
        <w:rPr>
          <w:rFonts w:ascii="Times New Roman" w:hAnsi="Times New Roman"/>
          <w:sz w:val="20"/>
        </w:rPr>
        <w:t xml:space="preserve"> was appointed as an independent non-executive director on December 18, 2006. Mr. Wu is also the chairman of our compensation committee and a member of our audit and risk committee and nominating and corporate governance committee. Mr. Wu was the deputy chairman and managing director of Hopewell Holdings Limited, a business conglomerate which was de-listed from the HKSE, from February 2018 to May 2019. Mr. Wu has served in various roles with the Hopewell Holdings group since 1999, including group controller from March 2000 to June 2001, executive director from June 2001 to May 2019, chief operating officer from January 2002 to August 2003, deputy managing director from August 2003 to June 2007, co-managing director from July 2007 to September 2009, managing director from October 2009 to May 2019 and deputy chairman of Hopewell Holdings Limited from February 2018 to May 2019. Mr. Wu has also been an executive director, managing director and non-executive director of Shenzhen Investment Holdings Bay Area Development Company Limited (formerly known as Hopewell Highway Infrastructure Limited), a company listed on the HKSE, from January 2003 to April 2018, from July 2003 to April 2018 and from April 2018 to May 2018, respectively. </w:t>
      </w:r>
    </w:p>
    <w:p>
      <w:pPr>
        <w:pStyle w:val="TextBody"/>
        <w:spacing w:before="240" w:after="0"/>
        <w:jc w:val="left"/>
        <w:rPr>
          <w:rFonts w:ascii="Times New Roman" w:hAnsi="Times New Roman"/>
          <w:sz w:val="20"/>
        </w:rPr>
      </w:pPr>
      <w:r>
        <w:rPr>
          <w:rFonts w:ascii="Times New Roman" w:hAnsi="Times New Roman"/>
          <w:sz w:val="20"/>
        </w:rPr>
        <w:t xml:space="preserve">Mr. Wu graduated with high honors from Princeton University in 1994 with a Bachelor of Science degree in Mechanical and Aerospace Engineering. Mr. Wu then worked in Japan as an engineer for Mitsubishi Electric Corporation for three years before returning to full-time studies at Stanford University, where he obtained a Master of Business Administration degree in 1999. In 2015, he was conferred an honorary fellowship by Lingnan University. </w:t>
      </w:r>
    </w:p>
    <w:p>
      <w:pPr>
        <w:pStyle w:val="TextBody"/>
        <w:spacing w:before="240" w:after="0"/>
        <w:jc w:val="left"/>
        <w:rPr>
          <w:rFonts w:ascii="Times New Roman" w:hAnsi="Times New Roman"/>
          <w:sz w:val="20"/>
        </w:rPr>
      </w:pPr>
      <w:r>
        <w:rPr>
          <w:rFonts w:ascii="Times New Roman" w:hAnsi="Times New Roman"/>
          <w:sz w:val="20"/>
        </w:rPr>
        <w:t xml:space="preserve">Mr. Wu is active in public service in both Hong Kong and the PRC. Mr. Wu serves in a number of advisory roles at different levels of government. In the PRC, Mr. Wu is a member of the 13th National Committee of the Chinese People’s Political Consultative Conference and the 11th to 13th Heilongjiang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Provincial Committee of the Chinese People’s Political Consultative Conference and was a Standing Committee member and a member of the Guangzhou Municipality Huadu District Committee of the Chinese People’s Political Consultative Conference, among other public service capacities. </w:t>
      </w:r>
    </w:p>
    <w:p>
      <w:pPr>
        <w:pStyle w:val="TextBody"/>
        <w:spacing w:before="240" w:after="0"/>
        <w:jc w:val="left"/>
        <w:rPr>
          <w:rFonts w:ascii="Times New Roman" w:hAnsi="Times New Roman"/>
          <w:sz w:val="20"/>
        </w:rPr>
      </w:pPr>
      <w:r>
        <w:rPr>
          <w:rFonts w:ascii="Times New Roman" w:hAnsi="Times New Roman"/>
          <w:sz w:val="20"/>
        </w:rPr>
        <w:t xml:space="preserve">In Hong Kong, Mr. Wu’s major public service appointments include being a member of the Major Sports Events Committee of the Culture, Sports and Tourism Bureau of the Hong Kong Special Administrative Region Government (the “HKSARG”), a member of the Committee on Real Estate Investment Trusts of Securities and Futures Commission, a Vice Patron of the Community Chest of Hong Kong, a deputy director of Economic Affairs Committee and a member of Friends of Hong Kong Association Limited as well as Honorary Advisor of the Hong Kong Army Cadets Association. Mr. Wu is also a member of the Business School Advisory Council of The Hong Kong University of Science and Technology. Previously, Mr. Wu was a council member of The Hong Kong Polytechnic University and the Hong Kong Baptist University, a member of the Court of The Hong Kong University of Science and Technology, a board member of the Asian Youth Orchestra, a member of the standing committee on Disciplined Services Salaries and Conditions of Service, a member of the Hong Kong Tourism Board of the HKSARG, a board member of The Airport Authority Hong Kong of the HKSARG, and a member of the Energy Advisory Committee of the Environment Bureau of the HKSARG. </w:t>
      </w:r>
    </w:p>
    <w:p>
      <w:pPr>
        <w:pStyle w:val="TextBody"/>
        <w:spacing w:before="240" w:after="0"/>
        <w:jc w:val="left"/>
        <w:rPr>
          <w:rFonts w:ascii="Times New Roman" w:hAnsi="Times New Roman"/>
          <w:sz w:val="20"/>
        </w:rPr>
      </w:pPr>
      <w:r>
        <w:rPr>
          <w:rFonts w:ascii="Times New Roman" w:hAnsi="Times New Roman"/>
          <w:sz w:val="20"/>
        </w:rPr>
        <w:t xml:space="preserve">In addition to his professional and public service engagements, Mr. Wu is mostly known for his passion for ice hockey, as well as the sport’s development in Hong Kong and the region. Mr. Wu is the co-founder and chairman of the Hong Kong Amateur Club and Hong Kong Academy of Ice Hockey, the chairman of the Hong Kong Ice Hockey Officials Association, as well as chairman of the LOHAS Rink Limited. Mr. Wu is also the honorary president of the Hong Kong Ice Hockey Association (the national sports association of ice hockey in Hong Kong), vice-chairman of Chinese Ice Hockey Association, honorary president of Macau Ice Sports Federation and honorary chairman of Ice Hockey Association of Taipei Municipal Athletics Federation. Mr. Wu served as the vice president (Asia/Oceania) of the International Ice Hockey Federation from 2012 to 2021. </w:t>
      </w:r>
    </w:p>
    <w:p>
      <w:pPr>
        <w:pStyle w:val="TextBody"/>
        <w:spacing w:before="240" w:after="0"/>
        <w:jc w:val="left"/>
        <w:rPr>
          <w:rFonts w:ascii="Times New Roman" w:hAnsi="Times New Roman"/>
          <w:sz w:val="20"/>
        </w:rPr>
      </w:pPr>
      <w:r>
        <w:rPr>
          <w:rFonts w:ascii="Times New Roman" w:hAnsi="Times New Roman"/>
          <w:sz w:val="20"/>
        </w:rPr>
        <w:t xml:space="preserve">In 2006, the World Economic Forum selected Mr. Wu as a “Young Global Leader.” Mr. Wu was also awarded the “Directors of the Year Award” by the Hong Kong Institute of Directors in 2010, the “Asian Corporate Director Recognition Award” by Corporate Governance Asia in 2011, 2012 and 2013, and named the “Asia’s Best CEO (Investor Relations)” in 2012, 2013 and 2014. </w:t>
      </w:r>
    </w:p>
    <w:p>
      <w:pPr>
        <w:pStyle w:val="TextBody"/>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John William Crawford</w:t>
      </w:r>
      <w:r>
        <w:rPr>
          <w:rFonts w:ascii="Times New Roman" w:hAnsi="Times New Roman"/>
          <w:sz w:val="20"/>
        </w:rPr>
        <w:t> </w:t>
      </w:r>
      <w:r>
        <w:rPr>
          <w:rFonts w:ascii="Times New Roman" w:hAnsi="Times New Roman"/>
          <w:b/>
          <w:i/>
          <w:sz w:val="20"/>
        </w:rPr>
        <w:t>JP</w:t>
      </w:r>
      <w:r>
        <w:rPr>
          <w:rFonts w:ascii="Times New Roman" w:hAnsi="Times New Roman"/>
          <w:sz w:val="20"/>
        </w:rPr>
        <w:t xml:space="preserve"> was appointed as an independent non-executive director on January 12, 2017. Mr. Crawford was a member of our audit and risk committee up until March 21, 2018 when he became its chairman. He is also a member of our compensation committee and nominating and corporate governance committee. Mr. Crawford became an independent non-executive director of Melco International and became the chairman of its audit committee and nomination committee and a member of its corporate governance committee on September 13, 2019. Mr. Crawford has been the managing director of Crawford Consultants Limited and International Quality Education Limited since 1997 and 2002, respectively. Previously, Mr. Crawford was a founding partner of Ernst &amp; Young, Hong Kong, where he acted as engagement or review partner for many public companies and banks during his 25 years in public accounting and was the chairman of the audit division and the vice chairman of the Hong Kong office of the firm prior to retiring in 1997. Mr. Crawford has extensive knowledge of accounting issues from his experience as the managing audit partner of this major international accounting firm and also has extensive operational knowledge as a result of his consulting experience. Mr. Crawford has served as an independent non-executive director and chairman of the audit committee of Regal Portfolio Management Limited of Regal REIT since November 2006 and chairman of its Disclosure Committee since March 2010, and as an independent non-executive director of Entertainment Gaming Asia Inc. since November 2007 up until his resignation on July 3, 2017. In November 2011, Mr. Crawford was appointed as a member of the conflicts committee of our subsidiary SCI and resigned from this position on January 10, 2017. Mr. Crawford previously served as an independent non-executive director and chairman of the audit committee of other companies publicly listed in Hong Kong, the most recent of which was E-Kong Group Limited until June 8, 2015.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Mr. Crawford has been deeply involved in the education sector in Asia, including setting up international schools and providing consulting services. He was a member and a governor for many years of the Canadian International School of Hong Kong and remains active in the start-up, overseeing and consulting for other similar pre-university schools. Additionally, Mr. Crawford is involved in various charitable and/or community activities and was a founding member of UNICEF Hong Kong Committee and the Hong Kong Institute of Directors. In 1997, Mr. Crawford was appointed a Justice of the Peace in Hong Kong. He is a member of the Hong Kong Institute of Certified Public Accountants, a member and honorary president of the Macau Society of Certified Practising Accountants and a member of the Canadian Institute of Chartered Accountants. </w:t>
      </w:r>
    </w:p>
    <w:p>
      <w:pPr>
        <w:pStyle w:val="TextBody"/>
        <w:spacing w:before="240" w:after="0"/>
        <w:jc w:val="left"/>
        <w:rPr>
          <w:rFonts w:ascii="Times New Roman" w:hAnsi="Times New Roman"/>
          <w:sz w:val="20"/>
        </w:rPr>
      </w:pPr>
      <w:r>
        <w:rPr>
          <w:rFonts w:ascii="Times New Roman" w:hAnsi="Times New Roman"/>
          <w:b/>
          <w:i/>
          <w:sz w:val="20"/>
        </w:rPr>
        <w:t>Ms.</w:t>
      </w:r>
      <w:r>
        <w:rPr>
          <w:rFonts w:ascii="Times New Roman" w:hAnsi="Times New Roman"/>
          <w:sz w:val="20"/>
        </w:rPr>
        <w:t> </w:t>
      </w:r>
      <w:r>
        <w:rPr>
          <w:rFonts w:ascii="Times New Roman" w:hAnsi="Times New Roman"/>
          <w:b/>
          <w:i/>
          <w:sz w:val="20"/>
        </w:rPr>
        <w:t>Francesca Galante</w:t>
      </w:r>
      <w:r>
        <w:rPr>
          <w:rFonts w:ascii="Times New Roman" w:hAnsi="Times New Roman"/>
          <w:sz w:val="20"/>
        </w:rPr>
        <w:t xml:space="preserve"> was appointed as an independent non-executive director on September 5, 2018. Ms. Galante is a member of each of our compensation committee, audit and risk committee and nominating and corporate governance committee. Ms. Galante has been the co-founder and partner of First Growth Real Estate, a specialist advisory firm focused on real estate structured debt arranging, restructuring and special servicing throughout Continental Europe since 2010. Previously, Ms. Galante was an executive director in the real estate principal finance division at UBS Investment Bank in London. Prior to that she worked at Soros Real Estate Partners and Merrill Lynch. With 20 years of real estate investment and advisory experience in both Europe and North America, Ms. Galante has extensive experience on real estate transactions in office, hotel, residential and industrial asset classes. Ms. Galante received her Master of Science in Management from the Université Paris-Dauphine and Master of Finance from Ecole Supérieure De Commerce De Paris (now ESCP Europe). </w:t>
      </w:r>
    </w:p>
    <w:p>
      <w:pPr>
        <w:pStyle w:val="TextBody"/>
        <w:spacing w:before="360" w:after="0"/>
        <w:jc w:val="left"/>
        <w:rPr>
          <w:rFonts w:ascii="Times New Roman" w:hAnsi="Times New Roman"/>
          <w:b/>
          <w:sz w:val="20"/>
        </w:rPr>
      </w:pPr>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The table below provides certain information regarding the diversity of our board of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905"/>
        <w:gridCol w:w="60"/>
        <w:gridCol w:w="755"/>
        <w:gridCol w:w="60"/>
        <w:gridCol w:w="530"/>
        <w:gridCol w:w="60"/>
        <w:gridCol w:w="1235"/>
        <w:gridCol w:w="60"/>
        <w:gridCol w:w="2540"/>
      </w:tblGrid>
      <w:tr>
        <w:trPr/>
        <w:tc>
          <w:tcPr>
            <w:tcW w:w="49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CCEEFF" w:val="clear"/>
            <w:vAlign w:val="center"/>
          </w:tcPr>
          <w:p>
            <w:pPr>
              <w:pStyle w:val="TableContents"/>
              <w:spacing w:before="0" w:after="0"/>
              <w:jc w:val="center"/>
              <w:rPr>
                <w:rFonts w:ascii="Times New Roman" w:hAnsi="Times New Roman"/>
                <w:sz w:val="20"/>
              </w:rPr>
            </w:pPr>
            <w:r>
              <w:rPr>
                <w:rFonts w:ascii="Times New Roman" w:hAnsi="Times New Roman"/>
                <w:b/>
                <w:sz w:val="20"/>
              </w:rPr>
              <w:t xml:space="preserve">Board Diversity Matrix </w:t>
            </w:r>
            <w:r>
              <w:rPr>
                <w:rFonts w:ascii="Times New Roman" w:hAnsi="Times New Roman"/>
                <w:sz w:val="20"/>
              </w:rPr>
              <w:t>(As of March 31, 2023)</w:t>
            </w:r>
          </w:p>
        </w:tc>
      </w:tr>
      <w:tr>
        <w:trPr/>
        <w:tc>
          <w:tcPr>
            <w:tcW w:w="4905" w:type="dxa"/>
            <w:tcBorders/>
            <w:shd w:fill="auto" w:val="clear"/>
            <w:vAlign w:val="center"/>
          </w:tcPr>
          <w:p>
            <w:pPr>
              <w:pStyle w:val="TableContents"/>
              <w:spacing w:before="0" w:after="283"/>
              <w:rPr>
                <w:sz w:val="4"/>
                <w:szCs w:val="4"/>
              </w:rPr>
            </w:pPr>
            <w:r>
              <w:rPr>
                <w:sz w:val="4"/>
                <w:szCs w:val="4"/>
              </w:rPr>
            </w:r>
          </w:p>
        </w:tc>
        <w:tc>
          <w:tcPr>
            <w:tcW w:w="5300" w:type="dxa"/>
            <w:gridSpan w:val="8"/>
            <w:tcBorders/>
            <w:shd w:fill="auto" w:val="clear"/>
            <w:vAlign w:val="center"/>
          </w:tcPr>
          <w:p>
            <w:pPr>
              <w:pStyle w:val="TableContents"/>
              <w:spacing w:before="0" w:after="283"/>
              <w:rPr>
                <w:sz w:val="4"/>
                <w:szCs w:val="4"/>
              </w:rPr>
            </w:pPr>
            <w:r>
              <w:rPr>
                <w:sz w:val="4"/>
                <w:szCs w:val="4"/>
              </w:rPr>
            </w:r>
          </w:p>
        </w:tc>
      </w:tr>
      <w:tr>
        <w:trPr/>
        <w:tc>
          <w:tcPr>
            <w:tcW w:w="4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Places of Principal Executive Offices:</w:t>
            </w:r>
          </w:p>
        </w:tc>
        <w:tc>
          <w:tcPr>
            <w:tcW w:w="60" w:type="dxa"/>
            <w:tcBorders/>
            <w:shd w:fill="auto" w:val="clear"/>
            <w:vAlign w:val="center"/>
          </w:tcPr>
          <w:p>
            <w:pPr>
              <w:pStyle w:val="TableContents"/>
              <w:spacing w:before="0" w:after="283"/>
              <w:rPr/>
            </w:pPr>
            <w:r>
              <w:rPr/>
              <w:t> </w:t>
            </w:r>
          </w:p>
        </w:tc>
        <w:tc>
          <w:tcPr>
            <w:tcW w:w="5240" w:type="dxa"/>
            <w:gridSpan w:val="7"/>
            <w:tcBorders/>
            <w:shd w:fill="auto" w:val="clear"/>
            <w:vAlign w:val="center"/>
          </w:tcPr>
          <w:p>
            <w:pPr>
              <w:pStyle w:val="TableContents"/>
              <w:spacing w:before="0" w:after="283"/>
              <w:jc w:val="center"/>
              <w:rPr/>
            </w:pPr>
            <w:r>
              <w:rPr/>
              <w:t>Singapore and Hong Kong</w:t>
            </w:r>
          </w:p>
        </w:tc>
      </w:tr>
      <w:tr>
        <w:trPr/>
        <w:tc>
          <w:tcPr>
            <w:tcW w:w="4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Foreign Private Issuer:</w:t>
            </w:r>
          </w:p>
        </w:tc>
        <w:tc>
          <w:tcPr>
            <w:tcW w:w="60" w:type="dxa"/>
            <w:tcBorders/>
            <w:shd w:fill="CCEEFF" w:val="clear"/>
            <w:vAlign w:val="center"/>
          </w:tcPr>
          <w:p>
            <w:pPr>
              <w:pStyle w:val="TableContents"/>
              <w:spacing w:before="0" w:after="283"/>
              <w:rPr/>
            </w:pPr>
            <w:r>
              <w:rPr/>
              <w:t> </w:t>
            </w:r>
          </w:p>
        </w:tc>
        <w:tc>
          <w:tcPr>
            <w:tcW w:w="5240" w:type="dxa"/>
            <w:gridSpan w:val="7"/>
            <w:tcBorders/>
            <w:shd w:fill="CCEEFF" w:val="clear"/>
            <w:vAlign w:val="center"/>
          </w:tcPr>
          <w:p>
            <w:pPr>
              <w:pStyle w:val="TableContents"/>
              <w:spacing w:before="0" w:after="283"/>
              <w:jc w:val="center"/>
              <w:rPr/>
            </w:pPr>
            <w:r>
              <w:rPr/>
              <w:t>Yes</w:t>
            </w:r>
          </w:p>
        </w:tc>
      </w:tr>
      <w:tr>
        <w:trPr/>
        <w:tc>
          <w:tcPr>
            <w:tcW w:w="4905" w:type="dxa"/>
            <w:tcBorders/>
            <w:shd w:fill="auto" w:val="clear"/>
            <w:vAlign w:val="center"/>
          </w:tcPr>
          <w:p>
            <w:pPr>
              <w:pStyle w:val="TableContents"/>
              <w:spacing w:before="0" w:after="283"/>
              <w:rPr/>
            </w:pPr>
            <w:r>
              <w:rPr/>
              <w:t>Disclosure Prohibited under Home Country Law:</w:t>
            </w:r>
          </w:p>
        </w:tc>
        <w:tc>
          <w:tcPr>
            <w:tcW w:w="60" w:type="dxa"/>
            <w:tcBorders/>
            <w:shd w:fill="auto" w:val="clear"/>
            <w:vAlign w:val="center"/>
          </w:tcPr>
          <w:p>
            <w:pPr>
              <w:pStyle w:val="TableContents"/>
              <w:spacing w:before="0" w:after="283"/>
              <w:rPr/>
            </w:pPr>
            <w:r>
              <w:rPr/>
              <w:t> </w:t>
            </w:r>
          </w:p>
        </w:tc>
        <w:tc>
          <w:tcPr>
            <w:tcW w:w="5240" w:type="dxa"/>
            <w:gridSpan w:val="7"/>
            <w:tcBorders/>
            <w:shd w:fill="auto" w:val="clear"/>
            <w:vAlign w:val="center"/>
          </w:tcPr>
          <w:p>
            <w:pPr>
              <w:pStyle w:val="TableContents"/>
              <w:spacing w:before="0" w:after="283"/>
              <w:jc w:val="center"/>
              <w:rPr/>
            </w:pPr>
            <w:r>
              <w:rPr/>
              <w:t>No</w:t>
            </w:r>
          </w:p>
        </w:tc>
      </w:tr>
      <w:tr>
        <w:trPr/>
        <w:tc>
          <w:tcPr>
            <w:tcW w:w="49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Number of Directors:</w:t>
            </w:r>
          </w:p>
        </w:tc>
        <w:tc>
          <w:tcPr>
            <w:tcW w:w="60" w:type="dxa"/>
            <w:tcBorders/>
            <w:shd w:fill="CCEEFF" w:val="clear"/>
            <w:vAlign w:val="center"/>
          </w:tcPr>
          <w:p>
            <w:pPr>
              <w:pStyle w:val="TableContents"/>
              <w:spacing w:before="0" w:after="283"/>
              <w:rPr/>
            </w:pPr>
            <w:r>
              <w:rPr/>
              <w:t> </w:t>
            </w:r>
          </w:p>
        </w:tc>
        <w:tc>
          <w:tcPr>
            <w:tcW w:w="5240" w:type="dxa"/>
            <w:gridSpan w:val="7"/>
            <w:tcBorders/>
            <w:shd w:fill="CCEEFF" w:val="clear"/>
            <w:vAlign w:val="center"/>
          </w:tcPr>
          <w:p>
            <w:pPr>
              <w:pStyle w:val="TableContents"/>
              <w:spacing w:before="0" w:after="283"/>
              <w:jc w:val="center"/>
              <w:rPr/>
            </w:pPr>
            <w:r>
              <w:rPr/>
              <w:t>7</w:t>
            </w:r>
          </w:p>
        </w:tc>
      </w:tr>
      <w:tr>
        <w:trPr/>
        <w:tc>
          <w:tcPr>
            <w:tcW w:w="10205" w:type="dxa"/>
            <w:gridSpan w:val="9"/>
            <w:tcBorders/>
            <w:shd w:fill="auto" w:val="clear"/>
            <w:vAlign w:val="center"/>
          </w:tcPr>
          <w:p>
            <w:pPr>
              <w:pStyle w:val="TableContents"/>
              <w:spacing w:before="0" w:after="283"/>
              <w:jc w:val="center"/>
              <w:rPr/>
            </w:pPr>
            <w:r>
              <w:rPr/>
              <w:t>                                        </w:t>
            </w:r>
            <w:r>
              <w:rPr>
                <w:b/>
              </w:rPr>
              <w:t>Part I: Gender Identity</w:t>
            </w:r>
          </w:p>
        </w:tc>
      </w:tr>
      <w:tr>
        <w:trPr/>
        <w:tc>
          <w:tcPr>
            <w:tcW w:w="490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center"/>
              <w:rPr>
                <w:b/>
              </w:rPr>
            </w:pPr>
            <w:r>
              <w:rPr>
                <w:b/>
              </w:rPr>
              <w:t>Female</w:t>
            </w:r>
          </w:p>
        </w:tc>
        <w:tc>
          <w:tcPr>
            <w:tcW w:w="60" w:type="dxa"/>
            <w:tcBorders/>
            <w:shd w:fill="CCEEFF" w:val="clear"/>
            <w:vAlign w:val="center"/>
          </w:tcPr>
          <w:p>
            <w:pPr>
              <w:pStyle w:val="TableContents"/>
              <w:spacing w:before="0" w:after="283"/>
              <w:rPr/>
            </w:pPr>
            <w:r>
              <w:rPr/>
              <w:t> </w:t>
            </w:r>
          </w:p>
        </w:tc>
        <w:tc>
          <w:tcPr>
            <w:tcW w:w="530" w:type="dxa"/>
            <w:tcBorders/>
            <w:shd w:fill="CCEEFF" w:val="clear"/>
            <w:vAlign w:val="center"/>
          </w:tcPr>
          <w:p>
            <w:pPr>
              <w:pStyle w:val="TableContents"/>
              <w:spacing w:before="0" w:after="283"/>
              <w:jc w:val="center"/>
              <w:rPr>
                <w:b/>
              </w:rPr>
            </w:pPr>
            <w:r>
              <w:rPr>
                <w:b/>
              </w:rPr>
              <w:t>Male</w:t>
            </w:r>
          </w:p>
        </w:tc>
        <w:tc>
          <w:tcPr>
            <w:tcW w:w="60" w:type="dxa"/>
            <w:tcBorders/>
            <w:shd w:fill="CCEEFF" w:val="clear"/>
            <w:vAlign w:val="center"/>
          </w:tcPr>
          <w:p>
            <w:pPr>
              <w:pStyle w:val="TableContents"/>
              <w:spacing w:before="0" w:after="283"/>
              <w:rPr/>
            </w:pPr>
            <w:r>
              <w:rPr/>
              <w:t> </w:t>
            </w:r>
          </w:p>
        </w:tc>
        <w:tc>
          <w:tcPr>
            <w:tcW w:w="1235" w:type="dxa"/>
            <w:tcBorders/>
            <w:shd w:fill="CCEEFF" w:val="clear"/>
            <w:vAlign w:val="center"/>
          </w:tcPr>
          <w:p>
            <w:pPr>
              <w:pStyle w:val="TableContents"/>
              <w:spacing w:before="0" w:after="283"/>
              <w:jc w:val="center"/>
              <w:rPr>
                <w:b/>
              </w:rPr>
            </w:pPr>
            <w:r>
              <w:rPr>
                <w:b/>
              </w:rPr>
              <w:t>Non-Binary</w:t>
            </w:r>
          </w:p>
        </w:tc>
        <w:tc>
          <w:tcPr>
            <w:tcW w:w="60" w:type="dxa"/>
            <w:tcBorders/>
            <w:shd w:fill="CCEEFF" w:val="clear"/>
            <w:vAlign w:val="center"/>
          </w:tcPr>
          <w:p>
            <w:pPr>
              <w:pStyle w:val="TableContents"/>
              <w:spacing w:before="0" w:after="283"/>
              <w:rPr/>
            </w:pPr>
            <w:r>
              <w:rPr/>
              <w:t> </w:t>
            </w:r>
          </w:p>
        </w:tc>
        <w:tc>
          <w:tcPr>
            <w:tcW w:w="2540" w:type="dxa"/>
            <w:tcBorders/>
            <w:shd w:fill="CCEEFF" w:val="clear"/>
            <w:vAlign w:val="center"/>
          </w:tcPr>
          <w:p>
            <w:pPr>
              <w:pStyle w:val="TableContents"/>
              <w:spacing w:before="0" w:after="283"/>
              <w:jc w:val="center"/>
              <w:rPr>
                <w:b/>
              </w:rPr>
            </w:pPr>
            <w:r>
              <w:rPr>
                <w:b/>
              </w:rPr>
              <w:t>Did Not Disclose Gender</w:t>
            </w:r>
          </w:p>
        </w:tc>
      </w:tr>
      <w:tr>
        <w:trPr/>
        <w:tc>
          <w:tcPr>
            <w:tcW w:w="4905" w:type="dxa"/>
            <w:tcBorders/>
            <w:shd w:fill="auto" w:val="clear"/>
            <w:vAlign w:val="center"/>
          </w:tcPr>
          <w:p>
            <w:pPr>
              <w:pStyle w:val="TableContents"/>
              <w:spacing w:before="0" w:after="283"/>
              <w:rPr/>
            </w:pPr>
            <w:r>
              <w:rPr/>
              <w:t>Directors</w:t>
            </w:r>
          </w:p>
        </w:tc>
        <w:tc>
          <w:tcPr>
            <w:tcW w:w="6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center"/>
              <w:rPr/>
            </w:pPr>
            <w:r>
              <w:rPr/>
              <w:t>1</w:t>
            </w:r>
          </w:p>
        </w:tc>
        <w:tc>
          <w:tcPr>
            <w:tcW w:w="6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jc w:val="center"/>
              <w:rPr/>
            </w:pPr>
            <w:r>
              <w:rPr/>
              <w:t>1</w:t>
            </w:r>
          </w:p>
        </w:tc>
        <w:tc>
          <w:tcPr>
            <w:tcW w:w="6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0</w:t>
            </w:r>
          </w:p>
        </w:tc>
        <w:tc>
          <w:tcPr>
            <w:tcW w:w="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jc w:val="center"/>
              <w:rPr/>
            </w:pPr>
            <w:r>
              <w:rPr/>
              <w:t>5</w:t>
            </w:r>
          </w:p>
        </w:tc>
      </w:tr>
      <w:tr>
        <w:trPr/>
        <w:tc>
          <w:tcPr>
            <w:tcW w:w="10205" w:type="dxa"/>
            <w:gridSpan w:val="9"/>
            <w:tcBorders/>
            <w:shd w:fill="auto" w:val="clear"/>
            <w:vAlign w:val="center"/>
          </w:tcPr>
          <w:p>
            <w:pPr>
              <w:pStyle w:val="TableContents"/>
              <w:spacing w:before="0" w:after="283"/>
              <w:jc w:val="center"/>
              <w:rPr/>
            </w:pPr>
            <w:r>
              <w:rPr/>
              <w:t>                                        </w:t>
            </w:r>
            <w:r>
              <w:rPr>
                <w:b/>
              </w:rPr>
              <w:t>Part II: Demographic Background</w:t>
            </w:r>
          </w:p>
        </w:tc>
      </w:tr>
      <w:tr>
        <w:trPr/>
        <w:tc>
          <w:tcPr>
            <w:tcW w:w="4905" w:type="dxa"/>
            <w:tcBorders/>
            <w:shd w:fill="CCEEFF" w:val="clear"/>
            <w:vAlign w:val="center"/>
          </w:tcPr>
          <w:p>
            <w:pPr>
              <w:pStyle w:val="TableContents"/>
              <w:spacing w:before="0" w:after="283"/>
              <w:rPr/>
            </w:pPr>
            <w:r>
              <w:rPr/>
              <w:t>Underrepresented Individual in Places of Principal Executive Offices</w:t>
            </w:r>
          </w:p>
        </w:tc>
        <w:tc>
          <w:tcPr>
            <w:tcW w:w="60" w:type="dxa"/>
            <w:tcBorders/>
            <w:shd w:fill="CCEEFF" w:val="clear"/>
            <w:vAlign w:val="center"/>
          </w:tcPr>
          <w:p>
            <w:pPr>
              <w:pStyle w:val="TableContents"/>
              <w:spacing w:before="0" w:after="283"/>
              <w:rPr/>
            </w:pPr>
            <w:r>
              <w:rPr/>
              <w:t> </w:t>
            </w:r>
          </w:p>
        </w:tc>
        <w:tc>
          <w:tcPr>
            <w:tcW w:w="5240" w:type="dxa"/>
            <w:gridSpan w:val="7"/>
            <w:tcBorders/>
            <w:shd w:fill="CCEEFF" w:val="clear"/>
            <w:vAlign w:val="center"/>
          </w:tcPr>
          <w:p>
            <w:pPr>
              <w:pStyle w:val="TableContents"/>
              <w:spacing w:before="0" w:after="283"/>
              <w:jc w:val="center"/>
              <w:rPr/>
            </w:pPr>
            <w:r>
              <w:rPr/>
              <w:t>0</w:t>
            </w:r>
          </w:p>
        </w:tc>
      </w:tr>
      <w:tr>
        <w:trPr/>
        <w:tc>
          <w:tcPr>
            <w:tcW w:w="49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LGBTQ+</w:t>
            </w:r>
          </w:p>
        </w:tc>
        <w:tc>
          <w:tcPr>
            <w:tcW w:w="60" w:type="dxa"/>
            <w:tcBorders/>
            <w:shd w:fill="auto" w:val="clear"/>
            <w:vAlign w:val="center"/>
          </w:tcPr>
          <w:p>
            <w:pPr>
              <w:pStyle w:val="TableContents"/>
              <w:spacing w:before="0" w:after="283"/>
              <w:rPr/>
            </w:pPr>
            <w:r>
              <w:rPr/>
              <w:t> </w:t>
            </w:r>
          </w:p>
        </w:tc>
        <w:tc>
          <w:tcPr>
            <w:tcW w:w="5240" w:type="dxa"/>
            <w:gridSpan w:val="7"/>
            <w:tcBorders/>
            <w:shd w:fill="auto" w:val="clear"/>
            <w:vAlign w:val="center"/>
          </w:tcPr>
          <w:p>
            <w:pPr>
              <w:pStyle w:val="TableContents"/>
              <w:spacing w:before="0" w:after="283"/>
              <w:jc w:val="center"/>
              <w:rPr/>
            </w:pPr>
            <w:r>
              <w:rPr/>
              <w:t>0</w:t>
            </w:r>
          </w:p>
        </w:tc>
      </w:tr>
      <w:tr>
        <w:trPr/>
        <w:tc>
          <w:tcPr>
            <w:tcW w:w="4905" w:type="dxa"/>
            <w:tcBorders/>
            <w:shd w:fill="CCEEFF" w:val="clear"/>
            <w:vAlign w:val="center"/>
          </w:tcPr>
          <w:p>
            <w:pPr>
              <w:pStyle w:val="TableContents"/>
              <w:spacing w:before="0" w:after="283"/>
              <w:rPr/>
            </w:pPr>
            <w:r>
              <w:rPr/>
              <w:t>Did Not Disclose Demographic Background</w:t>
            </w:r>
          </w:p>
        </w:tc>
        <w:tc>
          <w:tcPr>
            <w:tcW w:w="60" w:type="dxa"/>
            <w:tcBorders/>
            <w:shd w:fill="CCEEFF" w:val="clear"/>
            <w:vAlign w:val="center"/>
          </w:tcPr>
          <w:p>
            <w:pPr>
              <w:pStyle w:val="TableContents"/>
              <w:spacing w:before="0" w:after="283"/>
              <w:rPr/>
            </w:pPr>
            <w:r>
              <w:rPr/>
              <w:t> </w:t>
            </w:r>
          </w:p>
        </w:tc>
        <w:tc>
          <w:tcPr>
            <w:tcW w:w="5240" w:type="dxa"/>
            <w:gridSpan w:val="7"/>
            <w:tcBorders/>
            <w:shd w:fill="CCEEFF" w:val="clear"/>
            <w:vAlign w:val="center"/>
          </w:tcPr>
          <w:p>
            <w:pPr>
              <w:pStyle w:val="TableContents"/>
              <w:spacing w:before="0" w:after="283"/>
              <w:jc w:val="center"/>
              <w:rPr/>
            </w:pPr>
            <w:r>
              <w:rPr/>
              <w:t>5</w:t>
            </w:r>
          </w:p>
        </w:tc>
      </w:tr>
    </w:tbl>
    <w:p>
      <w:pPr>
        <w:pStyle w:val="TextBody"/>
        <w:spacing w:before="360" w:after="0"/>
        <w:jc w:val="left"/>
        <w:rPr>
          <w:rFonts w:ascii="Times New Roman" w:hAnsi="Times New Roman"/>
          <w:b/>
          <w:sz w:val="20"/>
        </w:rPr>
      </w:pPr>
      <w:r>
        <w:rPr>
          <w:rFonts w:ascii="Times New Roman" w:hAnsi="Times New Roman"/>
          <w:b/>
          <w:sz w:val="20"/>
        </w:rPr>
        <w:t xml:space="preserve">Executive Officers </w:t>
      </w:r>
    </w:p>
    <w:p>
      <w:pPr>
        <w:pStyle w:val="TextBody"/>
        <w:spacing w:before="12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Geoffrey Stuart Davis</w:t>
      </w:r>
      <w:r>
        <w:rPr>
          <w:rFonts w:ascii="Times New Roman" w:hAnsi="Times New Roman"/>
          <w:sz w:val="20"/>
        </w:rPr>
        <w:t xml:space="preserve"> is our executive vice president and chief financial officer and he was appointed to his current role in April 2011. Prior to that, he served as our deputy chief financial officer from August 2010 to March 2011 and our senior vice president, corporate finance since 2007, when he joined our Company. In addition, Mr. Davis has been the chief financial officer of Melco International since December 2017, the chief financial officer and a director of SCI since June 2019 and October 2018, respectively, and is also a director of a number of our subsidiaries. Prior to joining us, Mr. Davis was a research analyst for Citigroup Investment Research, where he covered the U.S. gaming industry from 2001 to 2007. From 1996 to 2000, he held a number of positions at Hilton Hotels Corporation and Park Place Entertainment. Mr. Davis has been a CFA charter holder since 2000 and obtained a bachelor of arts degree from Brown University.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Ms.</w:t>
      </w:r>
      <w:r>
        <w:rPr>
          <w:rFonts w:ascii="Times New Roman" w:hAnsi="Times New Roman"/>
          <w:sz w:val="20"/>
        </w:rPr>
        <w:t> </w:t>
      </w:r>
      <w:r>
        <w:rPr>
          <w:rFonts w:ascii="Times New Roman" w:hAnsi="Times New Roman"/>
          <w:b/>
          <w:i/>
          <w:sz w:val="20"/>
        </w:rPr>
        <w:t>Stephanie Cheung</w:t>
      </w:r>
      <w:r>
        <w:rPr>
          <w:rFonts w:ascii="Times New Roman" w:hAnsi="Times New Roman"/>
          <w:sz w:val="20"/>
        </w:rPr>
        <w:t xml:space="preserve"> is our executive vice president and chief legal officer and she was appointed to her current role in December 2008. Prior to that, she held the title of general counsel from November 2006, when she joined our Company. She has acted as the secretary to our board since she joined our Company. In addition, Ms. Cheung has been a director of SCI since October 2018. Prior to joining us, Ms. Cheung practiced law with various international law firms in Hong Kong, Singapore and Toronto. Ms. Cheung graduated with a bachelor of laws degree from Osgoode Hall Law School and a master’s degree in business administration from York University. Ms. Cheung is admitted as a solicitor in Ontario, Canada, England and Wales, and Hong Kong and is a member of the Hong Kong Institute of Directors and a fellow of Salzburg Global. </w:t>
      </w:r>
    </w:p>
    <w:p>
      <w:pPr>
        <w:pStyle w:val="TextBody"/>
        <w:spacing w:before="240" w:after="0"/>
        <w:jc w:val="left"/>
        <w:rPr>
          <w:rFonts w:ascii="Times New Roman" w:hAnsi="Times New Roman"/>
          <w:sz w:val="20"/>
        </w:rPr>
      </w:pPr>
      <w:r>
        <w:rPr>
          <w:rFonts w:ascii="Times New Roman" w:hAnsi="Times New Roman"/>
          <w:b/>
          <w:i/>
          <w:sz w:val="20"/>
        </w:rPr>
        <w:t>Ms.</w:t>
      </w:r>
      <w:r>
        <w:rPr>
          <w:rFonts w:ascii="Times New Roman" w:hAnsi="Times New Roman"/>
          <w:sz w:val="20"/>
        </w:rPr>
        <w:t> </w:t>
      </w:r>
      <w:r>
        <w:rPr>
          <w:rFonts w:ascii="Times New Roman" w:hAnsi="Times New Roman"/>
          <w:b/>
          <w:i/>
          <w:sz w:val="20"/>
        </w:rPr>
        <w:t>Akiko Takahashi</w:t>
      </w:r>
      <w:r>
        <w:rPr>
          <w:rFonts w:ascii="Times New Roman" w:hAnsi="Times New Roman"/>
          <w:sz w:val="20"/>
        </w:rPr>
        <w:t xml:space="preserve"> is our executive vice president and chief of staff to chairman and chief executive officer, and was appointed to this role in June 2019. Ms. Takahashi is also a director of Studio City International Holdings Limited, a subsidiary of the Company whose ADSs have been listed on the New York Stock Exchange since October 2018. Prior to her present roles, she was the Company’s executive vice president and chief officer, human resources/corporate social responsibility from December 2008 and held the title of group human resources director from December 2006, when she joined our Company. Prior to joining us, Ms. Takahashi worked as a consultant in her own consultancy company from 2003 to 2006 where she conducted “C-level” executive searches for clients and assisted with brand/service culture alignment for a luxury hotel in New York City and where her last engagement prior to joining our Company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She started her hospitality career as a training manager for Halekulani Hotel. She began her career in the fashion luxury retail industry in merchandising, operations, training and human resources. Ms. Takahashi attended the University of Hawaii. </w:t>
      </w:r>
    </w:p>
    <w:p>
      <w:pPr>
        <w:pStyle w:val="TextBody"/>
        <w:spacing w:before="360" w:after="0"/>
        <w:jc w:val="left"/>
        <w:rPr>
          <w:rFonts w:ascii="Times New Roman" w:hAnsi="Times New Roman"/>
          <w:b/>
          <w:sz w:val="20"/>
        </w:rPr>
      </w:pPr>
      <w:r>
        <w:rPr>
          <w:rFonts w:ascii="Times New Roman" w:hAnsi="Times New Roman"/>
          <w:b/>
          <w:sz w:val="20"/>
        </w:rPr>
        <w:t xml:space="preserve">Management Structure </w:t>
      </w:r>
    </w:p>
    <w:p>
      <w:pPr>
        <w:pStyle w:val="TextBody"/>
        <w:spacing w:before="120" w:after="0"/>
        <w:jc w:val="left"/>
        <w:rPr>
          <w:rFonts w:ascii="Times New Roman" w:hAnsi="Times New Roman"/>
          <w:sz w:val="20"/>
        </w:rPr>
      </w:pPr>
      <w:r>
        <w:rPr>
          <w:rFonts w:ascii="Times New Roman" w:hAnsi="Times New Roman"/>
          <w:sz w:val="20"/>
        </w:rPr>
        <w:t xml:space="preserve">Mr. Ho, our chairman and chief executive officer, is responsible for the day-to-day operational leadership of our Company. Our management structure includes an executive committee which is composed of our executive officers and other senior executives including chief operating officers, property president, executive vice presidents and other business unit leaders and is responsible for formulating business strategies and considering day-to-day operational matters. On September 4, 2019, Mr. Evan Andrew Winkler, a board member of the Company, was appointed as President of the Company. Prior to September 4, 2019, all of our executive officers and senior executives reported directly to Mr. Ho. Upon Mr. Winkler’s appointment as President of the Company, he assumed responsibility for the Company’s day-to-day operational matters globally and the Company’s operational departments, chief operating officers and property president commenced reporting directly to Mr. Winkler while our executive officers and a few other senior executives, together with Mr. Winkler himself, continued to report directly to Mr. Ho. </w:t>
      </w:r>
    </w:p>
    <w:p>
      <w:pPr>
        <w:pStyle w:val="TextBody"/>
        <w:spacing w:before="480" w:after="0"/>
        <w:jc w:val="center"/>
        <w:rPr>
          <w:rFonts w:ascii="Times New Roman" w:hAnsi="Times New Roman"/>
          <w:b/>
          <w:sz w:val="20"/>
        </w:rPr>
      </w:pPr>
      <w:bookmarkStart w:id="29" w:name="rom396630_26"/>
      <w:bookmarkEnd w:id="29"/>
      <w:r>
        <w:rPr>
          <w:rFonts w:ascii="Times New Roman" w:hAnsi="Times New Roman"/>
          <w:b/>
          <w:sz w:val="20"/>
        </w:rPr>
        <w:t xml:space="preserve">B. COMPENSATION OF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Our directors and executive officers receive compensation in the form of salaries, discretionary bonuses, equity awards, contributions to pension schemes and other benefits. The aggregate amount of compensation paid, and benefits in kind granted, including contingent or deferred compensation accrued for the year, to all the directors and executive officers of our Company as a group, amounted to approximately US$42.2 million for the year ended December 31, 2022. </w:t>
      </w:r>
    </w:p>
    <w:p>
      <w:pPr>
        <w:pStyle w:val="TextBody"/>
        <w:spacing w:before="360" w:after="0"/>
        <w:jc w:val="left"/>
        <w:rPr>
          <w:rFonts w:ascii="Times New Roman" w:hAnsi="Times New Roman"/>
          <w:b/>
          <w:sz w:val="20"/>
        </w:rPr>
      </w:pPr>
      <w:r>
        <w:rPr>
          <w:rFonts w:ascii="Times New Roman" w:hAnsi="Times New Roman"/>
          <w:b/>
          <w:sz w:val="20"/>
        </w:rPr>
        <w:t xml:space="preserve">Bonus Plan </w:t>
      </w:r>
    </w:p>
    <w:p>
      <w:pPr>
        <w:pStyle w:val="TextBody"/>
        <w:spacing w:before="120" w:after="0"/>
        <w:jc w:val="left"/>
        <w:rPr>
          <w:rFonts w:ascii="Times New Roman" w:hAnsi="Times New Roman"/>
          <w:sz w:val="20"/>
        </w:rPr>
      </w:pPr>
      <w:r>
        <w:rPr>
          <w:rFonts w:ascii="Times New Roman" w:hAnsi="Times New Roman"/>
          <w:sz w:val="20"/>
        </w:rPr>
        <w:t xml:space="preserve">We offer our management employees, including senior executive officers, the ability to participate in our Company’s discretionary annual bonus plan. As part of this plan, employees may receive compensation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addition to their base salary upon satisfactory achievement of certain financial, strategic and individual objectives. Directors, other than Mr. Lawrence Ho, who participates in his capacity as our chief executive officer, and Mr. Evan Winkler, who participates in his capacity as our president, are excluded from this plan. The discretionary annual bonus plan is administered at the sole discretion of our Company and our compensation committee. </w:t>
      </w:r>
    </w:p>
    <w:p>
      <w:pPr>
        <w:pStyle w:val="TextBody"/>
        <w:spacing w:before="360" w:after="0"/>
        <w:jc w:val="left"/>
        <w:rPr>
          <w:rFonts w:ascii="Times New Roman" w:hAnsi="Times New Roman"/>
          <w:b/>
          <w:sz w:val="20"/>
        </w:rPr>
      </w:pPr>
      <w:r>
        <w:rPr>
          <w:rFonts w:ascii="Times New Roman" w:hAnsi="Times New Roman"/>
          <w:b/>
          <w:sz w:val="20"/>
        </w:rPr>
        <w:t xml:space="preserve">Equity Awards </w:t>
      </w:r>
    </w:p>
    <w:p>
      <w:pPr>
        <w:pStyle w:val="TextBody"/>
        <w:spacing w:before="120" w:after="0"/>
        <w:jc w:val="left"/>
        <w:rPr>
          <w:rFonts w:ascii="Times New Roman" w:hAnsi="Times New Roman"/>
          <w:sz w:val="20"/>
        </w:rPr>
      </w:pPr>
      <w:r>
        <w:rPr>
          <w:rFonts w:ascii="Times New Roman" w:hAnsi="Times New Roman"/>
          <w:sz w:val="20"/>
        </w:rPr>
        <w:t xml:space="preserve">On April 6, 2022, we granted share options to acquire 1,304,199 of our ordinary shares pursuant to our 2021 Share Incentive Plan to directors and executive officers of our Company with an exercise price of US$2.4667 per share and 9,280,173 restricted shares with grant date fair value (closing price of the grant date) of US$2.4667 per share. The options expire ten years from the date of grant. </w:t>
      </w:r>
    </w:p>
    <w:p>
      <w:pPr>
        <w:pStyle w:val="TextBody"/>
        <w:spacing w:before="240" w:after="0"/>
        <w:jc w:val="left"/>
        <w:rPr>
          <w:rFonts w:ascii="Times New Roman" w:hAnsi="Times New Roman"/>
          <w:sz w:val="20"/>
        </w:rPr>
      </w:pPr>
      <w:r>
        <w:rPr>
          <w:rFonts w:ascii="Times New Roman" w:hAnsi="Times New Roman"/>
          <w:sz w:val="20"/>
        </w:rPr>
        <w:t xml:space="preserve">On September 6, 2022, we granted 2,976,192 restricted shares pursuant to our 2021 Share Incentive Plan to directors and executive officers of our Company. The grant date fair value of the restricted shares granted (closing price of the grant date) was US$1.68 per share. </w:t>
      </w:r>
    </w:p>
    <w:p>
      <w:pPr>
        <w:pStyle w:val="TextBody"/>
        <w:spacing w:before="360" w:after="0"/>
        <w:jc w:val="left"/>
        <w:rPr>
          <w:rFonts w:ascii="Times New Roman" w:hAnsi="Times New Roman"/>
          <w:b/>
          <w:sz w:val="20"/>
        </w:rPr>
      </w:pPr>
      <w:r>
        <w:rPr>
          <w:rFonts w:ascii="Times New Roman" w:hAnsi="Times New Roman"/>
          <w:b/>
          <w:sz w:val="20"/>
        </w:rPr>
        <w:t xml:space="preserve">Option Exchange Program </w:t>
      </w:r>
    </w:p>
    <w:p>
      <w:pPr>
        <w:pStyle w:val="TextBody"/>
        <w:spacing w:before="120" w:after="0"/>
        <w:jc w:val="left"/>
        <w:rPr>
          <w:rFonts w:ascii="Times New Roman" w:hAnsi="Times New Roman"/>
          <w:sz w:val="20"/>
        </w:rPr>
      </w:pPr>
      <w:r>
        <w:rPr>
          <w:rFonts w:ascii="Times New Roman" w:hAnsi="Times New Roman"/>
          <w:sz w:val="20"/>
        </w:rPr>
        <w:t xml:space="preserve">On April 6, 2022, we launched an option exchange program, offering eligible officers, employees and service providers who have been granted share options under our 2011 Share Incentive Plan to purchase our ordinary shares, par value US$0.01 per share, the opportunity to exchange eligible options, whether vested or unvested, for restricted ordinary shares. A limited number of designated option holders were also eligible to receive awards of restricted shares, new share options (“New Options”) or a combination of restricted shares and New Options. </w:t>
      </w:r>
    </w:p>
    <w:p>
      <w:pPr>
        <w:pStyle w:val="TextBody"/>
        <w:spacing w:before="240" w:after="0"/>
        <w:jc w:val="left"/>
        <w:rPr>
          <w:rFonts w:ascii="Times New Roman" w:hAnsi="Times New Roman"/>
          <w:sz w:val="20"/>
        </w:rPr>
      </w:pPr>
      <w:r>
        <w:rPr>
          <w:rFonts w:ascii="Times New Roman" w:hAnsi="Times New Roman"/>
          <w:sz w:val="20"/>
        </w:rPr>
        <w:t xml:space="preserve">The restricted shares and New Options under the option exchange program were to vest as follows: (1) 50% of the restricted shares and New Options were to vest on April 6, 2023, which is the first anniversary of the date of grant, and (2) the remaining 50% of the restricted shares and New Options were to vest on the second anniversary of the date of grant. Until the restricted shares and New Options vest, they remain subject to forfeiture if the relevant personnel’s employment or service with our Company or our parent or subsidiaries, as applicable, terminates prior to the vesting date. All unvested restricted shares were also subject to restrictions on transfer. If and when the restricted shares vest, they will be free of forfeiture conditions and restrictions on transfer, other than required tax withholding and compliance with applicable securities laws, our securities trading policies and any other legal requirements. All restricted shares and New Options are subject to the terms of the 2021 Share Incentive Plan and the applicable award agreement between the relevant personnel and our Company. </w:t>
      </w:r>
    </w:p>
    <w:p>
      <w:pPr>
        <w:pStyle w:val="TextBody"/>
        <w:spacing w:before="240" w:after="0"/>
        <w:jc w:val="left"/>
        <w:rPr>
          <w:rFonts w:ascii="Times New Roman" w:hAnsi="Times New Roman"/>
          <w:sz w:val="20"/>
        </w:rPr>
      </w:pPr>
      <w:r>
        <w:rPr>
          <w:rFonts w:ascii="Times New Roman" w:hAnsi="Times New Roman"/>
          <w:sz w:val="20"/>
        </w:rPr>
        <w:t xml:space="preserve">A total of 5,912,547 restricted shares and 2,486,241 New Options were granted to employees under the program, none of which have vested yet. </w:t>
      </w:r>
    </w:p>
    <w:p>
      <w:pPr>
        <w:pStyle w:val="TextBody"/>
        <w:spacing w:before="360" w:after="0"/>
        <w:jc w:val="left"/>
        <w:rPr>
          <w:rFonts w:ascii="Times New Roman" w:hAnsi="Times New Roman"/>
          <w:b/>
          <w:sz w:val="20"/>
        </w:rPr>
      </w:pPr>
      <w:r>
        <w:rPr>
          <w:rFonts w:ascii="Times New Roman" w:hAnsi="Times New Roman"/>
          <w:b/>
          <w:sz w:val="20"/>
        </w:rPr>
        <w:t xml:space="preserve">Pension, Retirement or Similar Benefits </w:t>
      </w:r>
    </w:p>
    <w:p>
      <w:pPr>
        <w:pStyle w:val="TextBody"/>
        <w:spacing w:before="120" w:after="0"/>
        <w:jc w:val="left"/>
        <w:rPr>
          <w:rFonts w:ascii="Times New Roman" w:hAnsi="Times New Roman"/>
          <w:sz w:val="20"/>
        </w:rPr>
      </w:pPr>
      <w:r>
        <w:rPr>
          <w:rFonts w:ascii="Times New Roman" w:hAnsi="Times New Roman"/>
          <w:sz w:val="20"/>
        </w:rPr>
        <w:t xml:space="preserve">For the year ended December 31, 2022, we set aside or accrued approximately US$0.2 million to provide pension, retirement or similar benefits to our senior executive officers. Our directors, other than Mr. Lawrence Ho who participates in his capacity as our chief executive officer, do not participate in such schemes. </w:t>
      </w:r>
    </w:p>
    <w:p>
      <w:pPr>
        <w:pStyle w:val="TextBody"/>
        <w:spacing w:before="480" w:after="0"/>
        <w:jc w:val="center"/>
        <w:rPr>
          <w:rFonts w:ascii="Times New Roman" w:hAnsi="Times New Roman"/>
          <w:b/>
          <w:sz w:val="20"/>
        </w:rPr>
      </w:pPr>
      <w:bookmarkStart w:id="30" w:name="rom396630_27"/>
      <w:bookmarkEnd w:id="30"/>
      <w:r>
        <w:rPr>
          <w:rFonts w:ascii="Times New Roman" w:hAnsi="Times New Roman"/>
          <w:b/>
          <w:sz w:val="20"/>
        </w:rPr>
        <w:t xml:space="preserve">C. BOARD PRACTICES </w:t>
      </w:r>
    </w:p>
    <w:p>
      <w:pPr>
        <w:pStyle w:val="TextBody"/>
        <w:spacing w:before="240" w:after="0"/>
        <w:jc w:val="left"/>
        <w:rPr>
          <w:rFonts w:ascii="Times New Roman" w:hAnsi="Times New Roman"/>
          <w:b/>
          <w:sz w:val="20"/>
        </w:rPr>
      </w:pPr>
      <w:r>
        <w:rPr>
          <w:rFonts w:ascii="Times New Roman" w:hAnsi="Times New Roman"/>
          <w:b/>
          <w:sz w:val="20"/>
        </w:rPr>
        <w:t xml:space="preserve">Composition of Board of Directors </w:t>
      </w:r>
    </w:p>
    <w:p>
      <w:pPr>
        <w:pStyle w:val="TextBody"/>
        <w:spacing w:before="120" w:after="0"/>
        <w:jc w:val="left"/>
        <w:rPr>
          <w:rFonts w:ascii="Times New Roman" w:hAnsi="Times New Roman"/>
          <w:sz w:val="20"/>
        </w:rPr>
      </w:pPr>
      <w:r>
        <w:rPr>
          <w:rFonts w:ascii="Times New Roman" w:hAnsi="Times New Roman"/>
          <w:sz w:val="20"/>
        </w:rPr>
        <w:t xml:space="preserve">Our board consists of seven directors, including three directors nominated by Melco International and four independent directors. Nasdaq Stock Market Rule 5605(b)(1) generally requires that a majority of 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issuer’s board of directors must consist of independent directors. However, Nasdaq Stock Market Rule 5615(a)(3) permits foreign private issuers like us to follow “home country practice” in certain corporate governance matters. Walkers (Hong Kong), our Cayman Islands counsel, has provided a letter to Nasdaq certifying that under the Companies Act (as amended) of the Cayman Islands, we are not required to have a majority of independent directors serving on our board. Since September 5, 2018, we have had a majority of independent directors serving on our board. Prior to that, we relied on this “home country practice” exception. </w:t>
      </w:r>
    </w:p>
    <w:p>
      <w:pPr>
        <w:pStyle w:val="TextBody"/>
        <w:spacing w:before="360" w:after="0"/>
        <w:jc w:val="left"/>
        <w:rPr>
          <w:rFonts w:ascii="Times New Roman" w:hAnsi="Times New Roman"/>
          <w:b/>
          <w:sz w:val="20"/>
        </w:rPr>
      </w:pPr>
      <w:r>
        <w:rPr>
          <w:rFonts w:ascii="Times New Roman" w:hAnsi="Times New Roman"/>
          <w:b/>
          <w:sz w:val="20"/>
        </w:rPr>
        <w:t xml:space="preserve">Duties of Directors </w:t>
      </w:r>
    </w:p>
    <w:p>
      <w:pPr>
        <w:pStyle w:val="TextBody"/>
        <w:spacing w:before="120" w:after="0"/>
        <w:jc w:val="left"/>
        <w:rPr>
          <w:rFonts w:ascii="Times New Roman" w:hAnsi="Times New Roman"/>
          <w:sz w:val="20"/>
        </w:rPr>
      </w:pPr>
      <w:r>
        <w:rPr>
          <w:rFonts w:ascii="Times New Roman" w:hAnsi="Times New Roman"/>
          <w:sz w:val="20"/>
        </w:rPr>
        <w:t xml:space="preserve">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 individual shareholder or we, as the Company, have (as applicable) the right to seek damages if a duty owed by our directors is breached. </w:t>
      </w:r>
    </w:p>
    <w:p>
      <w:pPr>
        <w:pStyle w:val="TextBody"/>
        <w:spacing w:before="240" w:after="0"/>
        <w:jc w:val="left"/>
        <w:rPr>
          <w:rFonts w:ascii="Times New Roman" w:hAnsi="Times New Roman"/>
          <w:sz w:val="20"/>
        </w:rPr>
      </w:pPr>
      <w:r>
        <w:rPr>
          <w:rFonts w:ascii="Times New Roman" w:hAnsi="Times New Roman"/>
          <w:sz w:val="20"/>
        </w:rPr>
        <w:t xml:space="preserve">The functions and powers of our board include, among others: </w:t>
      </w:r>
    </w:p>
    <w:p>
      <w:pPr>
        <w:pStyle w:val="TextBody"/>
        <w:spacing w:before="0" w:after="0"/>
        <w:jc w:val="left"/>
        <w:rPr/>
      </w:pPr>
      <w:r>
        <w:rPr/>
        <w:t> </w:t>
      </w:r>
    </w:p>
    <w:tbl>
      <w:tblPr>
        <w:tblW w:w="8905" w:type="dxa"/>
        <w:jc w:val="left"/>
        <w:tblInd w:w="0" w:type="dxa"/>
        <w:tblCellMar>
          <w:top w:w="0" w:type="dxa"/>
          <w:left w:w="0" w:type="dxa"/>
          <w:bottom w:w="0" w:type="dxa"/>
          <w:right w:w="0" w:type="dxa"/>
        </w:tblCellMar>
      </w:tblPr>
      <w:tblGrid>
        <w:gridCol w:w="75"/>
        <w:gridCol w:w="110"/>
        <w:gridCol w:w="6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convening shareholders’ annual general meetings and reporting its work to shareholders at such meetings; </w:t>
            </w:r>
          </w:p>
        </w:tc>
      </w:tr>
    </w:tbl>
    <w:p>
      <w:pPr>
        <w:pStyle w:val="TextBody"/>
        <w:spacing w:before="0" w:after="0"/>
        <w:jc w:val="left"/>
        <w:rPr/>
      </w:pPr>
      <w:r>
        <w:rPr/>
        <w:t> </w:t>
      </w:r>
    </w:p>
    <w:tbl>
      <w:tblPr>
        <w:tblW w:w="3430" w:type="dxa"/>
        <w:jc w:val="left"/>
        <w:tblInd w:w="0" w:type="dxa"/>
        <w:tblCellMar>
          <w:top w:w="0" w:type="dxa"/>
          <w:left w:w="0" w:type="dxa"/>
          <w:bottom w:w="0" w:type="dxa"/>
          <w:right w:w="0" w:type="dxa"/>
        </w:tblCellMar>
      </w:tblPr>
      <w:tblGrid>
        <w:gridCol w:w="75"/>
        <w:gridCol w:w="110"/>
        <w:gridCol w:w="60"/>
        <w:gridCol w:w="3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declaring dividends and distributions; </w:t>
            </w:r>
          </w:p>
        </w:tc>
      </w:tr>
    </w:tbl>
    <w:p>
      <w:pPr>
        <w:pStyle w:val="TextBody"/>
        <w:spacing w:before="0" w:after="0"/>
        <w:jc w:val="left"/>
        <w:rPr/>
      </w:pPr>
      <w:r>
        <w:rPr/>
        <w:t> </w:t>
      </w:r>
    </w:p>
    <w:tbl>
      <w:tblPr>
        <w:tblW w:w="5590" w:type="dxa"/>
        <w:jc w:val="left"/>
        <w:tblInd w:w="0" w:type="dxa"/>
        <w:tblCellMar>
          <w:top w:w="0" w:type="dxa"/>
          <w:left w:w="0" w:type="dxa"/>
          <w:bottom w:w="0" w:type="dxa"/>
          <w:right w:w="0" w:type="dxa"/>
        </w:tblCellMar>
      </w:tblPr>
      <w:tblGrid>
        <w:gridCol w:w="75"/>
        <w:gridCol w:w="110"/>
        <w:gridCol w:w="60"/>
        <w:gridCol w:w="5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appointing officers and determining the term of office of officers; </w:t>
            </w:r>
          </w:p>
        </w:tc>
      </w:tr>
    </w:tbl>
    <w:p>
      <w:pPr>
        <w:pStyle w:val="TextBody"/>
        <w:spacing w:before="0" w:after="0"/>
        <w:jc w:val="left"/>
        <w:rPr/>
      </w:pPr>
      <w:r>
        <w:rPr/>
        <w:t> </w:t>
      </w:r>
    </w:p>
    <w:tbl>
      <w:tblPr>
        <w:tblW w:w="8470" w:type="dxa"/>
        <w:jc w:val="left"/>
        <w:tblInd w:w="0" w:type="dxa"/>
        <w:tblCellMar>
          <w:top w:w="0" w:type="dxa"/>
          <w:left w:w="0" w:type="dxa"/>
          <w:bottom w:w="0" w:type="dxa"/>
          <w:right w:w="0" w:type="dxa"/>
        </w:tblCellMar>
      </w:tblPr>
      <w:tblGrid>
        <w:gridCol w:w="75"/>
        <w:gridCol w:w="110"/>
        <w:gridCol w:w="60"/>
        <w:gridCol w:w="8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exercising the borrowing powers of our Company and mortgaging the property of our Company; and </w:t>
            </w:r>
          </w:p>
        </w:tc>
      </w:tr>
    </w:tbl>
    <w:p>
      <w:pPr>
        <w:pStyle w:val="TextBody"/>
        <w:spacing w:before="0" w:after="0"/>
        <w:jc w:val="left"/>
        <w:rPr/>
      </w:pPr>
      <w:r>
        <w:rPr/>
        <w:t> </w:t>
      </w:r>
    </w:p>
    <w:tbl>
      <w:tblPr>
        <w:tblW w:w="9175" w:type="dxa"/>
        <w:jc w:val="left"/>
        <w:tblInd w:w="0" w:type="dxa"/>
        <w:tblCellMar>
          <w:top w:w="0" w:type="dxa"/>
          <w:left w:w="0" w:type="dxa"/>
          <w:bottom w:w="0" w:type="dxa"/>
          <w:right w:w="0" w:type="dxa"/>
        </w:tblCellMar>
      </w:tblPr>
      <w:tblGrid>
        <w:gridCol w:w="75"/>
        <w:gridCol w:w="110"/>
        <w:gridCol w:w="60"/>
        <w:gridCol w:w="89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the transfer of shares of our Company, including the registering of such shares in our share register. </w:t>
            </w:r>
          </w:p>
        </w:tc>
      </w:tr>
    </w:tbl>
    <w:p>
      <w:pPr>
        <w:pStyle w:val="TextBody"/>
        <w:spacing w:before="360" w:after="0"/>
        <w:jc w:val="left"/>
        <w:rPr>
          <w:rFonts w:ascii="Times New Roman" w:hAnsi="Times New Roman"/>
          <w:b/>
          <w:sz w:val="20"/>
        </w:rPr>
      </w:pPr>
      <w:r>
        <w:rPr>
          <w:rFonts w:ascii="Times New Roman" w:hAnsi="Times New Roman"/>
          <w:b/>
          <w:sz w:val="20"/>
        </w:rPr>
        <w:t xml:space="preserve">Terms of Directors and Executive Officers </w:t>
      </w:r>
    </w:p>
    <w:p>
      <w:pPr>
        <w:pStyle w:val="TextBody"/>
        <w:spacing w:before="120" w:after="0"/>
        <w:jc w:val="left"/>
        <w:rPr>
          <w:rFonts w:ascii="Times New Roman" w:hAnsi="Times New Roman"/>
          <w:sz w:val="20"/>
        </w:rPr>
      </w:pPr>
      <w:r>
        <w:rPr>
          <w:rFonts w:ascii="Times New Roman" w:hAnsi="Times New Roman"/>
          <w:sz w:val="20"/>
        </w:rPr>
        <w:t xml:space="preserve">Our officers are elected by and serve at the discretion of the board. Our directors are not subject to a term of office and hold office until such time as they resign, are removed from office by special resolution or by a majority of the directors, or otherwise vacate their office in accordance with our articles of association. A director will vacate office automatically if, among other things, the director (i) becomes bankrupt or makes any arrangement or composition with his creditors; or (ii) dies or is found by a court to be of unsound mind. In addition, none of the service agreements between us and our directors provide benefits upon termination of their service. </w:t>
      </w:r>
    </w:p>
    <w:p>
      <w:pPr>
        <w:pStyle w:val="TextBody"/>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spacing w:before="120" w:after="0"/>
        <w:jc w:val="left"/>
        <w:rPr>
          <w:rFonts w:ascii="Times New Roman" w:hAnsi="Times New Roman"/>
          <w:sz w:val="20"/>
        </w:rPr>
      </w:pPr>
      <w:r>
        <w:rPr>
          <w:rFonts w:ascii="Times New Roman" w:hAnsi="Times New Roman"/>
          <w:sz w:val="20"/>
        </w:rPr>
        <w:t xml:space="preserve">Our board established an audit committee, a compensation committee and a nominating and corporate governance committee in December 2006. Our audit committee was renamed our audit and risk committee on August 3, 2016. Each committee has its defined scope of duties and terms of reference within its own charter, which empowers the committee members to make decisions on certain matters. The charters of these board committees were adopted by our board on November 28, 2006 and have been amended and restated on several occasions, with the latest version of the compensation committee charter and the audit and risk committee charter each amended on December 3, 2021 and the nominating and corporate governance committee charter amended on December 16, 2022. These charters are found on our website. Each of these committees consists entirely of directors whom our board has determined to be independent under the “independence” requirements of the Nasdaq corporate governance rules. The current membership of these three committees and summary of its respective charter are provided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Audit and Risk Committee </w:t>
      </w:r>
    </w:p>
    <w:p>
      <w:pPr>
        <w:pStyle w:val="TextBody"/>
        <w:spacing w:before="120" w:after="0"/>
        <w:jc w:val="left"/>
        <w:rPr>
          <w:rFonts w:ascii="Times New Roman" w:hAnsi="Times New Roman"/>
          <w:sz w:val="20"/>
        </w:rPr>
      </w:pPr>
      <w:r>
        <w:rPr>
          <w:rFonts w:ascii="Times New Roman" w:hAnsi="Times New Roman"/>
          <w:sz w:val="20"/>
        </w:rPr>
        <w:t xml:space="preserve">Our audit and risk committee consists of Messrs. Thomas Jefferson Wu, Alec Yiu Wa Tsui, John William Crawford and Ms. Francesca Galante, and is chaired by Mr. Crawford. Each of the committee members satisfies the “independence” requirements of Rule 10A-3 under the Securities Exchange Act of 1934, or the Exchange Act. We believe that Mr. Crawford qualifies as an “audit committee financial expert” as defined in Item 16A of Form 20-F. On September 13, 2019, Mr. Crawford was appointed as an independent non-executive director of Melco International, our parent company and a related party. Since his appointment to the Melco International board, Mr. Crawford has not participated in, or voted on or consented to, any actions or matters being considered by our audit and risk committee which involved any related party transaction with Melco International. The purpose of the committee is to assist our board in overseeing and monitoring: </w:t>
      </w:r>
    </w:p>
    <w:p>
      <w:pPr>
        <w:pStyle w:val="TextBody"/>
        <w:spacing w:before="0" w:after="0"/>
        <w:jc w:val="left"/>
        <w:rPr/>
      </w:pPr>
      <w:r>
        <w:rPr/>
        <w:t> </w:t>
      </w:r>
    </w:p>
    <w:tbl>
      <w:tblPr>
        <w:tblW w:w="4720" w:type="dxa"/>
        <w:jc w:val="left"/>
        <w:tblInd w:w="0" w:type="dxa"/>
        <w:tblCellMar>
          <w:top w:w="0" w:type="dxa"/>
          <w:left w:w="0" w:type="dxa"/>
          <w:bottom w:w="0" w:type="dxa"/>
          <w:right w:w="0" w:type="dxa"/>
        </w:tblCellMar>
      </w:tblPr>
      <w:tblGrid>
        <w:gridCol w:w="75"/>
        <w:gridCol w:w="110"/>
        <w:gridCol w:w="60"/>
        <w:gridCol w:w="4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4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audits of the financial statements of our Company; </w:t>
            </w:r>
          </w:p>
        </w:tc>
      </w:tr>
    </w:tbl>
    <w:p>
      <w:pPr>
        <w:pStyle w:val="TextBody"/>
        <w:spacing w:before="0" w:after="0"/>
        <w:jc w:val="left"/>
        <w:rPr/>
      </w:pPr>
      <w:r>
        <w:rPr/>
        <w:t> </w:t>
      </w:r>
    </w:p>
    <w:tbl>
      <w:tblPr>
        <w:tblW w:w="5635" w:type="dxa"/>
        <w:jc w:val="left"/>
        <w:tblInd w:w="0" w:type="dxa"/>
        <w:tblCellMar>
          <w:top w:w="0" w:type="dxa"/>
          <w:left w:w="0" w:type="dxa"/>
          <w:bottom w:w="0" w:type="dxa"/>
          <w:right w:w="0" w:type="dxa"/>
        </w:tblCellMar>
      </w:tblPr>
      <w:tblGrid>
        <w:gridCol w:w="75"/>
        <w:gridCol w:w="110"/>
        <w:gridCol w:w="60"/>
        <w:gridCol w:w="53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qualifications and independence of our independent auditors; </w:t>
            </w:r>
          </w:p>
        </w:tc>
      </w:tr>
    </w:tbl>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75"/>
        <w:gridCol w:w="110"/>
        <w:gridCol w:w="60"/>
        <w:gridCol w:w="37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performance of our independent auditors;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accounting and financial reporting processes of our Company and the integrity of our systems of internal accounting and financial controls;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legal and regulatory issues relating to the financial statements of our Company, including the oversight of the independent auditor, the review of the financial statements and related material, the internal audit process and the procedure for receiving complaints regarding accounting, internal accounting controls, auditing or other related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disclosure, in accordance with our relevant policies, of any material information regarding the quality or integrity of our financial statements, which is brought to its attention by our disclosure committee; </w:t>
            </w:r>
          </w:p>
        </w:tc>
      </w:tr>
    </w:tbl>
    <w:p>
      <w:pPr>
        <w:pStyle w:val="TextBody"/>
        <w:spacing w:before="0" w:after="0"/>
        <w:jc w:val="left"/>
        <w:rPr/>
      </w:pPr>
      <w:r>
        <w:rPr/>
        <w:t> </w:t>
      </w:r>
    </w:p>
    <w:tbl>
      <w:tblPr>
        <w:tblW w:w="5575" w:type="dxa"/>
        <w:jc w:val="left"/>
        <w:tblInd w:w="0" w:type="dxa"/>
        <w:tblCellMar>
          <w:top w:w="0" w:type="dxa"/>
          <w:left w:w="0" w:type="dxa"/>
          <w:bottom w:w="0" w:type="dxa"/>
          <w:right w:w="0" w:type="dxa"/>
        </w:tblCellMar>
      </w:tblPr>
      <w:tblGrid>
        <w:gridCol w:w="75"/>
        <w:gridCol w:w="110"/>
        <w:gridCol w:w="60"/>
        <w:gridCol w:w="53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integrity and effectiveness of our internal audit function; and </w:t>
            </w:r>
          </w:p>
        </w:tc>
      </w:tr>
    </w:tbl>
    <w:p>
      <w:pPr>
        <w:pStyle w:val="TextBody"/>
        <w:spacing w:before="0" w:after="0"/>
        <w:jc w:val="left"/>
        <w:rPr/>
      </w:pPr>
      <w:r>
        <w:rPr/>
        <w:t> </w:t>
      </w:r>
    </w:p>
    <w:tbl>
      <w:tblPr>
        <w:tblW w:w="4825" w:type="dxa"/>
        <w:jc w:val="left"/>
        <w:tblInd w:w="0" w:type="dxa"/>
        <w:tblCellMar>
          <w:top w:w="0" w:type="dxa"/>
          <w:left w:w="0" w:type="dxa"/>
          <w:bottom w:w="0" w:type="dxa"/>
          <w:right w:w="0" w:type="dxa"/>
        </w:tblCellMar>
      </w:tblPr>
      <w:tblGrid>
        <w:gridCol w:w="75"/>
        <w:gridCol w:w="110"/>
        <w:gridCol w:w="60"/>
        <w:gridCol w:w="4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risk management policies, procedures and practices. </w:t>
            </w:r>
          </w:p>
        </w:tc>
      </w:tr>
    </w:tbl>
    <w:p>
      <w:pPr>
        <w:pStyle w:val="TextBody"/>
        <w:spacing w:before="240" w:after="0"/>
        <w:jc w:val="left"/>
        <w:rPr>
          <w:rFonts w:ascii="Times New Roman" w:hAnsi="Times New Roman"/>
          <w:sz w:val="20"/>
        </w:rPr>
      </w:pPr>
      <w:r>
        <w:rPr>
          <w:rFonts w:ascii="Times New Roman" w:hAnsi="Times New Roman"/>
          <w:sz w:val="20"/>
        </w:rPr>
        <w:t xml:space="preserve">The duties of the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the remuneration and terms of engagement of the independent auditor, and pre-approving all auditing and non-auditing services permitted to be performed by our independent auditors;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annually, obtaining a written report from our independent auditor describing matters relating to its independence and quality control procedures;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the financial statements for inclusion within our quarterly earnings releases and to our board for inclusion in our annual reports; </w:t>
            </w:r>
          </w:p>
        </w:tc>
      </w:tr>
    </w:tbl>
    <w:p>
      <w:pPr>
        <w:pStyle w:val="TextBody"/>
        <w:spacing w:before="0" w:after="0"/>
        <w:jc w:val="left"/>
        <w:rPr/>
      </w:pPr>
      <w:r>
        <w:rPr/>
        <w:t> </w:t>
      </w:r>
    </w:p>
    <w:tbl>
      <w:tblPr>
        <w:tblW w:w="9295" w:type="dxa"/>
        <w:jc w:val="left"/>
        <w:tblInd w:w="0" w:type="dxa"/>
        <w:tblCellMar>
          <w:top w:w="0" w:type="dxa"/>
          <w:left w:w="0" w:type="dxa"/>
          <w:bottom w:w="0" w:type="dxa"/>
          <w:right w:w="0" w:type="dxa"/>
        </w:tblCellMar>
      </w:tblPr>
      <w:tblGrid>
        <w:gridCol w:w="75"/>
        <w:gridCol w:w="110"/>
        <w:gridCol w:w="60"/>
        <w:gridCol w:w="9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all material related party transactions brought to its attention, without further approval of our board; </w:t>
            </w:r>
          </w:p>
        </w:tc>
      </w:tr>
    </w:tbl>
    <w:p>
      <w:pPr>
        <w:pStyle w:val="TextBody"/>
        <w:spacing w:before="0" w:after="0"/>
        <w:jc w:val="left"/>
        <w:rPr/>
      </w:pPr>
      <w:r>
        <w:rPr/>
        <w:t> </w:t>
      </w:r>
    </w:p>
    <w:tbl>
      <w:tblPr>
        <w:tblW w:w="7735" w:type="dxa"/>
        <w:jc w:val="left"/>
        <w:tblInd w:w="0" w:type="dxa"/>
        <w:tblCellMar>
          <w:top w:w="0" w:type="dxa"/>
          <w:left w:w="0" w:type="dxa"/>
          <w:bottom w:w="0" w:type="dxa"/>
          <w:right w:w="0" w:type="dxa"/>
        </w:tblCellMar>
      </w:tblPr>
      <w:tblGrid>
        <w:gridCol w:w="75"/>
        <w:gridCol w:w="110"/>
        <w:gridCol w:w="60"/>
        <w:gridCol w:w="74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establishing and overseeing procedures for the handling of complaints and whistleblowing;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approving the internal audit charter and annual audit plans, and undertaking an annual performance evaluation of the internal audit function;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Chief Risk Officer and senior management’s policies and procedures to identify, accept, mitigate, allocate or otherwise manage various types of risks presented by management, and making recommendations with respect to our risk management process for the board’s approval;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 </w:t>
            </w:r>
          </w:p>
        </w:tc>
      </w:tr>
    </w:tbl>
    <w:p>
      <w:pPr>
        <w:pStyle w:val="TextBody"/>
        <w:spacing w:before="0" w:after="0"/>
        <w:jc w:val="left"/>
        <w:rPr/>
      </w:pPr>
      <w:r>
        <w:rPr/>
        <w:t> </w:t>
      </w:r>
    </w:p>
    <w:tbl>
      <w:tblPr>
        <w:tblW w:w="8710" w:type="dxa"/>
        <w:jc w:val="left"/>
        <w:tblInd w:w="0" w:type="dxa"/>
        <w:tblCellMar>
          <w:top w:w="0" w:type="dxa"/>
          <w:left w:w="0" w:type="dxa"/>
          <w:bottom w:w="0" w:type="dxa"/>
          <w:right w:w="0" w:type="dxa"/>
        </w:tblCellMar>
      </w:tblPr>
      <w:tblGrid>
        <w:gridCol w:w="75"/>
        <w:gridCol w:w="110"/>
        <w:gridCol w:w="60"/>
        <w:gridCol w:w="84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together with our board, evaluating the performance of the audit and risk committee on an annual basis;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the adequacy of its charter; and </w:t>
            </w:r>
          </w:p>
        </w:tc>
      </w:tr>
    </w:tbl>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110"/>
        <w:gridCol w:w="60"/>
        <w:gridCol w:w="7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co-operating with the other board committees in any areas of overlapping responsibilities.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consists of Messrs. Thomas Jefferson Wu, Alec Yiu Wa Tsui, John William Crawford and Ms. Francesca Galante, and is chaired by Mr. Wu. The purpose of the committee is to discharge the responsibilities of the board relating to compensation of our directors and our executives, including, amongst others, to design (in consultation with management), evaluate and approve the compensation plans, policies and programs for the executives and evaluate and recommend to our board for approval of the directors’ compensation. </w:t>
      </w:r>
    </w:p>
    <w:p>
      <w:pPr>
        <w:pStyle w:val="TextBody"/>
        <w:spacing w:before="240" w:after="0"/>
        <w:jc w:val="left"/>
        <w:rPr>
          <w:rFonts w:ascii="Times New Roman" w:hAnsi="Times New Roman"/>
          <w:sz w:val="20"/>
        </w:rPr>
      </w:pPr>
      <w:r>
        <w:rPr>
          <w:rFonts w:ascii="Times New Roman" w:hAnsi="Times New Roman"/>
          <w:sz w:val="20"/>
        </w:rPr>
        <w:t xml:space="preserve">Members of this committee are not prohibited from direct involvement in determining their own compensation. Our chief executive officer may not be present at any compensation committee meeting during the time when his compensation is deliberated. </w:t>
      </w:r>
    </w:p>
    <w:p>
      <w:pPr>
        <w:pStyle w:val="TextBody"/>
        <w:spacing w:before="240" w:after="0"/>
        <w:jc w:val="left"/>
        <w:rPr>
          <w:rFonts w:ascii="Times New Roman" w:hAnsi="Times New Roman"/>
          <w:sz w:val="20"/>
        </w:rPr>
      </w:pPr>
      <w:r>
        <w:rPr>
          <w:rFonts w:ascii="Times New Roman" w:hAnsi="Times New Roman"/>
          <w:sz w:val="20"/>
        </w:rPr>
        <w:t xml:space="preserve">The duties of the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the development and implementation of executive compensation programs in consultation with our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annually, making recommendations to our board for approval with respect to the compensation arrangements for our directors, and approving compensation arrangements for our chief executive officer and other executives;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annually, reviewing and approving our incentive compensation plans and equity grant, if any, under our share incentive plans, and overseeing the administration of these plans and discharging any responsibilities imposed on the compensation committee by any of these plans;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compensation payable to our executive directors and executives in connection with any loss or termination of their office or appointment;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approving any benefits in kind received by any director or executives where such benefits are not provided for under the relevant employment terms; </w:t>
            </w:r>
          </w:p>
        </w:tc>
      </w:tr>
    </w:tbl>
    <w:p>
      <w:pPr>
        <w:pStyle w:val="TextBody"/>
        <w:spacing w:before="0" w:after="0"/>
        <w:jc w:val="left"/>
        <w:rPr/>
      </w:pPr>
      <w:r>
        <w:rPr/>
        <w:t> </w:t>
      </w:r>
    </w:p>
    <w:tbl>
      <w:tblPr>
        <w:tblW w:w="6775" w:type="dxa"/>
        <w:jc w:val="left"/>
        <w:tblInd w:w="0" w:type="dxa"/>
        <w:tblCellMar>
          <w:top w:w="0" w:type="dxa"/>
          <w:left w:w="0" w:type="dxa"/>
          <w:bottom w:w="0" w:type="dxa"/>
          <w:right w:w="0" w:type="dxa"/>
        </w:tblCellMar>
      </w:tblPr>
      <w:tblGrid>
        <w:gridCol w:w="75"/>
        <w:gridCol w:w="110"/>
        <w:gridCol w:w="60"/>
        <w:gridCol w:w="65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5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executive officer and director indemnification and insurance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overseeing our regulatory compliance with respect to compensation matters, including our policies and restrictions on compensation plans and loans to officers and directors; </w:t>
            </w:r>
          </w:p>
        </w:tc>
      </w:tr>
    </w:tbl>
    <w:p>
      <w:pPr>
        <w:pStyle w:val="TextBody"/>
        <w:spacing w:before="0" w:after="0"/>
        <w:jc w:val="left"/>
        <w:rPr/>
      </w:pPr>
      <w:r>
        <w:rPr/>
        <w:t> </w:t>
      </w:r>
    </w:p>
    <w:tbl>
      <w:tblPr>
        <w:tblW w:w="8725" w:type="dxa"/>
        <w:jc w:val="left"/>
        <w:tblInd w:w="0" w:type="dxa"/>
        <w:tblCellMar>
          <w:top w:w="0" w:type="dxa"/>
          <w:left w:w="0" w:type="dxa"/>
          <w:bottom w:w="0" w:type="dxa"/>
          <w:right w:w="0" w:type="dxa"/>
        </w:tblCellMar>
      </w:tblPr>
      <w:tblGrid>
        <w:gridCol w:w="75"/>
        <w:gridCol w:w="110"/>
        <w:gridCol w:w="60"/>
        <w:gridCol w:w="8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together with the board, evaluating the performance of the compensation committee on an annual basis;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such time as it deems appropriate, reviewing and making recommendations to the Board with respect to the adoption of any share incentive plans and/or modifications to the terms thereof and carrying out of the committee’s duties and responsibilities as set forth in such share incentive plans; </w:t>
            </w:r>
          </w:p>
        </w:tc>
      </w:tr>
    </w:tbl>
    <w:p>
      <w:pPr>
        <w:pStyle w:val="TextBody"/>
        <w:spacing w:before="0" w:after="0"/>
        <w:jc w:val="left"/>
        <w:rPr/>
      </w:pPr>
      <w:r>
        <w:rPr/>
        <w:t> </w:t>
      </w:r>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the adequacy of its charter;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rPr/>
      </w:pPr>
      <w:r>
        <w:rPr/>
      </w:r>
    </w:p>
    <w:p>
      <w:pPr>
        <w:pStyle w:val="Heading5"/>
        <w:rPr/>
      </w:pPr>
      <w:hyperlink w:anchor="toc">
        <w:r>
          <w:rPr>
            <w:rStyle w:val="InternetLink"/>
          </w:rPr>
          <w:t>Table of Contents</w:t>
        </w:r>
      </w:hyperlink>
    </w:p>
    <w:tbl>
      <w:tblPr>
        <w:tblW w:w="7600" w:type="dxa"/>
        <w:jc w:val="left"/>
        <w:tblInd w:w="0" w:type="dxa"/>
        <w:tblCellMar>
          <w:top w:w="0" w:type="dxa"/>
          <w:left w:w="0" w:type="dxa"/>
          <w:bottom w:w="0" w:type="dxa"/>
          <w:right w:w="0" w:type="dxa"/>
        </w:tblCellMar>
      </w:tblPr>
      <w:tblGrid>
        <w:gridCol w:w="75"/>
        <w:gridCol w:w="110"/>
        <w:gridCol w:w="60"/>
        <w:gridCol w:w="7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co-operating with the other board committees in any areas of overlapping responsibilities. </w:t>
            </w:r>
          </w:p>
        </w:tc>
      </w:tr>
    </w:tbl>
    <w:p>
      <w:pPr>
        <w:pStyle w:val="TextBody"/>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spacing w:before="120" w:after="0"/>
        <w:jc w:val="left"/>
        <w:rPr>
          <w:rFonts w:ascii="Times New Roman" w:hAnsi="Times New Roman"/>
          <w:sz w:val="20"/>
        </w:rPr>
      </w:pPr>
      <w:r>
        <w:rPr>
          <w:rFonts w:ascii="Times New Roman" w:hAnsi="Times New Roman"/>
          <w:sz w:val="20"/>
        </w:rPr>
        <w:t xml:space="preserve">Our nominating and corporate governance committee consists of Messrs. Thomas Jefferson Wu, Alec Yiu Wa Tsui, John William Crawford and Ms. Francesca Galante, and is chaired by Mr. Tsui. The purpose of the committee is to assist our board in discharging its responsibilities regarding: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identification of qualified candidates to become members and chairs of the board and its committees and to fill any such vacancies, and reviewing the appropriateness of the continued service of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ensuring that our board meets the criteria for independence under the Nasdaq corporate governance rules and nominating directors who meet such independence criteria;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oversight of our compliance with legal and regulatory requirements, in particular the legal and regulatory requirements of Macau (including the relevant laws related to the gaming industry), the Cayman Islands, the SEC and Nasdaq;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development and recommendation to our board of a set of corporate governance principles applicable to our Company;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disclosure, in accordance with our relevant policies, of any material information (other than that regarding the quality or integrity of our financial statements), which is brought to its attention by the disclosure committee; and </w:t>
            </w:r>
          </w:p>
        </w:tc>
      </w:tr>
    </w:tbl>
    <w:p>
      <w:pPr>
        <w:pStyle w:val="TextBody"/>
        <w:spacing w:before="0" w:after="0"/>
        <w:jc w:val="left"/>
        <w:rPr/>
      </w:pPr>
      <w:r>
        <w:rPr/>
        <w:t> </w:t>
      </w:r>
    </w:p>
    <w:tbl>
      <w:tblPr>
        <w:tblW w:w="7315" w:type="dxa"/>
        <w:jc w:val="left"/>
        <w:tblInd w:w="0" w:type="dxa"/>
        <w:tblCellMar>
          <w:top w:w="0" w:type="dxa"/>
          <w:left w:w="0" w:type="dxa"/>
          <w:bottom w:w="0" w:type="dxa"/>
          <w:right w:w="0" w:type="dxa"/>
        </w:tblCellMar>
      </w:tblPr>
      <w:tblGrid>
        <w:gridCol w:w="75"/>
        <w:gridCol w:w="110"/>
        <w:gridCol w:w="60"/>
        <w:gridCol w:w="70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oversight of our environmental, social and governance-related risks and opportunities. </w:t>
            </w:r>
          </w:p>
        </w:tc>
      </w:tr>
    </w:tbl>
    <w:p>
      <w:pPr>
        <w:pStyle w:val="TextBody"/>
        <w:spacing w:before="240" w:after="0"/>
        <w:jc w:val="left"/>
        <w:rPr>
          <w:rFonts w:ascii="Times New Roman" w:hAnsi="Times New Roman"/>
          <w:sz w:val="20"/>
        </w:rPr>
      </w:pPr>
      <w:r>
        <w:rPr>
          <w:rFonts w:ascii="Times New Roman" w:hAnsi="Times New Roman"/>
          <w:sz w:val="20"/>
        </w:rPr>
        <w:t xml:space="preserve">The duties of the committee include: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making recommendations to our board for its approval, the appointment or re-appointment of any members of our board and the chairs and members of its committees, including evaluating any succession planning;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on an annual basis the appropriate skills, knowledge and characteristics required of board members and of the committees of our board, and making any recommendations to improve the performance of our board and its committees;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 </w:t>
            </w:r>
          </w:p>
        </w:tc>
      </w:tr>
    </w:tbl>
    <w:p>
      <w:pPr>
        <w:pStyle w:val="TextBody"/>
        <w:spacing w:before="0" w:after="0"/>
        <w:jc w:val="left"/>
        <w:rPr/>
      </w:pPr>
      <w:r>
        <w:rPr/>
        <w:t> </w:t>
      </w:r>
    </w:p>
    <w:tbl>
      <w:tblPr>
        <w:tblW w:w="8440" w:type="dxa"/>
        <w:jc w:val="left"/>
        <w:tblInd w:w="0" w:type="dxa"/>
        <w:tblCellMar>
          <w:top w:w="0" w:type="dxa"/>
          <w:left w:w="0" w:type="dxa"/>
          <w:bottom w:w="0" w:type="dxa"/>
          <w:right w:w="0" w:type="dxa"/>
        </w:tblCellMar>
      </w:tblPr>
      <w:tblGrid>
        <w:gridCol w:w="75"/>
        <w:gridCol w:w="110"/>
        <w:gridCol w:w="60"/>
        <w:gridCol w:w="81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developing a set of corporate governance principles and reviewing such principles at least annually;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deciding whether any material information (other than that regarding the quality or integrity of our financial statements), which is brought to its attention by the disclosure committee, should be disclosed; </w:t>
            </w:r>
          </w:p>
        </w:tc>
      </w:tr>
    </w:tbl>
    <w:p>
      <w:pPr>
        <w:pStyle w:val="TextBody"/>
        <w:spacing w:before="0" w:after="0"/>
        <w:jc w:val="left"/>
        <w:rPr/>
      </w:pPr>
      <w:r>
        <w:rPr/>
        <w:t> </w:t>
      </w:r>
    </w:p>
    <w:tbl>
      <w:tblPr>
        <w:tblW w:w="10180" w:type="dxa"/>
        <w:jc w:val="left"/>
        <w:tblInd w:w="0" w:type="dxa"/>
        <w:tblCellMar>
          <w:top w:w="0" w:type="dxa"/>
          <w:left w:w="0" w:type="dxa"/>
          <w:bottom w:w="0" w:type="dxa"/>
          <w:right w:w="0" w:type="dxa"/>
        </w:tblCellMar>
      </w:tblPr>
      <w:tblGrid>
        <w:gridCol w:w="75"/>
        <w:gridCol w:w="110"/>
        <w:gridCol w:w="60"/>
        <w:gridCol w:w="9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and monitoring the training and continuous professional development of our directors and senior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developing, reviewing and monitoring the code of conduct and compliance manual applicable to employees and directors; </w:t>
            </w:r>
          </w:p>
        </w:tc>
      </w:tr>
    </w:tbl>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75"/>
        <w:gridCol w:w="110"/>
        <w:gridCol w:w="60"/>
        <w:gridCol w:w="7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together with the board, evaluating the performance of the committee on an annual basis;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reviewing the environmental, social and governance-related policies and the related regular public disclosures, including our sustainability report following review and approval by our Chairman and Chief Executive Officer;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rPr/>
      </w:pPr>
      <w:r>
        <w:rPr/>
      </w:r>
    </w:p>
    <w:p>
      <w:pPr>
        <w:pStyle w:val="Heading5"/>
        <w:rPr/>
      </w:pPr>
      <w:hyperlink w:anchor="toc">
        <w:r>
          <w:rPr>
            <w:rStyle w:val="InternetLink"/>
          </w:rPr>
          <w:t>Table of Contents</w:t>
        </w:r>
      </w:hyperlink>
    </w:p>
    <w:tbl>
      <w:tblPr>
        <w:tblW w:w="3655" w:type="dxa"/>
        <w:jc w:val="left"/>
        <w:tblInd w:w="0" w:type="dxa"/>
        <w:tblCellMar>
          <w:top w:w="0" w:type="dxa"/>
          <w:left w:w="0" w:type="dxa"/>
          <w:bottom w:w="0" w:type="dxa"/>
          <w:right w:w="0" w:type="dxa"/>
        </w:tblCellMar>
      </w:tblPr>
      <w:tblGrid>
        <w:gridCol w:w="75"/>
        <w:gridCol w:w="110"/>
        <w:gridCol w:w="60"/>
        <w:gridCol w:w="34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assessing the adequacy of its charter; and </w:t>
            </w:r>
          </w:p>
        </w:tc>
      </w:tr>
    </w:tbl>
    <w:p>
      <w:pPr>
        <w:pStyle w:val="TextBody"/>
        <w:spacing w:before="0" w:after="0"/>
        <w:jc w:val="left"/>
        <w:rPr/>
      </w:pPr>
      <w:r>
        <w:rPr/>
        <w:t> </w:t>
      </w:r>
    </w:p>
    <w:tbl>
      <w:tblPr>
        <w:tblW w:w="7600" w:type="dxa"/>
        <w:jc w:val="left"/>
        <w:tblInd w:w="0" w:type="dxa"/>
        <w:tblCellMar>
          <w:top w:w="0" w:type="dxa"/>
          <w:left w:w="0" w:type="dxa"/>
          <w:bottom w:w="0" w:type="dxa"/>
          <w:right w:w="0" w:type="dxa"/>
        </w:tblCellMar>
      </w:tblPr>
      <w:tblGrid>
        <w:gridCol w:w="75"/>
        <w:gridCol w:w="110"/>
        <w:gridCol w:w="60"/>
        <w:gridCol w:w="73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co-operating with the other board committees in any areas of overlapping responsibilities. </w:t>
            </w:r>
          </w:p>
        </w:tc>
      </w:tr>
    </w:tbl>
    <w:p>
      <w:pPr>
        <w:pStyle w:val="TextBody"/>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spacing w:before="120" w:after="0"/>
        <w:jc w:val="left"/>
        <w:rPr>
          <w:rFonts w:ascii="Times New Roman" w:hAnsi="Times New Roman"/>
          <w:sz w:val="20"/>
        </w:rPr>
      </w:pPr>
      <w:r>
        <w:rPr>
          <w:rFonts w:ascii="Times New Roman" w:hAnsi="Times New Roman"/>
          <w:sz w:val="20"/>
        </w:rPr>
        <w:t xml:space="preserve">We have entered into an employment agreement with each of our executive officers. The terms of the employment agreements are substantially similar for each executive officer, except as noted below. We may terminate an executive officer’s employment for cause, at any time, without advance notice,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 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 upon termination due to disability or death. We will indemnify an executive officer for his or her losses based on or related to his or her acts and decisions made in the course of his or her performance of duties within the scope of his or her employment. </w:t>
      </w:r>
    </w:p>
    <w:p>
      <w:pPr>
        <w:pStyle w:val="TextBody"/>
        <w:spacing w:before="240" w:after="0"/>
        <w:jc w:val="left"/>
        <w:rPr>
          <w:rFonts w:ascii="Times New Roman" w:hAnsi="Times New Roman"/>
          <w:sz w:val="20"/>
        </w:rPr>
      </w:pPr>
      <w:r>
        <w:rPr>
          <w:rFonts w:ascii="Times New Roman" w:hAnsi="Times New Roman"/>
          <w:sz w:val="20"/>
        </w:rPr>
        <w:t xml:space="preserve">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 </w:t>
      </w:r>
    </w:p>
    <w:p>
      <w:pPr>
        <w:pStyle w:val="TextBody"/>
        <w:spacing w:before="240" w:after="0"/>
        <w:jc w:val="left"/>
        <w:rPr>
          <w:rFonts w:ascii="Times New Roman" w:hAnsi="Times New Roman"/>
          <w:sz w:val="20"/>
        </w:rPr>
      </w:pPr>
      <w:r>
        <w:rPr>
          <w:rFonts w:ascii="Times New Roman" w:hAnsi="Times New Roman"/>
          <w:sz w:val="20"/>
        </w:rPr>
        <w:t xml:space="preserve">Each executive officer is prohibited from gambling at any of our Company’s facilities during the term of his or her employment and for six months following the termination of such employment agreement. </w:t>
      </w:r>
    </w:p>
    <w:p>
      <w:pPr>
        <w:pStyle w:val="TextBody"/>
        <w:spacing w:before="240" w:after="0"/>
        <w:jc w:val="left"/>
        <w:rPr>
          <w:rFonts w:ascii="Times New Roman" w:hAnsi="Times New Roman"/>
          <w:sz w:val="20"/>
        </w:rPr>
      </w:pPr>
      <w:r>
        <w:rPr>
          <w:rFonts w:ascii="Times New Roman" w:hAnsi="Times New Roman"/>
          <w:sz w:val="20"/>
        </w:rPr>
        <w:t xml:space="preserve">Each executive officer has agreed to be bound by non-competition and non-solicitation restrictions during the term of his or her employment and for certain periods following the termination of such employment agreement. Specifically, each executive officer has agreed not to (i) assume employment with or provide services as a director for any of our competitors who operate in a restricted area for six months following termination of employment; (ii) solicit or seek any business orders from our customers for one year following termination of employment; or (iii) seek directly or indirectly, to solicit the services of any of our employees for one year following termination of employment. The restricted area is defined as, including but not limited to, Hong Kong, Macau, the Philippines, Cyprus and any other country or region in which our Company operates or intends to operate.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rom396630_28"/>
      <w:bookmarkEnd w:id="31"/>
      <w:r>
        <w:rPr>
          <w:rFonts w:ascii="Times New Roman" w:hAnsi="Times New Roman"/>
          <w:b/>
          <w:sz w:val="20"/>
        </w:rPr>
        <w:t xml:space="preserve">D. EMPLOYEES </w:t>
      </w:r>
    </w:p>
    <w:p>
      <w:pPr>
        <w:pStyle w:val="TextBody"/>
        <w:spacing w:before="240" w:after="0"/>
        <w:jc w:val="left"/>
        <w:rPr>
          <w:rFonts w:ascii="Times New Roman" w:hAnsi="Times New Roman"/>
          <w:b/>
          <w:sz w:val="20"/>
        </w:rPr>
      </w:pPr>
      <w:r>
        <w:rPr>
          <w:rFonts w:ascii="Times New Roman" w:hAnsi="Times New Roman"/>
          <w:b/>
          <w:sz w:val="20"/>
        </w:rPr>
        <w:t xml:space="preserve">Employees </w:t>
      </w:r>
    </w:p>
    <w:p>
      <w:pPr>
        <w:pStyle w:val="TextBody"/>
        <w:spacing w:before="120" w:after="0"/>
        <w:jc w:val="left"/>
        <w:rPr>
          <w:rFonts w:ascii="Times New Roman" w:hAnsi="Times New Roman"/>
          <w:sz w:val="20"/>
        </w:rPr>
      </w:pPr>
      <w:r>
        <w:rPr>
          <w:rFonts w:ascii="Times New Roman" w:hAnsi="Times New Roman"/>
          <w:sz w:val="20"/>
        </w:rPr>
        <w:t xml:space="preserve">We had 16,908, 17,878 and 19,746 employees as of December 31, 2022, 2021 and 2020, respectively. The following table sets forth the number of employees categorized by the areas of operations and as a percentage of our workforce as of December 31, 2022, 2021 and 2020. Staff remuneration packages are determined taking into account market conditions and the performance of the individuals, and are subject to review from time to time.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805"/>
        <w:gridCol w:w="120"/>
        <w:gridCol w:w="90"/>
        <w:gridCol w:w="1025"/>
        <w:gridCol w:w="60"/>
        <w:gridCol w:w="120"/>
        <w:gridCol w:w="110"/>
        <w:gridCol w:w="1035"/>
        <w:gridCol w:w="275"/>
        <w:gridCol w:w="60"/>
        <w:gridCol w:w="90"/>
        <w:gridCol w:w="1025"/>
        <w:gridCol w:w="60"/>
        <w:gridCol w:w="120"/>
        <w:gridCol w:w="110"/>
        <w:gridCol w:w="1035"/>
        <w:gridCol w:w="275"/>
        <w:gridCol w:w="60"/>
        <w:gridCol w:w="90"/>
        <w:gridCol w:w="1025"/>
        <w:gridCol w:w="60"/>
        <w:gridCol w:w="120"/>
        <w:gridCol w:w="110"/>
        <w:gridCol w:w="1035"/>
        <w:gridCol w:w="290"/>
      </w:tblGrid>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990" w:type="dxa"/>
            <w:gridSpan w:val="22"/>
            <w:tcBorders>
              <w:bottom w:val="single" w:sz="8" w:space="0" w:color="000000"/>
            </w:tcBorders>
            <w:shd w:fill="auto" w:val="clear"/>
            <w:tcMar>
              <w:bottom w:w="28" w:type="dxa"/>
            </w:tcMar>
            <w:vAlign w:val="center"/>
          </w:tcPr>
          <w:p>
            <w:pPr>
              <w:pStyle w:val="TableContents"/>
              <w:spacing w:before="0" w:after="283"/>
              <w:jc w:val="center"/>
              <w:rPr>
                <w:b/>
              </w:rPr>
            </w:pPr>
            <w:r>
              <w:rPr>
                <w:b/>
              </w:rPr>
              <w:t>As of December 31,</w:t>
            </w:r>
          </w:p>
        </w:tc>
        <w:tc>
          <w:tcPr>
            <w:tcW w:w="29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4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4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4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2020</w:t>
            </w:r>
          </w:p>
        </w:tc>
        <w:tc>
          <w:tcPr>
            <w:tcW w:w="29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w:t>
            </w:r>
            <w:r>
              <w:rPr/>
              <w:br/>
            </w:r>
            <w:r>
              <w:rPr>
                <w:b/>
              </w:rPr>
              <w:t>of</w:t>
            </w:r>
            <w:r>
              <w:rPr/>
              <w:br/>
            </w:r>
            <w:r>
              <w:rPr>
                <w:b/>
              </w:rPr>
              <w:t>Employees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w:t>
            </w:r>
            <w:r>
              <w:rPr/>
              <w:br/>
            </w:r>
            <w:r>
              <w:rPr>
                <w:b/>
              </w:rPr>
              <w:t>of Total</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w:t>
            </w:r>
            <w:r>
              <w:rPr/>
              <w:br/>
            </w:r>
            <w:r>
              <w:rPr>
                <w:b/>
              </w:rPr>
              <w:t>of</w:t>
            </w:r>
            <w:r>
              <w:rPr/>
              <w:br/>
            </w:r>
            <w:r>
              <w:rPr>
                <w:b/>
              </w:rPr>
              <w:t>Employees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w:t>
            </w:r>
            <w:r>
              <w:rPr/>
              <w:br/>
            </w:r>
            <w:r>
              <w:rPr>
                <w:b/>
              </w:rPr>
              <w:t>of Total</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w:t>
            </w:r>
            <w:r>
              <w:rPr/>
              <w:br/>
            </w:r>
            <w:r>
              <w:rPr>
                <w:b/>
              </w:rPr>
              <w:t>of</w:t>
            </w:r>
            <w:r>
              <w:rPr/>
              <w:br/>
            </w:r>
            <w:r>
              <w:rPr>
                <w:b/>
              </w:rPr>
              <w:t>Employees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w:t>
            </w:r>
            <w:r>
              <w:rPr/>
              <w:br/>
            </w:r>
            <w:r>
              <w:rPr>
                <w:b/>
              </w:rPr>
              <w:t>of Total</w:t>
            </w:r>
          </w:p>
        </w:tc>
        <w:tc>
          <w:tcPr>
            <w:tcW w:w="290" w:type="dxa"/>
            <w:tcBorders/>
            <w:shd w:fill="auto" w:val="clear"/>
            <w:vAlign w:val="center"/>
          </w:tcPr>
          <w:p>
            <w:pPr>
              <w:pStyle w:val="TableContents"/>
              <w:spacing w:before="0" w:after="283"/>
              <w:rPr/>
            </w:pPr>
            <w:r>
              <w:rPr/>
              <w:t> </w:t>
            </w:r>
          </w:p>
        </w:tc>
      </w:tr>
      <w:tr>
        <w:trPr/>
        <w:tc>
          <w:tcPr>
            <w:tcW w:w="18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Mocha Clubs(1)</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550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616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647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3.3</w:t>
            </w:r>
          </w:p>
        </w:tc>
        <w:tc>
          <w:tcPr>
            <w:tcW w:w="290" w:type="dxa"/>
            <w:tcBorders/>
            <w:shd w:fill="CCEEFF"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Altira Macau</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1,052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6.2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1,124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6.3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1,554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7.9</w:t>
            </w:r>
          </w:p>
        </w:tc>
        <w:tc>
          <w:tcPr>
            <w:tcW w:w="290" w:type="dxa"/>
            <w:tcBorders/>
            <w:shd w:fill="auto" w:val="clear"/>
            <w:vAlign w:val="center"/>
          </w:tcPr>
          <w:p>
            <w:pPr>
              <w:pStyle w:val="TableContents"/>
              <w:spacing w:before="0" w:after="283"/>
              <w:rPr/>
            </w:pPr>
            <w:r>
              <w:rPr/>
              <w:t>% </w:t>
            </w:r>
          </w:p>
        </w:tc>
      </w:tr>
      <w:tr>
        <w:trPr/>
        <w:tc>
          <w:tcPr>
            <w:tcW w:w="18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City of Dreams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6,529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38.6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7,227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40.4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7,660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38.8</w:t>
            </w:r>
          </w:p>
        </w:tc>
        <w:tc>
          <w:tcPr>
            <w:tcW w:w="290" w:type="dxa"/>
            <w:tcBorders/>
            <w:shd w:fill="CCEEFF"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Corporate and centralized services(2)</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520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3.1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628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3.5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3.5</w:t>
            </w:r>
          </w:p>
        </w:tc>
        <w:tc>
          <w:tcPr>
            <w:tcW w:w="290" w:type="dxa"/>
            <w:tcBorders/>
            <w:shd w:fill="auto" w:val="clear"/>
            <w:vAlign w:val="center"/>
          </w:tcPr>
          <w:p>
            <w:pPr>
              <w:pStyle w:val="TableContents"/>
              <w:spacing w:before="0" w:after="283"/>
              <w:rPr/>
            </w:pPr>
            <w:r>
              <w:rPr/>
              <w:t>% </w:t>
            </w:r>
          </w:p>
        </w:tc>
      </w:tr>
      <w:tr>
        <w:trPr/>
        <w:tc>
          <w:tcPr>
            <w:tcW w:w="18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Studio City</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3,571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21.1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3,793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21.2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3,923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19.9</w:t>
            </w:r>
          </w:p>
        </w:tc>
        <w:tc>
          <w:tcPr>
            <w:tcW w:w="290" w:type="dxa"/>
            <w:tcBorders/>
            <w:shd w:fill="CCEEFF"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City of Dreams Manila</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3,713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22.0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3,730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20.9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4,551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23.0</w:t>
            </w:r>
          </w:p>
        </w:tc>
        <w:tc>
          <w:tcPr>
            <w:tcW w:w="290" w:type="dxa"/>
            <w:tcBorders/>
            <w:shd w:fill="auto" w:val="clear"/>
            <w:vAlign w:val="center"/>
          </w:tcPr>
          <w:p>
            <w:pPr>
              <w:pStyle w:val="TableContents"/>
              <w:spacing w:before="0" w:after="283"/>
              <w:rPr/>
            </w:pPr>
            <w:r>
              <w:rPr/>
              <w:t>% </w:t>
            </w:r>
          </w:p>
        </w:tc>
      </w:tr>
      <w:tr>
        <w:trPr/>
        <w:tc>
          <w:tcPr>
            <w:tcW w:w="180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Cyprus Operations</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973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5.8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760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4.3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711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10" w:type="dxa"/>
            <w:tcBorders/>
            <w:shd w:fill="CCEEFF" w:val="clear"/>
            <w:vAlign w:val="center"/>
          </w:tcPr>
          <w:p>
            <w:pPr>
              <w:pStyle w:val="TableContents"/>
              <w:spacing w:before="0" w:after="283"/>
              <w:rPr/>
            </w:pPr>
            <w:r>
              <w:rPr/>
              <w:t> </w:t>
            </w:r>
          </w:p>
        </w:tc>
        <w:tc>
          <w:tcPr>
            <w:tcW w:w="1035" w:type="dxa"/>
            <w:tcBorders/>
            <w:shd w:fill="CCEEFF" w:val="clear"/>
            <w:vAlign w:val="center"/>
          </w:tcPr>
          <w:p>
            <w:pPr>
              <w:pStyle w:val="TableContents"/>
              <w:spacing w:before="0" w:after="283"/>
              <w:jc w:val="right"/>
              <w:rPr/>
            </w:pPr>
            <w:r>
              <w:rPr/>
              <w:t>3.6</w:t>
            </w:r>
          </w:p>
        </w:tc>
        <w:tc>
          <w:tcPr>
            <w:tcW w:w="290" w:type="dxa"/>
            <w:tcBorders/>
            <w:shd w:fill="CCEEFF"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pBdr>
                <w:top w:val="single" w:sz="2" w:space="1" w:color="000000"/>
              </w:pBdr>
              <w:spacing w:before="0" w:after="0"/>
              <w:rPr/>
            </w:pPr>
            <w:r>
              <w:rPr/>
              <w:t> </w:t>
            </w:r>
          </w:p>
        </w:tc>
        <w:tc>
          <w:tcPr>
            <w:tcW w:w="102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pBdr>
                <w:top w:val="single" w:sz="2" w:space="1" w:color="000000"/>
              </w:pBdr>
              <w:spacing w:before="0" w:after="0"/>
              <w:rPr/>
            </w:pPr>
            <w:r>
              <w:rPr/>
              <w:t> </w:t>
            </w:r>
          </w:p>
        </w:tc>
        <w:tc>
          <w:tcPr>
            <w:tcW w:w="1035"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pBdr>
                <w:top w:val="single" w:sz="2" w:space="1" w:color="000000"/>
              </w:pBdr>
              <w:spacing w:before="0" w:after="0"/>
              <w:rPr/>
            </w:pPr>
            <w:r>
              <w:rPr/>
              <w:t> </w:t>
            </w:r>
          </w:p>
        </w:tc>
        <w:tc>
          <w:tcPr>
            <w:tcW w:w="102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pBdr>
                <w:top w:val="single" w:sz="2" w:space="1" w:color="000000"/>
              </w:pBdr>
              <w:spacing w:before="0" w:after="0"/>
              <w:rPr/>
            </w:pPr>
            <w:r>
              <w:rPr/>
              <w:t> </w:t>
            </w:r>
          </w:p>
        </w:tc>
        <w:tc>
          <w:tcPr>
            <w:tcW w:w="1035" w:type="dxa"/>
            <w:tcBorders/>
            <w:shd w:fill="auto" w:val="clear"/>
            <w:vAlign w:val="center"/>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pBdr>
                <w:top w:val="single" w:sz="2" w:space="1" w:color="000000"/>
              </w:pBdr>
              <w:spacing w:before="0" w:after="0"/>
              <w:rPr/>
            </w:pPr>
            <w:r>
              <w:rPr/>
              <w:t> </w:t>
            </w:r>
          </w:p>
        </w:tc>
        <w:tc>
          <w:tcPr>
            <w:tcW w:w="1025"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pBdr>
                <w:top w:val="single" w:sz="2" w:space="1" w:color="000000"/>
              </w:pBdr>
              <w:spacing w:before="0" w:after="0"/>
              <w:rPr/>
            </w:pPr>
            <w:r>
              <w:rPr/>
              <w:t> </w:t>
            </w:r>
          </w:p>
        </w:tc>
        <w:tc>
          <w:tcPr>
            <w:tcW w:w="1035" w:type="dxa"/>
            <w:tcBorders/>
            <w:shd w:fill="auto" w:val="clear"/>
            <w:vAlign w:val="center"/>
          </w:tcPr>
          <w:p>
            <w:pPr>
              <w:pStyle w:val="TableContents"/>
              <w:pBdr>
                <w:top w:val="single" w:sz="2"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16,908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17,878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100.0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19,746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035" w:type="dxa"/>
            <w:tcBorders/>
            <w:shd w:fill="auto" w:val="clear"/>
            <w:vAlign w:val="center"/>
          </w:tcPr>
          <w:p>
            <w:pPr>
              <w:pStyle w:val="TableContents"/>
              <w:spacing w:before="0" w:after="283"/>
              <w:jc w:val="right"/>
              <w:rPr/>
            </w:pPr>
            <w:r>
              <w:rPr/>
              <w:t>100.0</w:t>
            </w:r>
          </w:p>
        </w:tc>
        <w:tc>
          <w:tcPr>
            <w:tcW w:w="290" w:type="dxa"/>
            <w:tcBorders/>
            <w:shd w:fill="auto" w:val="clear"/>
            <w:vAlign w:val="center"/>
          </w:tcPr>
          <w:p>
            <w:pPr>
              <w:pStyle w:val="TableContents"/>
              <w:spacing w:before="0" w:after="283"/>
              <w:rPr/>
            </w:pPr>
            <w:r>
              <w:rPr/>
              <w:t>% </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pBdr>
                <w:top w:val="double" w:sz="6" w:space="1" w:color="000000"/>
              </w:pBdr>
              <w:spacing w:before="0" w:after="0"/>
              <w:rPr/>
            </w:pPr>
            <w:r>
              <w:rPr/>
              <w:t> </w:t>
            </w:r>
          </w:p>
        </w:tc>
        <w:tc>
          <w:tcPr>
            <w:tcW w:w="1025"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pBdr>
                <w:top w:val="double" w:sz="6" w:space="1" w:color="000000"/>
              </w:pBdr>
              <w:spacing w:before="0" w:after="0"/>
              <w:rPr/>
            </w:pPr>
            <w:r>
              <w:rPr/>
              <w:t> </w:t>
            </w:r>
          </w:p>
        </w:tc>
        <w:tc>
          <w:tcPr>
            <w:tcW w:w="1035"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pBdr>
                <w:top w:val="double" w:sz="6" w:space="1" w:color="000000"/>
              </w:pBdr>
              <w:spacing w:before="0" w:after="0"/>
              <w:rPr/>
            </w:pPr>
            <w:r>
              <w:rPr/>
              <w:t> </w:t>
            </w:r>
          </w:p>
        </w:tc>
        <w:tc>
          <w:tcPr>
            <w:tcW w:w="1025"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pBdr>
                <w:top w:val="double" w:sz="6" w:space="1" w:color="000000"/>
              </w:pBdr>
              <w:spacing w:before="0" w:after="0"/>
              <w:rPr/>
            </w:pPr>
            <w:r>
              <w:rPr/>
              <w:t> </w:t>
            </w:r>
          </w:p>
        </w:tc>
        <w:tc>
          <w:tcPr>
            <w:tcW w:w="1035" w:type="dxa"/>
            <w:tcBorders/>
            <w:shd w:fill="auto" w:val="clear"/>
            <w:vAlign w:val="center"/>
          </w:tcPr>
          <w:p>
            <w:pPr>
              <w:pStyle w:val="TableContents"/>
              <w:pBdr>
                <w:top w:val="double" w:sz="6" w:space="1" w:color="000000"/>
              </w:pBdr>
              <w:spacing w:before="0" w:after="0"/>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pBdr>
                <w:top w:val="double" w:sz="6" w:space="1" w:color="000000"/>
              </w:pBdr>
              <w:spacing w:before="0" w:after="0"/>
              <w:rPr/>
            </w:pPr>
            <w:r>
              <w:rPr/>
              <w:t> </w:t>
            </w:r>
          </w:p>
        </w:tc>
        <w:tc>
          <w:tcPr>
            <w:tcW w:w="1025" w:type="dxa"/>
            <w:tcBorders/>
            <w:shd w:fill="auto" w:val="clear"/>
            <w:vAlign w:val="center"/>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pBdr>
                <w:top w:val="double" w:sz="6" w:space="1" w:color="000000"/>
              </w:pBdr>
              <w:spacing w:before="0" w:after="0"/>
              <w:rPr/>
            </w:pPr>
            <w:r>
              <w:rPr/>
              <w:t> </w:t>
            </w:r>
          </w:p>
        </w:tc>
        <w:tc>
          <w:tcPr>
            <w:tcW w:w="1035" w:type="dxa"/>
            <w:tcBorders/>
            <w:shd w:fill="auto" w:val="clear"/>
            <w:vAlign w:val="center"/>
          </w:tcPr>
          <w:p>
            <w:pPr>
              <w:pStyle w:val="TableContents"/>
              <w:pBdr>
                <w:top w:val="double" w:sz="6" w:space="1" w:color="000000"/>
              </w:pBdr>
              <w:spacing w:before="0" w:after="0"/>
              <w:rPr/>
            </w:pPr>
            <w:r>
              <w:rPr/>
              <w:t> </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(1)</w:t>
            </w:r>
          </w:p>
        </w:tc>
        <w:tc>
          <w:tcPr>
            <w:tcW w:w="993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the purposes of this table, figures include employees at Grand Dragon Casino described under “Item 4. Information on the Company — B. Business Overview — Our Land and Premises — Other Premises.”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(2)</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For the purposes of this table, figures include employees at our ski resort in Nagano, Japan described under “Item 4. Information on the Company — B. Business Overview — Our Land and Premises — Other Premises.” </w:t>
            </w:r>
          </w:p>
        </w:tc>
      </w:tr>
    </w:tbl>
    <w:p>
      <w:pPr>
        <w:pStyle w:val="TextBody"/>
        <w:spacing w:before="240" w:after="0"/>
        <w:jc w:val="left"/>
        <w:rPr>
          <w:rFonts w:ascii="Times New Roman" w:hAnsi="Times New Roman"/>
          <w:sz w:val="20"/>
        </w:rPr>
      </w:pPr>
      <w:r>
        <w:rPr>
          <w:rFonts w:ascii="Times New Roman" w:hAnsi="Times New Roman"/>
          <w:sz w:val="20"/>
        </w:rPr>
        <w:t xml:space="preserve">Other than the rank-and-file employees of the Table Games Division of City of Dreams Manila, none of our employees are members of any other certified labor union; and except for the collective bargaining agreement with the Table Games Division of City of Dreams Manila, we are not a party to any other collective bargaining or similar agreement with our employees. See “Item 3. Key Information — D. Risk Factors — Risks Relating to Our Business and Operations — The success of our business depends on our ability to attract and retain an adequate number of qualified personnel. A limited labor supply, increased competition and any increase in demands from our employees could cause labor costs to increase.” </w:t>
      </w:r>
    </w:p>
    <w:p>
      <w:pPr>
        <w:pStyle w:val="TextBody"/>
        <w:spacing w:before="240" w:after="0"/>
        <w:jc w:val="left"/>
        <w:rPr>
          <w:rFonts w:ascii="Times New Roman" w:hAnsi="Times New Roman"/>
          <w:sz w:val="20"/>
        </w:rPr>
      </w:pPr>
      <w:r>
        <w:rPr>
          <w:rFonts w:ascii="Times New Roman" w:hAnsi="Times New Roman"/>
          <w:sz w:val="20"/>
        </w:rPr>
        <w:t xml:space="preserve">We have implemented a number of employee attraction and retention initiatives over recent years for the benefit of our employees and their families. These initiatives include, among others, a unique in-house learning academy (which provides curriculum across multi-functional tracks such as technical training — gaming and non-gaming, sales and marketing, legal, finance, human resources, computer application, language, service, leadership and lifestyle), a foundation acceleration program designed to enhance our employees’ understanding of business perspectives beyond their own jobs, an on-site high school diploma program and Diploma in Casino Management and Advanced Diploma in Gaming Management (a collaboration with The University of Macau), the Diploma in Hospitality Management (a collaboration with the Institute for Tourism Studies), scholarship awards to encourage the concept of life-long learning, as well as ample internal promotion and transfer opportunities. In September 2015, we launched the Melco You-niversity program with the Edinburgh Napier University, an overseas institution based in the United Kingdom, to bring a bachelor degree program in-house.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rom396630_29"/>
      <w:bookmarkEnd w:id="32"/>
      <w:r>
        <w:rPr>
          <w:rFonts w:ascii="Times New Roman" w:hAnsi="Times New Roman"/>
          <w:b/>
          <w:sz w:val="20"/>
        </w:rPr>
        <w:t xml:space="preserve">E. SHARE OWNERSHIP </w:t>
      </w:r>
    </w:p>
    <w:p>
      <w:pPr>
        <w:pStyle w:val="TextBody"/>
        <w:spacing w:before="240" w:after="0"/>
        <w:jc w:val="left"/>
        <w:rPr>
          <w:rFonts w:ascii="Times New Roman" w:hAnsi="Times New Roman"/>
          <w:sz w:val="20"/>
        </w:rPr>
      </w:pPr>
      <w:r>
        <w:rPr>
          <w:rFonts w:ascii="Times New Roman" w:hAnsi="Times New Roman"/>
          <w:b/>
          <w:sz w:val="20"/>
        </w:rPr>
        <w:t>Share Ownership of Directors and Members of Senior Management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the beneficial interest of each director and executive officer in our ordinary shares as of March 24, 2023. </w:t>
      </w:r>
    </w:p>
    <w:p>
      <w:pPr>
        <w:pStyle w:val="TextBody"/>
        <w:spacing w:before="0" w:after="0"/>
        <w:jc w:val="left"/>
        <w:rPr/>
      </w:pPr>
      <w:r>
        <w:rPr/>
        <w:t> </w:t>
      </w:r>
    </w:p>
    <w:tbl>
      <w:tblPr>
        <w:tblW w:w="7794" w:type="dxa"/>
        <w:jc w:val="left"/>
        <w:tblInd w:w="0" w:type="dxa"/>
        <w:tblCellMar>
          <w:top w:w="0" w:type="dxa"/>
          <w:left w:w="0" w:type="dxa"/>
          <w:bottom w:w="0" w:type="dxa"/>
          <w:right w:w="0" w:type="dxa"/>
        </w:tblCellMar>
      </w:tblPr>
      <w:tblGrid>
        <w:gridCol w:w="3470"/>
        <w:gridCol w:w="120"/>
        <w:gridCol w:w="76"/>
        <w:gridCol w:w="1549"/>
        <w:gridCol w:w="620"/>
        <w:gridCol w:w="60"/>
        <w:gridCol w:w="154"/>
        <w:gridCol w:w="1455"/>
        <w:gridCol w:w="290"/>
      </w:tblGrid>
      <w:tr>
        <w:trPr/>
        <w:tc>
          <w:tcPr>
            <w:tcW w:w="34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54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62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w:t>
            </w:r>
            <w:r>
              <w:rPr/>
              <w:br/>
            </w:r>
            <w:r>
              <w:rPr>
                <w:b/>
              </w:rPr>
              <w:t>ordinary shares</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9"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Approximate</w:t>
            </w:r>
            <w:r>
              <w:rPr/>
              <w:br/>
            </w:r>
            <w:r>
              <w:rPr>
                <w:b/>
              </w:rPr>
              <w:t>percentage of</w:t>
            </w:r>
            <w:r>
              <w:rPr/>
              <w:br/>
            </w:r>
            <w:r>
              <w:rPr>
                <w:b/>
              </w:rPr>
              <w:t>shareholding(1)</w:t>
            </w:r>
          </w:p>
        </w:tc>
        <w:tc>
          <w:tcPr>
            <w:tcW w:w="290" w:type="dxa"/>
            <w:tcBorders/>
            <w:shd w:fill="auto" w:val="clear"/>
            <w:vAlign w:val="center"/>
          </w:tcPr>
          <w:p>
            <w:pPr>
              <w:pStyle w:val="TableContents"/>
              <w:spacing w:before="0" w:after="283"/>
              <w:rPr/>
            </w:pPr>
            <w:r>
              <w:rPr/>
              <w:t> </w:t>
            </w:r>
          </w:p>
        </w:tc>
      </w:tr>
      <w:tr>
        <w:trPr/>
        <w:tc>
          <w:tcPr>
            <w:tcW w:w="34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Lawrence Yau Lung Ho</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700,093,554</w:t>
            </w:r>
          </w:p>
        </w:tc>
        <w:tc>
          <w:tcPr>
            <w:tcW w:w="620" w:type="dxa"/>
            <w:tcBorders/>
            <w:shd w:fill="CCEEFF" w:val="clear"/>
            <w:vAlign w:val="center"/>
          </w:tcPr>
          <w:p>
            <w:pPr>
              <w:pStyle w:val="TableContents"/>
              <w:spacing w:before="0" w:after="283"/>
              <w:rPr/>
            </w:pPr>
            <w:r>
              <w:rPr/>
              <w:t>(2)(3)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455" w:type="dxa"/>
            <w:tcBorders/>
            <w:shd w:fill="CCEEFF" w:val="clear"/>
            <w:vAlign w:val="center"/>
          </w:tcPr>
          <w:p>
            <w:pPr>
              <w:pStyle w:val="TableContents"/>
              <w:spacing w:before="0" w:after="283"/>
              <w:jc w:val="right"/>
              <w:rPr/>
            </w:pPr>
            <w:r>
              <w:rPr/>
              <w:t>52.7</w:t>
            </w:r>
          </w:p>
        </w:tc>
        <w:tc>
          <w:tcPr>
            <w:tcW w:w="290" w:type="dxa"/>
            <w:tcBorders/>
            <w:shd w:fill="CCEEFF"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Clarence Yuk Man Chung</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4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Evan Andrew Winkler</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455"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Alec Yiu Wa Tsui</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4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Thomas Jefferson Wu</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455"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John William Crawford</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4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Francesca Galante</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455"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Geoffrey Stuart Davis</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4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Stephanie Cheung</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455" w:type="dxa"/>
            <w:tcBorders/>
            <w:shd w:fill="CCEEFF" w:val="clear"/>
            <w:vAlign w:val="center"/>
          </w:tcPr>
          <w:p>
            <w:pPr>
              <w:pStyle w:val="TableContents"/>
              <w:spacing w:before="0" w:after="283"/>
              <w:jc w:val="right"/>
              <w:rPr/>
            </w:pPr>
            <w:r>
              <w:rPr/>
              <w:t>*</w:t>
            </w:r>
          </w:p>
        </w:tc>
        <w:tc>
          <w:tcPr>
            <w:tcW w:w="290" w:type="dxa"/>
            <w:tcBorders/>
            <w:shd w:fill="CCEEFF"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Akiko Takahashi</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1549" w:type="dxa"/>
            <w:tcBorders/>
            <w:shd w:fill="auto" w:val="clear"/>
            <w:vAlign w:val="center"/>
          </w:tcPr>
          <w:p>
            <w:pPr>
              <w:pStyle w:val="TableContents"/>
              <w:spacing w:before="0" w:after="283"/>
              <w:jc w:val="right"/>
              <w:rPr/>
            </w:pPr>
            <w:r>
              <w:rPr/>
              <w:t>*</w:t>
            </w:r>
          </w:p>
        </w:tc>
        <w:tc>
          <w:tcPr>
            <w:tcW w:w="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jc w:val="right"/>
              <w:rPr/>
            </w:pPr>
            <w:r>
              <w:rPr/>
              <w:t>*</w:t>
            </w:r>
          </w:p>
        </w:tc>
        <w:tc>
          <w:tcPr>
            <w:tcW w:w="290" w:type="dxa"/>
            <w:tcBorders/>
            <w:shd w:fill="auto" w:val="clear"/>
            <w:vAlign w:val="center"/>
          </w:tcPr>
          <w:p>
            <w:pPr>
              <w:pStyle w:val="TableContents"/>
              <w:spacing w:before="0" w:after="283"/>
              <w:rPr/>
            </w:pPr>
            <w:r>
              <w:rPr/>
              <w:t> </w:t>
            </w:r>
          </w:p>
        </w:tc>
      </w:tr>
      <w:tr>
        <w:trPr/>
        <w:tc>
          <w:tcPr>
            <w:tcW w:w="34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Directors and executive officers as a group</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1549" w:type="dxa"/>
            <w:tcBorders/>
            <w:shd w:fill="CCEEFF" w:val="clear"/>
            <w:vAlign w:val="center"/>
          </w:tcPr>
          <w:p>
            <w:pPr>
              <w:pStyle w:val="TableContents"/>
              <w:spacing w:before="0" w:after="283"/>
              <w:jc w:val="right"/>
              <w:rPr/>
            </w:pPr>
            <w:r>
              <w:rPr/>
              <w:t>706,378,115</w:t>
            </w:r>
          </w:p>
        </w:tc>
        <w:tc>
          <w:tcPr>
            <w:tcW w:w="6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455" w:type="dxa"/>
            <w:tcBorders/>
            <w:shd w:fill="CCEEFF" w:val="clear"/>
            <w:vAlign w:val="center"/>
          </w:tcPr>
          <w:p>
            <w:pPr>
              <w:pStyle w:val="TableContents"/>
              <w:spacing w:before="0" w:after="283"/>
              <w:jc w:val="right"/>
              <w:rPr/>
            </w:pPr>
            <w:r>
              <w:rPr/>
              <w:t>53.12</w:t>
            </w:r>
          </w:p>
        </w:tc>
        <w:tc>
          <w:tcPr>
            <w:tcW w:w="290"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options, restricted shares and our shares in aggregate held by each of these directors and executive officers represent less than 1% of our total outstanding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(1)</w:t>
            </w:r>
          </w:p>
        </w:tc>
        <w:tc>
          <w:tcPr>
            <w:tcW w:w="99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Percentage of beneficial ownership of each director and executive officer is based on: (i) 1,329,679,067 ordinary shares of our Company outstanding as of March 24, 2023, (ii) the number of ordinary shares of underlying options that have vested or will vest within 60 days after March 24, 2023 and (iii) the number of restricted shares that will vest within 60 days after March 24, 2023, each as held by such person as of that date.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pPr>
            <w:r>
              <w:rPr/>
              <w:t>(2)</w:t>
            </w:r>
          </w:p>
        </w:tc>
        <w:tc>
          <w:tcPr>
            <w:tcW w:w="99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687,360,906 ordinary shares which may be deemed to be beneficially owned by Melco Leisure, a company wholly owned by Melco International, a Hong Kong company listed on the HKSE. Mr. Lawrence Ho is taken to have interest in these shares as a result of his interest in approximately 58.48% of the total issued shares of Melco International by virtue of the Securities and Futures Ordinance (Chapter 571, the Laws of Hong Kong). Please see “Item 7. Major Shareholders and Related Party Transactions” for more details. As of March 24, 2023, 677,360,904 of these ordinary shares have been pledged by Melco Leisure in connection with a US$1 billion, 5-year credit facility entered into in June 2021 by, among others, Melco International and Melco Leisure.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(3)</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Also includes (i) 7,362,072 ordinary shares which are beneficially owned by Black Spade Capital Limited, which in turn is held by companies and a trust associated with Mr. Lawrence Ho; (ii) 312,012 vested restricted shares, under the 2011 Share Incentive Plan, held by Mr. Lawrence Ho as of March 24, 2023; and (iii) 5,058,564 restricted shares that will vest from 60 days of March 24, 2023 held by Mr. Lawrence Ho. The following table summarizes, as of March 24, 2023, the vested and unvested restricted shares (including 5,058,564 restricted shares that will vest from 60 days of March 24, 2023) held by Mr. Lawrence Ho: </w:t>
            </w:r>
          </w:p>
        </w:tc>
      </w:tr>
    </w:tbl>
    <w:p>
      <w:pPr>
        <w:pStyle w:val="TextBody"/>
        <w:spacing w:before="0" w:after="0"/>
        <w:jc w:val="left"/>
        <w:rPr/>
      </w:pPr>
      <w:r>
        <w:rPr/>
        <w:t> </w:t>
      </w:r>
    </w:p>
    <w:tbl>
      <w:tblPr>
        <w:tblW w:w="9445" w:type="dxa"/>
        <w:jc w:val="left"/>
        <w:tblInd w:w="0" w:type="dxa"/>
        <w:tblCellMar>
          <w:top w:w="0" w:type="dxa"/>
          <w:left w:w="0" w:type="dxa"/>
          <w:bottom w:w="0" w:type="dxa"/>
          <w:right w:w="0" w:type="dxa"/>
        </w:tblCellMar>
      </w:tblPr>
      <w:tblGrid>
        <w:gridCol w:w="2375"/>
        <w:gridCol w:w="120"/>
        <w:gridCol w:w="1610"/>
        <w:gridCol w:w="120"/>
        <w:gridCol w:w="1535"/>
        <w:gridCol w:w="120"/>
        <w:gridCol w:w="169"/>
        <w:gridCol w:w="1921"/>
        <w:gridCol w:w="60"/>
        <w:gridCol w:w="120"/>
        <w:gridCol w:w="70"/>
        <w:gridCol w:w="1150"/>
        <w:gridCol w:w="75"/>
      </w:tblGrid>
      <w:tr>
        <w:trPr/>
        <w:tc>
          <w:tcPr>
            <w:tcW w:w="23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610" w:type="dxa"/>
            <w:tcBorders>
              <w:bottom w:val="single" w:sz="8" w:space="0" w:color="000000"/>
            </w:tcBorders>
            <w:shd w:fill="auto" w:val="clear"/>
            <w:tcMar>
              <w:bottom w:w="28" w:type="dxa"/>
            </w:tcMar>
            <w:vAlign w:val="center"/>
          </w:tcPr>
          <w:p>
            <w:pPr>
              <w:pStyle w:val="TableContents"/>
              <w:spacing w:before="0" w:after="283"/>
              <w:jc w:val="center"/>
              <w:rPr>
                <w:b/>
              </w:rPr>
            </w:pPr>
            <w:r>
              <w:rPr>
                <w:b/>
              </w:rPr>
              <w:t>Type of awards</w:t>
            </w:r>
          </w:p>
        </w:tc>
        <w:tc>
          <w:tcPr>
            <w:tcW w:w="120" w:type="dxa"/>
            <w:tcBorders/>
            <w:shd w:fill="auto" w:val="clear"/>
            <w:vAlign w:val="center"/>
          </w:tcPr>
          <w:p>
            <w:pPr>
              <w:pStyle w:val="TableContents"/>
              <w:spacing w:before="0" w:after="283"/>
              <w:rPr/>
            </w:pPr>
            <w:r>
              <w:rPr/>
              <w:t>  </w:t>
            </w:r>
          </w:p>
        </w:tc>
        <w:tc>
          <w:tcPr>
            <w:tcW w:w="1535" w:type="dxa"/>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r>
          </w:p>
        </w:tc>
        <w:tc>
          <w:tcPr>
            <w:tcW w:w="120" w:type="dxa"/>
            <w:tcBorders/>
            <w:shd w:fill="auto" w:val="clear"/>
            <w:vAlign w:val="center"/>
          </w:tcPr>
          <w:p>
            <w:pPr>
              <w:pStyle w:val="TableContents"/>
              <w:spacing w:before="0" w:after="283"/>
              <w:rPr/>
            </w:pPr>
            <w:r>
              <w:rPr/>
              <w:t>  </w:t>
            </w:r>
          </w:p>
        </w:tc>
        <w:tc>
          <w:tcPr>
            <w:tcW w:w="20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Fair value of</w:t>
            </w:r>
            <w:r>
              <w:rPr/>
              <w:br/>
            </w:r>
            <w:r>
              <w:rPr>
                <w:b/>
              </w:rPr>
              <w:t>restricted shares at</w:t>
            </w:r>
            <w:r>
              <w:rPr/>
              <w:br/>
            </w:r>
            <w:r>
              <w:rPr>
                <w:b/>
              </w:rPr>
              <w:t>grant date per share</w:t>
            </w:r>
            <w:r>
              <w:rPr/>
              <w:br/>
            </w:r>
            <w:r>
              <w:rPr>
                <w:b/>
              </w:rPr>
              <w:t>(US$)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 xml:space="preserve">Number of </w:t>
            </w:r>
            <w:r>
              <w:rPr/>
              <w:br/>
            </w:r>
            <w:r>
              <w:rPr>
                <w:b/>
              </w:rPr>
              <w:t>shares</w:t>
            </w:r>
            <w:r>
              <w:rPr/>
              <w:br/>
            </w:r>
            <w:r>
              <w:rPr>
                <w:b/>
              </w:rPr>
              <w:t>outstanding</w:t>
            </w:r>
          </w:p>
        </w:tc>
        <w:tc>
          <w:tcPr>
            <w:tcW w:w="75"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283"/>
              <w:rPr/>
            </w:pPr>
            <w:r>
              <w:rPr/>
              <w:t>Lawrence Yau Lung Ho</w:t>
            </w:r>
          </w:p>
        </w:tc>
        <w:tc>
          <w:tcPr>
            <w:tcW w:w="120" w:type="dxa"/>
            <w:tcBorders/>
            <w:shd w:fill="CCEEFF" w:val="clear"/>
            <w:vAlign w:val="center"/>
          </w:tcPr>
          <w:p>
            <w:pPr>
              <w:pStyle w:val="TableContents"/>
              <w:spacing w:before="0" w:after="283"/>
              <w:rPr/>
            </w:pPr>
            <w:r>
              <w:rPr/>
              <w:t>  </w:t>
            </w:r>
          </w:p>
        </w:tc>
        <w:tc>
          <w:tcPr>
            <w:tcW w:w="1610" w:type="dxa"/>
            <w:tcBorders/>
            <w:shd w:fill="CCEEFF" w:val="clear"/>
            <w:vAlign w:val="center"/>
          </w:tcPr>
          <w:p>
            <w:pPr>
              <w:pStyle w:val="TableContents"/>
              <w:spacing w:before="0" w:after="283"/>
              <w:rPr/>
            </w:pPr>
            <w:r>
              <w:rPr/>
              <w:t>Restricted shares</w:t>
            </w:r>
          </w:p>
        </w:tc>
        <w:tc>
          <w:tcPr>
            <w:tcW w:w="12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pPr>
            <w:r>
              <w:rPr/>
              <w:t>March 31, 2020</w:t>
            </w:r>
          </w:p>
        </w:tc>
        <w:tc>
          <w:tcPr>
            <w:tcW w:w="12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1921" w:type="dxa"/>
            <w:tcBorders/>
            <w:shd w:fill="CCEEFF" w:val="clear"/>
            <w:vAlign w:val="center"/>
          </w:tcPr>
          <w:p>
            <w:pPr>
              <w:pStyle w:val="TableContents"/>
              <w:spacing w:before="0" w:after="283"/>
              <w:jc w:val="right"/>
              <w:rPr/>
            </w:pPr>
            <w:r>
              <w:rPr/>
              <w:t>4.1333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150" w:type="dxa"/>
            <w:tcBorders/>
            <w:shd w:fill="CCEEFF" w:val="clear"/>
            <w:vAlign w:val="center"/>
          </w:tcPr>
          <w:p>
            <w:pPr>
              <w:pStyle w:val="TableContents"/>
              <w:spacing w:before="0" w:after="283"/>
              <w:jc w:val="right"/>
              <w:rPr/>
            </w:pPr>
            <w:r>
              <w:rPr/>
              <w:t>2,330,670</w:t>
            </w:r>
          </w:p>
        </w:tc>
        <w:tc>
          <w:tcPr>
            <w:tcW w:w="75"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283"/>
              <w:rPr/>
            </w:pPr>
            <w:r>
              <w:rPr/>
              <w:t>Restricted shares</w:t>
            </w:r>
          </w:p>
        </w:tc>
        <w:tc>
          <w:tcPr>
            <w:tcW w:w="12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pPr>
            <w:r>
              <w:rPr/>
              <w:t>April 7, 2021</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921" w:type="dxa"/>
            <w:tcBorders/>
            <w:shd w:fill="auto" w:val="clear"/>
            <w:vAlign w:val="center"/>
          </w:tcPr>
          <w:p>
            <w:pPr>
              <w:pStyle w:val="TableContents"/>
              <w:spacing w:before="0" w:after="283"/>
              <w:jc w:val="right"/>
              <w:rPr/>
            </w:pPr>
            <w:r>
              <w:rPr/>
              <w:t>6.8933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150" w:type="dxa"/>
            <w:tcBorders/>
            <w:shd w:fill="auto" w:val="clear"/>
            <w:vAlign w:val="center"/>
          </w:tcPr>
          <w:p>
            <w:pPr>
              <w:pStyle w:val="TableContents"/>
              <w:spacing w:before="0" w:after="283"/>
              <w:jc w:val="right"/>
              <w:rPr/>
            </w:pPr>
            <w:r>
              <w:rPr/>
              <w:t>1,454,868</w:t>
            </w:r>
          </w:p>
        </w:tc>
        <w:tc>
          <w:tcPr>
            <w:tcW w:w="75"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610" w:type="dxa"/>
            <w:tcBorders/>
            <w:shd w:fill="CCEEFF" w:val="clear"/>
            <w:vAlign w:val="center"/>
          </w:tcPr>
          <w:p>
            <w:pPr>
              <w:pStyle w:val="TableContents"/>
              <w:spacing w:before="0" w:after="283"/>
              <w:rPr/>
            </w:pPr>
            <w:r>
              <w:rPr/>
              <w:t>Restricted shares</w:t>
            </w:r>
          </w:p>
        </w:tc>
        <w:tc>
          <w:tcPr>
            <w:tcW w:w="12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jc w:val="center"/>
              <w:rPr/>
            </w:pPr>
            <w:r>
              <w:rPr/>
              <w:t>April 6, 2022</w:t>
            </w:r>
          </w:p>
        </w:tc>
        <w:tc>
          <w:tcPr>
            <w:tcW w:w="12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1921" w:type="dxa"/>
            <w:tcBorders/>
            <w:shd w:fill="CCEEFF" w:val="clear"/>
            <w:vAlign w:val="center"/>
          </w:tcPr>
          <w:p>
            <w:pPr>
              <w:pStyle w:val="TableContents"/>
              <w:spacing w:before="0" w:after="283"/>
              <w:jc w:val="right"/>
              <w:rPr/>
            </w:pPr>
            <w:r>
              <w:rPr/>
              <w:t>7.40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150" w:type="dxa"/>
            <w:tcBorders/>
            <w:shd w:fill="CCEEFF" w:val="clear"/>
            <w:vAlign w:val="center"/>
          </w:tcPr>
          <w:p>
            <w:pPr>
              <w:pStyle w:val="TableContents"/>
              <w:spacing w:before="0" w:after="283"/>
              <w:jc w:val="right"/>
              <w:rPr/>
            </w:pPr>
            <w:r>
              <w:rPr/>
              <w:t>4,041,936</w:t>
            </w:r>
          </w:p>
        </w:tc>
        <w:tc>
          <w:tcPr>
            <w:tcW w:w="75"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283"/>
              <w:rPr/>
            </w:pPr>
            <w:r>
              <w:rPr/>
              <w:t>Restricted shares</w:t>
            </w:r>
          </w:p>
        </w:tc>
        <w:tc>
          <w:tcPr>
            <w:tcW w:w="120"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pPr>
            <w:r>
              <w:rPr/>
              <w:t>April 6, 2022</w:t>
            </w:r>
          </w:p>
        </w:tc>
        <w:tc>
          <w:tcPr>
            <w:tcW w:w="12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283"/>
              <w:rPr/>
            </w:pPr>
            <w:r>
              <w:rPr/>
              <w:t> </w:t>
            </w:r>
          </w:p>
        </w:tc>
        <w:tc>
          <w:tcPr>
            <w:tcW w:w="1921" w:type="dxa"/>
            <w:tcBorders/>
            <w:shd w:fill="auto" w:val="clear"/>
            <w:vAlign w:val="center"/>
          </w:tcPr>
          <w:p>
            <w:pPr>
              <w:pStyle w:val="TableContents"/>
              <w:spacing w:before="0" w:after="283"/>
              <w:jc w:val="right"/>
              <w:rPr/>
            </w:pPr>
            <w:r>
              <w:rPr/>
              <w:t>7.40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150" w:type="dxa"/>
            <w:tcBorders/>
            <w:shd w:fill="auto" w:val="clear"/>
            <w:vAlign w:val="center"/>
          </w:tcPr>
          <w:p>
            <w:pPr>
              <w:pStyle w:val="TableContents"/>
              <w:spacing w:before="0" w:after="283"/>
              <w:jc w:val="right"/>
              <w:rPr/>
            </w:pPr>
            <w:r>
              <w:rPr/>
              <w:t>1,306,296</w:t>
            </w:r>
          </w:p>
        </w:tc>
        <w:tc>
          <w:tcPr>
            <w:tcW w:w="75"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61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53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rPr/>
            </w:pPr>
            <w:r>
              <w:rPr/>
              <w:t> </w:t>
            </w:r>
          </w:p>
        </w:tc>
        <w:tc>
          <w:tcPr>
            <w:tcW w:w="1921" w:type="dxa"/>
            <w:tcBorders/>
            <w:shd w:fill="CCEEFF" w:val="clear"/>
            <w:vAlign w:val="center"/>
          </w:tcPr>
          <w:p>
            <w:pPr>
              <w:pStyle w:val="TableContents"/>
              <w:spacing w:before="0" w:after="283"/>
              <w:jc w:val="right"/>
              <w:rPr>
                <w:b/>
              </w:rPr>
            </w:pPr>
            <w:r>
              <w:rPr>
                <w:b/>
              </w:rPr>
              <w:t>Total</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150" w:type="dxa"/>
            <w:tcBorders/>
            <w:shd w:fill="CCEEFF" w:val="clear"/>
            <w:vAlign w:val="center"/>
          </w:tcPr>
          <w:p>
            <w:pPr>
              <w:pStyle w:val="TableContents"/>
              <w:spacing w:before="0" w:after="283"/>
              <w:jc w:val="right"/>
              <w:rPr>
                <w:b/>
              </w:rPr>
            </w:pPr>
            <w:r>
              <w:rPr>
                <w:b/>
              </w:rPr>
              <w:t>9,133,770</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None of our directors or executive officers who are shareholders have different voting rights from other shareholders of our Company. </w:t>
      </w:r>
    </w:p>
    <w:p>
      <w:pPr>
        <w:pStyle w:val="TextBody"/>
        <w:spacing w:before="360" w:after="0"/>
        <w:jc w:val="left"/>
        <w:rPr>
          <w:rFonts w:ascii="Times New Roman" w:hAnsi="Times New Roman"/>
          <w:b/>
          <w:sz w:val="20"/>
        </w:rPr>
      </w:pPr>
      <w:r>
        <w:rPr>
          <w:rFonts w:ascii="Times New Roman" w:hAnsi="Times New Roman"/>
          <w:b/>
          <w:sz w:val="20"/>
        </w:rPr>
        <w:t xml:space="preserve">Share Purchase and Award Program </w:t>
      </w:r>
    </w:p>
    <w:p>
      <w:pPr>
        <w:pStyle w:val="TextBody"/>
        <w:spacing w:before="120" w:after="0"/>
        <w:jc w:val="left"/>
        <w:rPr>
          <w:rFonts w:ascii="Times New Roman" w:hAnsi="Times New Roman"/>
          <w:sz w:val="20"/>
        </w:rPr>
      </w:pPr>
      <w:r>
        <w:rPr>
          <w:rFonts w:ascii="Times New Roman" w:hAnsi="Times New Roman"/>
          <w:sz w:val="20"/>
        </w:rPr>
        <w:t xml:space="preserve">On July 8, 2021, we adopted a share purchase and award program to recognize the dedication and commitment of our employees and provide eligible employees the opportunity to benefit from our long-term growth. This program applies to eligible employees who agreed in 2020, as COVID-19 outbreaks were spreading globally, to participate in a voluntary leave program we initiated to manage costs during the outbreak. </w:t>
      </w:r>
    </w:p>
    <w:p>
      <w:pPr>
        <w:pStyle w:val="TextBody"/>
        <w:spacing w:before="240" w:after="0"/>
        <w:jc w:val="left"/>
        <w:rPr>
          <w:rFonts w:ascii="Times New Roman" w:hAnsi="Times New Roman"/>
          <w:sz w:val="20"/>
        </w:rPr>
      </w:pPr>
      <w:r>
        <w:rPr>
          <w:rFonts w:ascii="Times New Roman" w:hAnsi="Times New Roman"/>
          <w:sz w:val="20"/>
        </w:rPr>
        <w:t xml:space="preserve">Under the share purchase and award program, eligible employees could elect to use a portion of his or her base salary during the term of the program, which runs from July 2021 to June 2022, to purchase and receive a grant of restricted shares under our 2011 share incentive plan, with an aggregate value equal to 200% of the amount of base salary so applied as at the grant date. The maximum amount of restricted shares which may be issued under the share purchase and award program represents less than 0.50% of our total issued and outstanding shares as of the date of the adoption of the program. As of December 31, 2022, a total of 6,084,312 restricted shares had been granted to employees under the program, out of which 5,798,826 restricted shares had become vested. </w:t>
      </w:r>
    </w:p>
    <w:p>
      <w:pPr>
        <w:pStyle w:val="TextBody"/>
        <w:spacing w:before="360" w:after="0"/>
        <w:jc w:val="left"/>
        <w:rPr>
          <w:rFonts w:ascii="Times New Roman" w:hAnsi="Times New Roman"/>
          <w:b/>
          <w:sz w:val="20"/>
        </w:rPr>
      </w:pPr>
      <w:r>
        <w:rPr>
          <w:rFonts w:ascii="Times New Roman" w:hAnsi="Times New Roman"/>
          <w:b/>
          <w:sz w:val="20"/>
        </w:rPr>
        <w:t xml:space="preserve">Share Incentive Plans </w:t>
      </w:r>
    </w:p>
    <w:p>
      <w:pPr>
        <w:pStyle w:val="TextBody"/>
        <w:spacing w:before="120" w:after="0"/>
        <w:jc w:val="left"/>
        <w:rPr>
          <w:rFonts w:ascii="Times New Roman" w:hAnsi="Times New Roman"/>
          <w:sz w:val="20"/>
        </w:rPr>
      </w:pPr>
      <w:r>
        <w:rPr>
          <w:rFonts w:ascii="Times New Roman" w:hAnsi="Times New Roman"/>
          <w:sz w:val="20"/>
        </w:rPr>
        <w:t xml:space="preserve">We have previously adopted the 2006 Share Incentive Plan, the 2011 Share Incentive Plan, the 2021 Share Incentive Plan and the MRP Share Incentive Plan. The 2011 Share Incentive Plan, which succeeded the 2006 Share Incentive Plan on December 7, 2011, has been succeeded by our 2021 Share Incentive Plan on December 6, 2021. No further awards may be granted under the 2006 Share Incentive Plan and the 2011 Share Incentive Plan. All subsequent awards will be issued under the 2021 Share Incentive Plan. Awards previously granted under the 2006 Share Incentive Plan and the 2011 Share Incentive Plan remain subject to the terms and conditions of the 2006 Share Incentive Plan and the 2011 Share Incentive Plan, respectively. As of December 31, 2021, all share options and restricted shares granted under the 2006 Share Incentive Plan had vested. The maximum aggregate number of shares which may be issued pursuant to the 2021 Share Incentive Plan is 145,654,794, which is subject to adjustment pursuant to the terms and conditions contained therein. </w:t>
      </w:r>
    </w:p>
    <w:p>
      <w:pPr>
        <w:pStyle w:val="TextBody"/>
        <w:spacing w:before="240" w:after="0"/>
        <w:jc w:val="left"/>
        <w:rPr>
          <w:rFonts w:ascii="Times New Roman" w:hAnsi="Times New Roman"/>
          <w:sz w:val="20"/>
        </w:rPr>
      </w:pPr>
      <w:r>
        <w:rPr>
          <w:rFonts w:ascii="Times New Roman" w:hAnsi="Times New Roman"/>
          <w:sz w:val="20"/>
        </w:rPr>
        <w:t xml:space="preserve">MRP, our subsidiary, also previously adopted the MRP Share Incentive Plan. All outstanding awards under the MRP Share Incentive plan were retired in 2019.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2011 Share Incentive Plan </w:t>
      </w:r>
    </w:p>
    <w:p>
      <w:pPr>
        <w:pStyle w:val="TextBody"/>
        <w:spacing w:before="120" w:after="0"/>
        <w:jc w:val="left"/>
        <w:rPr>
          <w:rFonts w:ascii="Times New Roman" w:hAnsi="Times New Roman"/>
          <w:sz w:val="20"/>
        </w:rPr>
      </w:pPr>
      <w:r>
        <w:rPr>
          <w:rFonts w:ascii="Times New Roman" w:hAnsi="Times New Roman"/>
          <w:sz w:val="20"/>
        </w:rPr>
        <w:t xml:space="preserve">We adopted the 2011 Share Incentive Plan to provide our employees, directors and consultants with incentives to increase shareholder value, and to attract and retain the services of those upon whom we depend for the success of our business. The 2011 Share Incentive Plan was conditionally approved by our shareholders at the extraordinary general meeting held on October 6, 2011 and became effective upon commencement of dealings in our shares on the HKSE on December 7, 2011. Amendments to the 2011 Share Incentive Plan were approved by our shareholders on May 20, 2015 and on December 7, 2016. The amendments to our 2011 Share Incentive Plan approved by our shareholders on December 7, 2016 were to, among other things, include provisions relating to share option schemes required by the Rules Governing the Listing of Securities on the HKSE following the consolidation of the financial results of our Company in the financial statements of Melco International as a result of our repurchase of 155,000,000 ordinary shares of our Company (equivalent to 51,666,666 ADSs) from Crown Asia Investments Pty, Ltd. and the subsequent cancellation of such shares and with certain changes in the composition of our board of directors in May 2016. Such provisions in our 2011 Share Incentive Plan required by the HKSE rules have automatically lapsed as the requirements under the HKSE rules are not presently applicable to us. As of December 31, 2022, we have granted (i) share options to subscribe for a total of 44,115,885 shares and (ii) restricted shares in respect of a total of 37,042,344 shares pursuant to the 2011 Share Incentive Plan. </w:t>
      </w:r>
    </w:p>
    <w:p>
      <w:pPr>
        <w:pStyle w:val="TextBody"/>
        <w:spacing w:before="240" w:after="0"/>
        <w:jc w:val="left"/>
        <w:rPr>
          <w:rFonts w:ascii="Times New Roman" w:hAnsi="Times New Roman"/>
          <w:sz w:val="20"/>
        </w:rPr>
      </w:pPr>
      <w:r>
        <w:rPr>
          <w:rFonts w:ascii="Times New Roman" w:hAnsi="Times New Roman"/>
          <w:sz w:val="20"/>
        </w:rPr>
        <w:t xml:space="preserve">The following paragraphs describe the principal terms included in the 2011 Share Incentive Plan. </w:t>
      </w:r>
    </w:p>
    <w:p>
      <w:pPr>
        <w:pStyle w:val="TextBody"/>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awards that may be granted under the plan include options, incentive share options, restricted shares, share appreciation rights, dividend equivalents, share payments, deferred shares and restricted share units. </w:t>
      </w:r>
    </w:p>
    <w:p>
      <w:pPr>
        <w:pStyle w:val="TextBody"/>
        <w:spacing w:before="240" w:after="0"/>
        <w:jc w:val="left"/>
        <w:rPr>
          <w:rFonts w:ascii="Times New Roman" w:hAnsi="Times New Roman"/>
          <w:sz w:val="20"/>
        </w:rPr>
      </w:pPr>
      <w:r>
        <w:rPr>
          <w:rFonts w:ascii="Times New Roman" w:hAnsi="Times New Roman"/>
          <w:i/>
          <w:sz w:val="20"/>
        </w:rPr>
        <w:t>Eligible Participants</w:t>
      </w:r>
      <w:r>
        <w:rPr>
          <w:rFonts w:ascii="Times New Roman" w:hAnsi="Times New Roman"/>
          <w:sz w:val="20"/>
        </w:rPr>
        <w:t xml:space="preserve">. We may grant awards to directors, employees and consultants of our Company, any parent or subsidiary of our Company, or any of our related entities that our board designates as a related entity for the purposes of the 2011 Share Incentive Plan. Our compensation committee may, from time to time, select from among all eligible individuals, those to whom awards shall be granted and shall determine the nature and amount of each award. </w:t>
      </w:r>
    </w:p>
    <w:p>
      <w:pPr>
        <w:pStyle w:val="TextBody"/>
        <w:spacing w:before="240" w:after="0"/>
        <w:jc w:val="left"/>
        <w:rPr>
          <w:rFonts w:ascii="Times New Roman" w:hAnsi="Times New Roman"/>
          <w:sz w:val="20"/>
        </w:rPr>
      </w:pPr>
      <w:r>
        <w:rPr>
          <w:rFonts w:ascii="Times New Roman" w:hAnsi="Times New Roman"/>
          <w:i/>
          <w:sz w:val="20"/>
        </w:rPr>
        <w:t>Option Periods and Payments</w:t>
      </w:r>
      <w:r>
        <w:rPr>
          <w:rFonts w:ascii="Times New Roman" w:hAnsi="Times New Roman"/>
          <w:sz w:val="20"/>
        </w:rPr>
        <w:t xml:space="preserve">. Our compensation committee may in its discretion determine, subject to the plan expiration period, the period within which shares must be taken up under an option; the minimum period, if any, for which an option must be held before it can be exercised; and the amount, if any, payable on application or acceptance of the option. </w:t>
      </w:r>
    </w:p>
    <w:p>
      <w:pPr>
        <w:pStyle w:val="TextBody"/>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compensation committee will administer the 2011 Share Incentive Plan and has the power to, among other actions, designate eligible participants, determine the number and types of awards to be granted, and set the terms and conditions of each award granted. The compensation committee’s decisions are final, binding, and conclusive for all purposes and upon all parties. </w:t>
      </w:r>
    </w:p>
    <w:p>
      <w:pPr>
        <w:pStyle w:val="TextBody"/>
        <w:spacing w:before="240" w:after="0"/>
        <w:jc w:val="left"/>
        <w:rPr>
          <w:rFonts w:ascii="Times New Roman" w:hAnsi="Times New Roman"/>
          <w:sz w:val="20"/>
        </w:rPr>
      </w:pPr>
      <w:r>
        <w:rPr>
          <w:rFonts w:ascii="Times New Roman" w:hAnsi="Times New Roman"/>
          <w:i/>
          <w:sz w:val="20"/>
        </w:rPr>
        <w:t>Award Agreement</w:t>
      </w:r>
      <w:r>
        <w:rPr>
          <w:rFonts w:ascii="Times New Roman" w:hAnsi="Times New Roman"/>
          <w:sz w:val="20"/>
        </w:rPr>
        <w:t xml:space="preserve">. Awards granted will be evidenced by an award agreement that sets forth the terms, conditions and limitations for each award. </w:t>
      </w:r>
    </w:p>
    <w:p>
      <w:pPr>
        <w:pStyle w:val="TextBody"/>
        <w:spacing w:before="240" w:after="0"/>
        <w:jc w:val="left"/>
        <w:rPr>
          <w:rFonts w:ascii="Times New Roman" w:hAnsi="Times New Roman"/>
          <w:sz w:val="20"/>
        </w:rPr>
      </w:pPr>
      <w:r>
        <w:rPr>
          <w:rFonts w:ascii="Times New Roman" w:hAnsi="Times New Roman"/>
          <w:i/>
          <w:sz w:val="20"/>
        </w:rPr>
        <w:t>Exercise Price</w:t>
      </w:r>
      <w:r>
        <w:rPr>
          <w:rFonts w:ascii="Times New Roman" w:hAnsi="Times New Roman"/>
          <w:sz w:val="20"/>
        </w:rPr>
        <w:t xml:space="preserve">. Our compensation committee may determine the exercise price or purchase price, if any, of any award. </w:t>
      </w:r>
    </w:p>
    <w:p>
      <w:pPr>
        <w:pStyle w:val="TextBody"/>
        <w:spacing w:before="240" w:after="0"/>
        <w:jc w:val="left"/>
        <w:rPr>
          <w:rFonts w:ascii="Times New Roman" w:hAnsi="Times New Roman"/>
          <w:sz w:val="20"/>
        </w:rPr>
      </w:pPr>
      <w:r>
        <w:rPr>
          <w:rFonts w:ascii="Times New Roman" w:hAnsi="Times New Roman"/>
          <w:i/>
          <w:sz w:val="20"/>
        </w:rPr>
        <w:t>Term of Awards.</w:t>
      </w:r>
      <w:r>
        <w:rPr>
          <w:rFonts w:ascii="Times New Roman" w:hAnsi="Times New Roman"/>
          <w:sz w:val="20"/>
        </w:rPr>
        <w:t xml:space="preserve"> The term of each award shall be stated in the award agreement. If the participant ceases to be eligible for any reason, the validity 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 (d) the date on which the participant ceases to be eligible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 </w:t>
      </w:r>
    </w:p>
    <w:p>
      <w:pPr>
        <w:pStyle w:val="TextBody"/>
        <w:spacing w:before="240" w:after="0"/>
        <w:jc w:val="left"/>
        <w:rPr>
          <w:rFonts w:ascii="Times New Roman" w:hAnsi="Times New Roman"/>
          <w:sz w:val="20"/>
        </w:rPr>
      </w:pPr>
      <w:r>
        <w:rPr>
          <w:rFonts w:ascii="Times New Roman" w:hAnsi="Times New Roman"/>
          <w:i/>
          <w:sz w:val="20"/>
        </w:rPr>
        <w:t>Change in Control and Corporate Transactions</w:t>
      </w:r>
      <w:r>
        <w:rPr>
          <w:rFonts w:ascii="Times New Roman" w:hAnsi="Times New Roman"/>
          <w:sz w:val="20"/>
        </w:rPr>
        <w:t xml:space="preserve">. Upon the consummation of a merger or consolidation in which our Company is not the surviving 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 </w:t>
      </w:r>
    </w:p>
    <w:p>
      <w:pPr>
        <w:pStyle w:val="TextBody"/>
        <w:spacing w:before="24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With the approval of the Board, our compensation committee may terminate, amend or modify the 2011 Share 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 </w:t>
      </w:r>
    </w:p>
    <w:p>
      <w:pPr>
        <w:pStyle w:val="TextBody"/>
        <w:spacing w:before="240" w:after="0"/>
        <w:jc w:val="left"/>
        <w:rPr>
          <w:rFonts w:ascii="Times New Roman" w:hAnsi="Times New Roman"/>
          <w:sz w:val="20"/>
        </w:rPr>
      </w:pPr>
      <w:r>
        <w:rPr>
          <w:rFonts w:ascii="Times New Roman" w:hAnsi="Times New Roman"/>
          <w:sz w:val="20"/>
        </w:rPr>
        <w:t xml:space="preserve">The 2011 Share Incentive Plan has been succeeded by the 2021 Share Incentive Plan on December 6, 2021. No awards may be granted pursuant to the 2011 Share Incentive Plan after that time. </w:t>
      </w:r>
    </w:p>
    <w:p>
      <w:pPr>
        <w:pStyle w:val="TextBody"/>
        <w:spacing w:before="240" w:after="0"/>
        <w:jc w:val="left"/>
        <w:rPr>
          <w:rFonts w:ascii="Times New Roman" w:hAnsi="Times New Roman"/>
          <w:sz w:val="20"/>
        </w:rPr>
      </w:pPr>
      <w:r>
        <w:rPr>
          <w:rFonts w:ascii="Times New Roman" w:hAnsi="Times New Roman"/>
          <w:i/>
          <w:sz w:val="20"/>
        </w:rPr>
        <w:t>Vesting Schedule</w:t>
      </w:r>
      <w:r>
        <w:rPr>
          <w:rFonts w:ascii="Times New Roman" w:hAnsi="Times New Roman"/>
          <w:sz w:val="20"/>
        </w:rPr>
        <w:t xml:space="preserve">. In general, our compensation committee determined, or the award agreement would specify, the vesting schedule. </w:t>
      </w:r>
    </w:p>
    <w:p>
      <w:pPr>
        <w:pStyle w:val="TextBody"/>
        <w:spacing w:before="360" w:after="0"/>
        <w:jc w:val="left"/>
        <w:rPr>
          <w:rFonts w:ascii="Times New Roman" w:hAnsi="Times New Roman"/>
          <w:b/>
          <w:i/>
          <w:sz w:val="20"/>
        </w:rPr>
      </w:pPr>
      <w:r>
        <w:rPr>
          <w:rFonts w:ascii="Times New Roman" w:hAnsi="Times New Roman"/>
          <w:b/>
          <w:i/>
          <w:sz w:val="20"/>
        </w:rPr>
        <w:t xml:space="preserve">2021 Share Incentive Plan </w:t>
      </w:r>
    </w:p>
    <w:p>
      <w:pPr>
        <w:pStyle w:val="TextBody"/>
        <w:spacing w:before="120" w:after="0"/>
        <w:jc w:val="left"/>
        <w:rPr>
          <w:rFonts w:ascii="Times New Roman" w:hAnsi="Times New Roman"/>
          <w:sz w:val="20"/>
        </w:rPr>
      </w:pPr>
      <w:r>
        <w:rPr>
          <w:rFonts w:ascii="Times New Roman" w:hAnsi="Times New Roman"/>
          <w:sz w:val="20"/>
        </w:rPr>
        <w:t xml:space="preserve">We adopted the 2021 Share Incentive Plan to provide our employees, directors and consultants with incentives to increase shareholder value, and to attract and retain the services of those upon whom we depend for the success of our business. The 2021 Share Incentive Plan was approved by the shareholders of Melco International at the annual general meeting held on June 4, 2021 and became effective on December 6, 2021. The 2021 Share Incentive Plan succeeds the 2011 Share Incentive Plan. As of December 31, 2022, we have granted (i) share options to subscribe for a total of 5,360,526 shares and (ii) restricted shares in respect of a total of 25,195,068 shares pursuant to the 2021 Share Incentive Plan. </w:t>
      </w:r>
    </w:p>
    <w:p>
      <w:pPr>
        <w:pStyle w:val="TextBody"/>
        <w:spacing w:before="240" w:after="0"/>
        <w:jc w:val="left"/>
        <w:rPr>
          <w:rFonts w:ascii="Times New Roman" w:hAnsi="Times New Roman"/>
          <w:sz w:val="20"/>
        </w:rPr>
      </w:pPr>
      <w:r>
        <w:rPr>
          <w:rFonts w:ascii="Times New Roman" w:hAnsi="Times New Roman"/>
          <w:sz w:val="20"/>
        </w:rPr>
        <w:t xml:space="preserve">The following paragraphs describe the principal terms of the 2021 Share Incentive Plan. </w:t>
      </w:r>
    </w:p>
    <w:p>
      <w:pPr>
        <w:pStyle w:val="TextBody"/>
        <w:spacing w:before="240" w:after="0"/>
        <w:jc w:val="left"/>
        <w:rPr>
          <w:rFonts w:ascii="Times New Roman" w:hAnsi="Times New Roman"/>
          <w:sz w:val="20"/>
        </w:rPr>
      </w:pPr>
      <w:r>
        <w:rPr>
          <w:rFonts w:ascii="Times New Roman" w:hAnsi="Times New Roman"/>
          <w:i/>
          <w:sz w:val="20"/>
        </w:rPr>
        <w:t>Types of Awards</w:t>
      </w:r>
      <w:r>
        <w:rPr>
          <w:rFonts w:ascii="Times New Roman" w:hAnsi="Times New Roman"/>
          <w:sz w:val="20"/>
        </w:rPr>
        <w:t xml:space="preserve">. The awards that may be granted under the plan include options, incentive share options, restricted shares, share appreciation rights, dividend equivalents, share payments, deferred shares and restricted share units. </w:t>
      </w:r>
    </w:p>
    <w:p>
      <w:pPr>
        <w:pStyle w:val="TextBody"/>
        <w:spacing w:before="240" w:after="0"/>
        <w:jc w:val="left"/>
        <w:rPr>
          <w:rFonts w:ascii="Times New Roman" w:hAnsi="Times New Roman"/>
          <w:sz w:val="20"/>
        </w:rPr>
      </w:pPr>
      <w:r>
        <w:rPr>
          <w:rFonts w:ascii="Times New Roman" w:hAnsi="Times New Roman"/>
          <w:i/>
          <w:sz w:val="20"/>
        </w:rPr>
        <w:t>Eligible Participants</w:t>
      </w:r>
      <w:r>
        <w:rPr>
          <w:rFonts w:ascii="Times New Roman" w:hAnsi="Times New Roman"/>
          <w:sz w:val="20"/>
        </w:rPr>
        <w:t xml:space="preserve">. We may grant awards to directors, employees and consultants of our Company, any parent or subsidiary of our Company, or any of our related entities that our board designates as a related entity for the purposes of the 2021 Share Incentive Plan. Our compensation committee may, from time to time, select from among all eligible individuals, those to whom awards shall be granted and shall determine the nature and amount of each award. </w:t>
      </w:r>
    </w:p>
    <w:p>
      <w:pPr>
        <w:pStyle w:val="TextBody"/>
        <w:spacing w:before="240" w:after="0"/>
        <w:jc w:val="left"/>
        <w:rPr>
          <w:rFonts w:ascii="Times New Roman" w:hAnsi="Times New Roman"/>
          <w:sz w:val="20"/>
        </w:rPr>
      </w:pPr>
      <w:r>
        <w:rPr>
          <w:rFonts w:ascii="Times New Roman" w:hAnsi="Times New Roman"/>
          <w:i/>
          <w:sz w:val="20"/>
        </w:rPr>
        <w:t>Option Periods and Payments</w:t>
      </w:r>
      <w:r>
        <w:rPr>
          <w:rFonts w:ascii="Times New Roman" w:hAnsi="Times New Roman"/>
          <w:sz w:val="20"/>
        </w:rPr>
        <w:t xml:space="preserve">. Our compensation committee may in its discretion determine, subject to the plan expiration period, the period within which shares must be taken up under an option; the minimum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period, if any, for which an option must be held before it can be exercised; and the amount, if any, payable on application or acceptance of the option. </w:t>
      </w:r>
    </w:p>
    <w:p>
      <w:pPr>
        <w:pStyle w:val="TextBody"/>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compensation committee will administer the 2021 Share Incentive Plan and has the power to, among other actions, designate eligible participants, determine the number and types of awards to be granted, and set the terms and conditions of each award granted. The Company may also from time to time retain or appoint one or more trustees and administrators to assist in the administration of the 2021 Share Incentive Plan. The compensation committee’s decisions are final, binding, and conclusive for all purposes and upon all parties. </w:t>
      </w:r>
    </w:p>
    <w:p>
      <w:pPr>
        <w:pStyle w:val="TextBody"/>
        <w:spacing w:before="240" w:after="0"/>
        <w:jc w:val="left"/>
        <w:rPr>
          <w:rFonts w:ascii="Times New Roman" w:hAnsi="Times New Roman"/>
          <w:sz w:val="20"/>
        </w:rPr>
      </w:pPr>
      <w:r>
        <w:rPr>
          <w:rFonts w:ascii="Times New Roman" w:hAnsi="Times New Roman"/>
          <w:i/>
          <w:sz w:val="20"/>
        </w:rPr>
        <w:t>Award Agreement</w:t>
      </w:r>
      <w:r>
        <w:rPr>
          <w:rFonts w:ascii="Times New Roman" w:hAnsi="Times New Roman"/>
          <w:sz w:val="20"/>
        </w:rPr>
        <w:t xml:space="preserve">. Awards granted will be evidenced by an award agreement that sets forth the terms, conditions and limitations for each award. </w:t>
      </w:r>
    </w:p>
    <w:p>
      <w:pPr>
        <w:pStyle w:val="TextBody"/>
        <w:spacing w:before="240" w:after="0"/>
        <w:jc w:val="left"/>
        <w:rPr>
          <w:rFonts w:ascii="Times New Roman" w:hAnsi="Times New Roman"/>
          <w:sz w:val="20"/>
        </w:rPr>
      </w:pPr>
      <w:r>
        <w:rPr>
          <w:rFonts w:ascii="Times New Roman" w:hAnsi="Times New Roman"/>
          <w:i/>
          <w:sz w:val="20"/>
        </w:rPr>
        <w:t>Exercise Price</w:t>
      </w:r>
      <w:r>
        <w:rPr>
          <w:rFonts w:ascii="Times New Roman" w:hAnsi="Times New Roman"/>
          <w:sz w:val="20"/>
        </w:rPr>
        <w:t xml:space="preserve">. Our compensation committee may determine the exercise price or purchase price, if any, of any award. </w:t>
      </w:r>
    </w:p>
    <w:p>
      <w:pPr>
        <w:pStyle w:val="TextBody"/>
        <w:spacing w:before="240" w:after="0"/>
        <w:jc w:val="left"/>
        <w:rPr>
          <w:rFonts w:ascii="Times New Roman" w:hAnsi="Times New Roman"/>
          <w:sz w:val="20"/>
        </w:rPr>
      </w:pPr>
      <w:r>
        <w:rPr>
          <w:rFonts w:ascii="Times New Roman" w:hAnsi="Times New Roman"/>
          <w:i/>
          <w:sz w:val="20"/>
        </w:rPr>
        <w:t>Term of Awards.</w:t>
      </w:r>
      <w:r>
        <w:rPr>
          <w:rFonts w:ascii="Times New Roman" w:hAnsi="Times New Roman"/>
          <w:sz w:val="20"/>
        </w:rPr>
        <w:t xml:space="preserve"> The term of each award shall be stated in the award agreement. If the participant ceases to be eligible for any reason, the validity 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 (d) the date on which the participant ceases to be eligible 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 </w:t>
      </w:r>
    </w:p>
    <w:p>
      <w:pPr>
        <w:pStyle w:val="TextBody"/>
        <w:spacing w:before="24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Upon the consummation of a merger or consolidation in which our Company is not the surviving 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13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 </w:t>
      </w:r>
    </w:p>
    <w:p>
      <w:pPr>
        <w:pStyle w:val="TextBody"/>
        <w:spacing w:before="24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xml:space="preserve"> With the approval of the Board, our compensation committee may terminate, amend or modify the 2021 Share 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 </w:t>
      </w:r>
    </w:p>
    <w:p>
      <w:pPr>
        <w:pStyle w:val="TextBody"/>
        <w:spacing w:before="240" w:after="0"/>
        <w:jc w:val="left"/>
        <w:rPr>
          <w:rFonts w:ascii="Times New Roman" w:hAnsi="Times New Roman"/>
          <w:sz w:val="20"/>
        </w:rPr>
      </w:pPr>
      <w:r>
        <w:rPr>
          <w:rFonts w:ascii="Times New Roman" w:hAnsi="Times New Roman"/>
          <w:i/>
          <w:sz w:val="20"/>
        </w:rPr>
        <w:t>Vesting Schedule</w:t>
      </w:r>
      <w:r>
        <w:rPr>
          <w:rFonts w:ascii="Times New Roman" w:hAnsi="Times New Roman"/>
          <w:sz w:val="20"/>
        </w:rPr>
        <w:t xml:space="preserve">. In general, our compensation committee determines, or the award agreement would specify, the vesting schedule. </w:t>
      </w:r>
    </w:p>
    <w:p>
      <w:pPr>
        <w:pStyle w:val="TextBody"/>
        <w:spacing w:before="480" w:after="0"/>
        <w:jc w:val="center"/>
        <w:rPr>
          <w:rFonts w:ascii="Times New Roman" w:hAnsi="Times New Roman"/>
          <w:b/>
          <w:sz w:val="20"/>
        </w:rPr>
      </w:pPr>
      <w:bookmarkStart w:id="33" w:name="rom396630_30"/>
      <w:bookmarkEnd w:id="33"/>
      <w:r>
        <w:rPr>
          <w:rFonts w:ascii="Times New Roman" w:hAnsi="Times New Roman"/>
          <w:b/>
          <w:sz w:val="20"/>
        </w:rPr>
        <w:t xml:space="preserve">F. DISCLOSURE OF A REGISTRANT’S ACTION TO RECOVER ERRONEOUSLY AWARDED COMPENSATION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rPr/>
      </w:pPr>
      <w:r>
        <w:rPr/>
      </w:r>
    </w:p>
    <w:p>
      <w:pPr>
        <w:pStyle w:val="Heading5"/>
        <w:rPr/>
      </w:pPr>
      <w:hyperlink w:anchor="toc">
        <w:r>
          <w:rPr>
            <w:rStyle w:val="InternetLink"/>
          </w:rPr>
          <w:t>Table of Contents</w:t>
        </w:r>
      </w:hyperlink>
    </w:p>
    <w:tbl>
      <w:tblPr>
        <w:tblW w:w="7060" w:type="dxa"/>
        <w:jc w:val="left"/>
        <w:tblInd w:w="0" w:type="dxa"/>
        <w:tblCellMar>
          <w:top w:w="0" w:type="dxa"/>
          <w:left w:w="0" w:type="dxa"/>
          <w:bottom w:w="0" w:type="dxa"/>
          <w:right w:w="0" w:type="dxa"/>
        </w:tblCellMar>
      </w:tblPr>
      <w:tblGrid>
        <w:gridCol w:w="920"/>
        <w:gridCol w:w="6140"/>
      </w:tblGrid>
      <w:tr>
        <w:trPr/>
        <w:tc>
          <w:tcPr>
            <w:tcW w:w="920" w:type="dxa"/>
            <w:tcBorders/>
            <w:shd w:fill="auto" w:val="clear"/>
            <w:vAlign w:val="center"/>
          </w:tcPr>
          <w:p>
            <w:pPr>
              <w:pStyle w:val="TableContents"/>
              <w:spacing w:before="0" w:after="283"/>
              <w:jc w:val="left"/>
              <w:rPr>
                <w:b/>
              </w:rPr>
            </w:pPr>
            <w:bookmarkStart w:id="34" w:name="rom396630_31"/>
            <w:bookmarkEnd w:id="34"/>
            <w:r>
              <w:rPr>
                <w:b/>
              </w:rPr>
              <w:t>ITEM 7.</w:t>
            </w:r>
          </w:p>
        </w:tc>
        <w:tc>
          <w:tcPr>
            <w:tcW w:w="61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MAJOR SHAREHOLDERS AND RELATED PARTY TRANSACTIONS </w:t>
            </w:r>
          </w:p>
        </w:tc>
      </w:tr>
    </w:tbl>
    <w:p>
      <w:pPr>
        <w:pStyle w:val="TextBody"/>
        <w:spacing w:before="480" w:after="0"/>
        <w:jc w:val="center"/>
        <w:rPr>
          <w:rFonts w:ascii="Times New Roman" w:hAnsi="Times New Roman"/>
          <w:b/>
          <w:sz w:val="20"/>
        </w:rPr>
      </w:pPr>
      <w:bookmarkStart w:id="35" w:name="rom396630_32"/>
      <w:bookmarkEnd w:id="35"/>
      <w:r>
        <w:rPr>
          <w:rFonts w:ascii="Times New Roman" w:hAnsi="Times New Roman"/>
          <w:b/>
          <w:sz w:val="20"/>
        </w:rPr>
        <w:t xml:space="preserve">A. MAJOR SHAREHOLDERS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the beneficial ownership of our ordinary shares as of March 24, 2023 by all persons who are known to us to be the beneficial owners of 5% or more of our issued share capital. </w:t>
      </w:r>
    </w:p>
    <w:p>
      <w:pPr>
        <w:pStyle w:val="TextBody"/>
        <w:spacing w:before="0" w:after="0"/>
        <w:jc w:val="left"/>
        <w:rPr/>
      </w:pPr>
      <w:r>
        <w:rPr/>
        <w:t> </w:t>
      </w:r>
    </w:p>
    <w:tbl>
      <w:tblPr>
        <w:tblW w:w="6730" w:type="dxa"/>
        <w:jc w:val="left"/>
        <w:tblInd w:w="0" w:type="dxa"/>
        <w:tblCellMar>
          <w:top w:w="0" w:type="dxa"/>
          <w:left w:w="0" w:type="dxa"/>
          <w:bottom w:w="0" w:type="dxa"/>
          <w:right w:w="0" w:type="dxa"/>
        </w:tblCellMar>
      </w:tblPr>
      <w:tblGrid>
        <w:gridCol w:w="3650"/>
        <w:gridCol w:w="120"/>
        <w:gridCol w:w="88"/>
        <w:gridCol w:w="1795"/>
        <w:gridCol w:w="88"/>
        <w:gridCol w:w="176"/>
        <w:gridCol w:w="88"/>
        <w:gridCol w:w="650"/>
        <w:gridCol w:w="75"/>
      </w:tblGrid>
      <w:tr>
        <w:trPr/>
        <w:tc>
          <w:tcPr>
            <w:tcW w:w="36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85" w:type="dxa"/>
            <w:gridSpan w:val="6"/>
            <w:tcBorders>
              <w:bottom w:val="single" w:sz="8" w:space="0" w:color="000000"/>
            </w:tcBorders>
            <w:shd w:fill="auto" w:val="clear"/>
            <w:tcMar>
              <w:bottom w:w="28" w:type="dxa"/>
            </w:tcMar>
            <w:vAlign w:val="center"/>
          </w:tcPr>
          <w:p>
            <w:pPr>
              <w:pStyle w:val="TableContents"/>
              <w:spacing w:before="0" w:after="283"/>
              <w:jc w:val="center"/>
              <w:rPr/>
            </w:pPr>
            <w:r>
              <w:rPr>
                <w:b/>
              </w:rPr>
              <w:t>Ordinary shares beneficially</w:t>
            </w:r>
            <w:r>
              <w:rPr/>
              <w:br/>
            </w:r>
            <w:r>
              <w:rPr>
                <w:b/>
              </w:rPr>
              <w:t>owned (1)</w:t>
            </w:r>
          </w:p>
        </w:tc>
        <w:tc>
          <w:tcPr>
            <w:tcW w:w="75" w:type="dxa"/>
            <w:tcBorders/>
            <w:shd w:fill="auto" w:val="clear"/>
            <w:vAlign w:val="center"/>
          </w:tcPr>
          <w:p>
            <w:pPr>
              <w:pStyle w:val="TableContents"/>
              <w:spacing w:before="0" w:after="283"/>
              <w:rPr/>
            </w:pPr>
            <w:r>
              <w:rPr/>
              <w:t> </w:t>
            </w:r>
          </w:p>
        </w:tc>
      </w:tr>
      <w:tr>
        <w:trPr/>
        <w:tc>
          <w:tcPr>
            <w:tcW w:w="365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883"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Number</w:t>
            </w:r>
          </w:p>
        </w:tc>
        <w:tc>
          <w:tcPr>
            <w:tcW w:w="88"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738"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w:t>
            </w:r>
          </w:p>
        </w:tc>
        <w:tc>
          <w:tcPr>
            <w:tcW w:w="75" w:type="dxa"/>
            <w:tcBorders/>
            <w:shd w:fill="auto"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Lawrence Yau Lung Ho (2)(3)</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795" w:type="dxa"/>
            <w:tcBorders/>
            <w:shd w:fill="CCEEFF" w:val="clear"/>
            <w:vAlign w:val="center"/>
          </w:tcPr>
          <w:p>
            <w:pPr>
              <w:pStyle w:val="TableContents"/>
              <w:spacing w:before="0" w:after="283"/>
              <w:jc w:val="right"/>
              <w:rPr/>
            </w:pPr>
            <w:r>
              <w:rPr/>
              <w:t>700,093,554</w:t>
            </w:r>
          </w:p>
        </w:tc>
        <w:tc>
          <w:tcPr>
            <w:tcW w:w="88"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52.7</w:t>
            </w:r>
          </w:p>
        </w:tc>
        <w:tc>
          <w:tcPr>
            <w:tcW w:w="75" w:type="dxa"/>
            <w:tcBorders/>
            <w:shd w:fill="CCEEFF"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ARGA Investment Management, LP, et al.(4)</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795" w:type="dxa"/>
            <w:tcBorders/>
            <w:shd w:fill="auto" w:val="clear"/>
            <w:vAlign w:val="center"/>
          </w:tcPr>
          <w:p>
            <w:pPr>
              <w:pStyle w:val="TableContents"/>
              <w:spacing w:before="0" w:after="283"/>
              <w:jc w:val="right"/>
              <w:rPr/>
            </w:pPr>
            <w:r>
              <w:rPr/>
              <w:t>86,275,437</w:t>
            </w:r>
          </w:p>
        </w:tc>
        <w:tc>
          <w:tcPr>
            <w:tcW w:w="88"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6.5</w:t>
            </w:r>
          </w:p>
        </w:tc>
        <w:tc>
          <w:tcPr>
            <w:tcW w:w="75" w:type="dxa"/>
            <w:tcBorders/>
            <w:shd w:fill="auto" w:val="clear"/>
            <w:vAlign w:val="center"/>
          </w:tcPr>
          <w:p>
            <w:pPr>
              <w:pStyle w:val="TableContents"/>
              <w:spacing w:before="0" w:after="283"/>
              <w:rPr/>
            </w:pPr>
            <w:r>
              <w:rPr/>
              <w:t> </w:t>
            </w:r>
          </w:p>
        </w:tc>
      </w:tr>
      <w:tr>
        <w:trPr/>
        <w:tc>
          <w:tcPr>
            <w:tcW w:w="36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EuroPacific Growth Fund(5)</w:t>
            </w:r>
          </w:p>
        </w:tc>
        <w:tc>
          <w:tcPr>
            <w:tcW w:w="120"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1795" w:type="dxa"/>
            <w:tcBorders/>
            <w:shd w:fill="CCEEFF" w:val="clear"/>
            <w:vAlign w:val="center"/>
          </w:tcPr>
          <w:p>
            <w:pPr>
              <w:pStyle w:val="TableContents"/>
              <w:spacing w:before="0" w:after="283"/>
              <w:jc w:val="right"/>
              <w:rPr/>
            </w:pPr>
            <w:r>
              <w:rPr/>
              <w:t>81,804,750</w:t>
            </w:r>
          </w:p>
        </w:tc>
        <w:tc>
          <w:tcPr>
            <w:tcW w:w="88"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8"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pPr>
            <w:r>
              <w:rPr/>
              <w:t>6.2</w:t>
            </w:r>
          </w:p>
        </w:tc>
        <w:tc>
          <w:tcPr>
            <w:tcW w:w="75" w:type="dxa"/>
            <w:tcBorders/>
            <w:shd w:fill="CCEEFF" w:val="clear"/>
            <w:vAlign w:val="center"/>
          </w:tcPr>
          <w:p>
            <w:pPr>
              <w:pStyle w:val="TableContents"/>
              <w:spacing w:before="0" w:after="283"/>
              <w:rPr/>
            </w:pPr>
            <w:r>
              <w:rPr/>
              <w:t> </w:t>
            </w:r>
          </w:p>
        </w:tc>
      </w:tr>
      <w:tr>
        <w:trPr/>
        <w:tc>
          <w:tcPr>
            <w:tcW w:w="36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BlackRock, Inc. (6)</w:t>
            </w:r>
          </w:p>
        </w:tc>
        <w:tc>
          <w:tcPr>
            <w:tcW w:w="12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1795" w:type="dxa"/>
            <w:tcBorders/>
            <w:shd w:fill="auto" w:val="clear"/>
            <w:vAlign w:val="center"/>
          </w:tcPr>
          <w:p>
            <w:pPr>
              <w:pStyle w:val="TableContents"/>
              <w:spacing w:before="0" w:after="283"/>
              <w:jc w:val="right"/>
              <w:rPr/>
            </w:pPr>
            <w:r>
              <w:rPr/>
              <w:t>69,636,960</w:t>
            </w:r>
          </w:p>
        </w:tc>
        <w:tc>
          <w:tcPr>
            <w:tcW w:w="88"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84"/>
        <w:gridCol w:w="9921"/>
      </w:tblGrid>
      <w:tr>
        <w:trPr/>
        <w:tc>
          <w:tcPr>
            <w:tcW w:w="284" w:type="dxa"/>
            <w:tcBorders/>
            <w:shd w:fill="auto" w:val="clear"/>
            <w:vAlign w:val="center"/>
          </w:tcPr>
          <w:p>
            <w:pPr>
              <w:pStyle w:val="TableContents"/>
              <w:spacing w:before="0" w:after="283"/>
              <w:jc w:val="left"/>
              <w:rPr/>
            </w:pPr>
            <w:r>
              <w:rPr/>
              <w:t>(1)</w:t>
            </w:r>
          </w:p>
        </w:tc>
        <w:tc>
          <w:tcPr>
            <w:tcW w:w="99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Beneficial ownership is determined in accordance with Rule 13d-3 under the Exchange Act, and includes voting or investment power with respect to the securities.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pPr>
            <w:r>
              <w:rPr/>
              <w:t>(2)</w:t>
            </w:r>
          </w:p>
        </w:tc>
        <w:tc>
          <w:tcPr>
            <w:tcW w:w="993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address of Mr. Lawrence Ho, Melco International and Melco Leisure is The Penthouse, 38th Floor, The Centrium, 60 Wyndham Street, Central, Hong Kong. Melco International is listed on the Main Board of the HKSE.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2"/>
        <w:gridCol w:w="9973"/>
      </w:tblGrid>
      <w:tr>
        <w:trPr/>
        <w:tc>
          <w:tcPr>
            <w:tcW w:w="232" w:type="dxa"/>
            <w:tcBorders/>
            <w:shd w:fill="auto" w:val="clear"/>
            <w:vAlign w:val="center"/>
          </w:tcPr>
          <w:p>
            <w:pPr>
              <w:pStyle w:val="TableContents"/>
              <w:spacing w:before="0" w:after="283"/>
              <w:jc w:val="left"/>
              <w:rPr/>
            </w:pPr>
            <w:r>
              <w:rPr/>
              <w:t>(3)</w:t>
            </w:r>
          </w:p>
        </w:tc>
        <w:tc>
          <w:tcPr>
            <w:tcW w:w="997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Comprised of (i) 7,362,072 ordinary shares which are beneficially owned by Black Spade Capital Limited, which in turn is held by companies and a trust associated with Mr. Lawrence Ho; (ii) 312,012 vested restricted shares, under the 2011 Share Incentive Plan, held by Mr. Lawrence Ho as of March 24, 2023; (iii) 5,058,564 restricted shares that will vest from 60 days of March 24, 2023 held by Mr. Lawrence Ho; and (iv) 687,360,906 ordinary shares owned of record by Melco Leisure. Melco Leisure is a wholly-owned subsidiary of Melco International. As of March 24, 2023, Mr. Lawrence Ho, our chairman, chief executive officer and director as well as the chairman, chief executive officer and executive director of Melco International, is deemed to be interested in the 301,368,606 ordinary shares of Melco International held by Better Joy Overseas Ltd., 122,243,024 ordinary shares of Melco International held by Lasting Legend Ltd., 53,491,345 ordinary shares of Melco International held by Mighty Dragon Developments Limited, 91,445,132 ordinary shares of Melco International held by Black Spade Capital Limited and 1,566,000 ordinary shares of Melco International held by Maple Peak Investments Inc., representing approximately 19.9%, 8.1%, 3.5%, 6.0% and 0.1% of the total issued shares of Melco International, all of which are companies owned or controlled by the persons and/or trusts associated with Mr. Ho. In addition, Mr. Ho is also deemed to have interests in the 312,666,187 ordinary shares of Melco International held by L3G Holdings Inc., representing 20.6% of the total issued shares of Melco International. L3G Holdings Inc. is a company controlled by a discretionary family trust, the beneficiaries of which include Mr. Ho and his immediate family members. Moreover, Ms. Lo Sau Yan, Sharen, the spouse of Mr. Ho, personally holds 4,212,102 ordinary shares of Melco International, representing 0.30% of the total issued shares of Melco International. Therefore, we believe that Mr. Ho holds an aggregate of 886,992,396 ordinary shares of Melco International, representing approximately 58.48% of the total issued shares of Melco International, including interests of the companies which are owned or controlled by the persons and/or trusts associated with him, interest of his spouse and interest of a trust in which he is one of the beneficiaries and is taken to have interest under the Securities and Futures Ordinance (Chapter 571, the Laws of Hong Kong). As of March 24, 2023, 677,360,904 of the ordinary shares owned of record by Melco Leisure have been pledged in connection with a US$1 billion, 5-year credit facility entered into in June 2021 by, among others, Melco International and Melco Leisure.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6"/>
        <w:gridCol w:w="9959"/>
      </w:tblGrid>
      <w:tr>
        <w:trPr/>
        <w:tc>
          <w:tcPr>
            <w:tcW w:w="246" w:type="dxa"/>
            <w:tcBorders/>
            <w:shd w:fill="auto" w:val="clear"/>
            <w:vAlign w:val="center"/>
          </w:tcPr>
          <w:p>
            <w:pPr>
              <w:pStyle w:val="TableContents"/>
              <w:spacing w:before="0" w:after="283"/>
              <w:jc w:val="left"/>
              <w:rPr/>
            </w:pPr>
            <w:r>
              <w:rPr/>
              <w:t>(4)</w:t>
            </w:r>
          </w:p>
        </w:tc>
        <w:tc>
          <w:tcPr>
            <w:tcW w:w="995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ARGA Investment Management, LP reports shared voting power and shared dispositive power with respect to 86,275,437 ordinary shares of the Company represented by ADSs with Avula Rama Krishna. Information regarding beneficial ownership is reported as of December 31, 2022 and is based on the information contained in the Schedule 13G filed by ARGA Investment Management, LP and Avula Rama Krishna with the SEC on February 9, 2023. The addresses of ARGA Investment Management, LP and Avula Rama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283"/>
              <w:jc w:val="left"/>
              <w:rPr/>
            </w:pPr>
            <w:r>
              <w:rPr/>
              <w:t xml:space="preserve">Krishna are 1010 Washington Blvd., 6th Fl., Stamford, CT 06901333, and c/o ARGA Investment Management, LP, 1010 Washington Blvd., 6th Fl., Stamford, CT 06901, respectively.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(5)</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81,804,750 ordinary shares represented by ADSs. Information regarding beneficial ownership is reported as of December 31, 2018 and is based on the information contained in the Schedule 13G filed by EuroPacific Growth Fund with the SEC on February 14, 2019. According to information reported therein, the 81,804,750 ordinary shares may also be reflected in a filing made by Capital Research Global Investors, Capital International Investors, and/or Capital World Investors. The address of EuroPacific Growth Fund is 333 South Hope Street Los Angeles, California 90071.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(6)</w:t>
            </w:r>
          </w:p>
        </w:tc>
        <w:tc>
          <w:tcPr>
            <w:tcW w:w="9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69,636,960 ordinary shares represented by ADSs. Information regarding beneficial ownership is reported as of December 31, 2022 and is based on the information contained in the Schedule 13G filed by BlackRock, Inc. with the SEC on February 3, 2023. The address of BlackRock, Inc. is 55 East 52nd Street, New York, NY 10055. </w:t>
            </w:r>
          </w:p>
        </w:tc>
      </w:tr>
    </w:tbl>
    <w:p>
      <w:pPr>
        <w:pStyle w:val="TextBody"/>
        <w:spacing w:before="240" w:after="0"/>
        <w:jc w:val="left"/>
        <w:rPr>
          <w:rFonts w:ascii="Times New Roman" w:hAnsi="Times New Roman"/>
          <w:sz w:val="20"/>
        </w:rPr>
      </w:pPr>
      <w:r>
        <w:rPr>
          <w:rFonts w:ascii="Times New Roman" w:hAnsi="Times New Roman"/>
          <w:sz w:val="20"/>
        </w:rPr>
        <w:t xml:space="preserve">As of December 31, 2022, a total of 1,370,052,143 ordinary shares were outstanding, of which 634,215,884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 </w:t>
      </w:r>
    </w:p>
    <w:p>
      <w:pPr>
        <w:pStyle w:val="TextBody"/>
        <w:spacing w:before="240" w:after="0"/>
        <w:jc w:val="left"/>
        <w:rPr>
          <w:rFonts w:ascii="Times New Roman" w:hAnsi="Times New Roman"/>
          <w:sz w:val="20"/>
        </w:rPr>
      </w:pPr>
      <w:r>
        <w:rPr>
          <w:rFonts w:ascii="Times New Roman" w:hAnsi="Times New Roman"/>
          <w:sz w:val="20"/>
        </w:rPr>
        <w:t xml:space="preserve">None of our shareholders will have different voting rights from other shareholders after the filing of this annual report. We are not aware of any arrangement that may, at a subsequent date, result in a change of control of our Company. </w:t>
      </w:r>
    </w:p>
    <w:p>
      <w:pPr>
        <w:pStyle w:val="TextBody"/>
        <w:spacing w:before="240" w:after="0"/>
        <w:jc w:val="left"/>
        <w:rPr>
          <w:rFonts w:ascii="Times New Roman" w:hAnsi="Times New Roman"/>
          <w:sz w:val="20"/>
        </w:rPr>
      </w:pPr>
      <w:r>
        <w:rPr>
          <w:rFonts w:ascii="Times New Roman" w:hAnsi="Times New Roman"/>
          <w:sz w:val="20"/>
        </w:rPr>
        <w:t xml:space="preserve">See “Item 4. Information on the Company — C. Organizational Structure” for our current corporate structure. </w:t>
      </w:r>
    </w:p>
    <w:p>
      <w:pPr>
        <w:pStyle w:val="TextBody"/>
        <w:spacing w:before="480" w:after="0"/>
        <w:jc w:val="center"/>
        <w:rPr>
          <w:rFonts w:ascii="Times New Roman" w:hAnsi="Times New Roman"/>
          <w:b/>
          <w:sz w:val="20"/>
        </w:rPr>
      </w:pPr>
      <w:bookmarkStart w:id="36" w:name="rom396630_33"/>
      <w:bookmarkEnd w:id="36"/>
      <w:r>
        <w:rPr>
          <w:rFonts w:ascii="Times New Roman" w:hAnsi="Times New Roman"/>
          <w:b/>
          <w:sz w:val="20"/>
        </w:rPr>
        <w:t xml:space="preserve">B. RELATED PARTY TRANSACTIONS </w:t>
      </w:r>
    </w:p>
    <w:p>
      <w:pPr>
        <w:pStyle w:val="TextBody"/>
        <w:spacing w:before="240" w:after="0"/>
        <w:jc w:val="left"/>
        <w:rPr>
          <w:rFonts w:ascii="Times New Roman" w:hAnsi="Times New Roman"/>
          <w:sz w:val="20"/>
        </w:rPr>
      </w:pPr>
      <w:r>
        <w:rPr>
          <w:rFonts w:ascii="Times New Roman" w:hAnsi="Times New Roman"/>
          <w:sz w:val="20"/>
        </w:rPr>
        <w:t xml:space="preserve">For discussion of significant related party transactions we entered into during the years ended December 31, 2022, 2021 and 2020, see note 24 to the consolidated financial statements included elsewhere in this annual report. </w:t>
      </w:r>
    </w:p>
    <w:p>
      <w:pPr>
        <w:pStyle w:val="TextBody"/>
        <w:spacing w:before="360" w:after="0"/>
        <w:jc w:val="left"/>
        <w:rPr>
          <w:rFonts w:ascii="Times New Roman" w:hAnsi="Times New Roman"/>
          <w:b/>
          <w:sz w:val="20"/>
        </w:rPr>
      </w:pPr>
      <w:r>
        <w:rPr>
          <w:rFonts w:ascii="Times New Roman" w:hAnsi="Times New Roman"/>
          <w:b/>
          <w:sz w:val="20"/>
        </w:rPr>
        <w:t xml:space="preserve">Employment Agreements </w:t>
      </w:r>
    </w:p>
    <w:p>
      <w:pPr>
        <w:pStyle w:val="TextBody"/>
        <w:spacing w:before="120" w:after="0"/>
        <w:jc w:val="left"/>
        <w:rPr>
          <w:rFonts w:ascii="Times New Roman" w:hAnsi="Times New Roman"/>
          <w:sz w:val="20"/>
        </w:rPr>
      </w:pPr>
      <w:r>
        <w:rPr>
          <w:rFonts w:ascii="Times New Roman" w:hAnsi="Times New Roman"/>
          <w:sz w:val="20"/>
        </w:rPr>
        <w:t xml:space="preserve">We have entered into employment agreements with key management and personnel of our Company and our subsidiaries. See “Item 6. Directors, Senior Management and Employees — C. Board Practices — Employment Agreements.” </w:t>
      </w:r>
    </w:p>
    <w:p>
      <w:pPr>
        <w:pStyle w:val="TextBody"/>
        <w:spacing w:before="360" w:after="0"/>
        <w:jc w:val="left"/>
        <w:rPr>
          <w:rFonts w:ascii="Times New Roman" w:hAnsi="Times New Roman"/>
          <w:b/>
          <w:sz w:val="20"/>
        </w:rPr>
      </w:pPr>
      <w:r>
        <w:rPr>
          <w:rFonts w:ascii="Times New Roman" w:hAnsi="Times New Roman"/>
          <w:b/>
          <w:sz w:val="20"/>
        </w:rPr>
        <w:t xml:space="preserve">Equity Incentive Plans </w:t>
      </w:r>
    </w:p>
    <w:p>
      <w:pPr>
        <w:pStyle w:val="TextBody"/>
        <w:spacing w:before="120" w:after="0"/>
        <w:jc w:val="left"/>
        <w:rPr>
          <w:rFonts w:ascii="Times New Roman" w:hAnsi="Times New Roman"/>
          <w:sz w:val="20"/>
        </w:rPr>
      </w:pPr>
      <w:r>
        <w:rPr>
          <w:rFonts w:ascii="Times New Roman" w:hAnsi="Times New Roman"/>
          <w:sz w:val="20"/>
        </w:rPr>
        <w:t xml:space="preserve">See “Item 6. Directors, Senior Management and Employees — B. Compensation of Directors and Executive Officers.” </w:t>
      </w:r>
    </w:p>
    <w:p>
      <w:pPr>
        <w:pStyle w:val="TextBody"/>
        <w:spacing w:before="360" w:after="0"/>
        <w:jc w:val="left"/>
        <w:rPr>
          <w:rFonts w:ascii="Times New Roman" w:hAnsi="Times New Roman"/>
          <w:b/>
          <w:sz w:val="20"/>
        </w:rPr>
      </w:pPr>
      <w:r>
        <w:rPr>
          <w:rFonts w:ascii="Times New Roman" w:hAnsi="Times New Roman"/>
          <w:b/>
          <w:sz w:val="20"/>
        </w:rPr>
        <w:t xml:space="preserve">Facility Agreement </w:t>
      </w:r>
    </w:p>
    <w:p>
      <w:pPr>
        <w:pStyle w:val="TextBody"/>
        <w:spacing w:before="120" w:after="0"/>
        <w:jc w:val="left"/>
        <w:rPr>
          <w:rFonts w:ascii="Times New Roman" w:hAnsi="Times New Roman"/>
          <w:sz w:val="20"/>
        </w:rPr>
      </w:pPr>
      <w:r>
        <w:rPr>
          <w:rFonts w:ascii="Times New Roman" w:hAnsi="Times New Roman"/>
          <w:sz w:val="20"/>
        </w:rPr>
        <w:t xml:space="preserve">On March 28, 2022, the Company entered into a facility agreement (the “Facility Agreement”) with Melco International pursuant to which a US$250.0 million revolving loan facility was granted by the Company as lender to Melco International as borrower for a period of 12 months after the first utilization date (the last day of such period being the “Final Repayment Date”). Melco International may request for utilization of all or part of the loan from the date of the Facility Agreement until one month prior to the Final Repayment Date for general corporate purposes of Melco International and its subsidiaries (excluding the Company and 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subsidiaries). Principal amounts outstanding under the Facility Agreement bear interest at an annual rate of 11.0%, with outstanding principal amounts and accrued interest payable by Melco International on the Final Repayment Date. The entry into the Facility Agreement was approved by the Audit and Risk Committee of the board of directors of the Company. A draw down by Melco International in the amount of US$200 million was utilized on April 7, 2022 and repaid in January 2023 and, following the settlement of all other amounts due thereunder by Melco International to the Company, the Facility Agreement was terminated in March 2023. </w:t>
      </w:r>
    </w:p>
    <w:p>
      <w:pPr>
        <w:pStyle w:val="TextBody"/>
        <w:spacing w:before="360" w:after="0"/>
        <w:jc w:val="left"/>
        <w:rPr>
          <w:rFonts w:ascii="Times New Roman" w:hAnsi="Times New Roman"/>
          <w:b/>
          <w:sz w:val="20"/>
        </w:rPr>
      </w:pPr>
      <w:r>
        <w:rPr>
          <w:rFonts w:ascii="Times New Roman" w:hAnsi="Times New Roman"/>
          <w:b/>
          <w:sz w:val="20"/>
        </w:rPr>
        <w:t xml:space="preserve">Melco Leisure Share Repurchases </w:t>
      </w:r>
    </w:p>
    <w:p>
      <w:pPr>
        <w:pStyle w:val="TextBody"/>
        <w:spacing w:before="120" w:after="0"/>
        <w:jc w:val="left"/>
        <w:rPr>
          <w:rFonts w:ascii="Times New Roman" w:hAnsi="Times New Roman"/>
          <w:sz w:val="20"/>
        </w:rPr>
      </w:pPr>
      <w:r>
        <w:rPr>
          <w:rFonts w:ascii="Times New Roman" w:hAnsi="Times New Roman"/>
          <w:sz w:val="20"/>
        </w:rPr>
        <w:t xml:space="preserve">In August 2022, we repurchased 9,995,799 ordinary shares and 25,000,000 ADSs from Melco Leisure for an aggregate purchase price of approximately US$152.7 million under a share repurchase agreement entered into by the Company with Melco International and Melco Leisure in August 2022. </w:t>
      </w:r>
    </w:p>
    <w:p>
      <w:pPr>
        <w:pStyle w:val="TextBody"/>
        <w:spacing w:before="240" w:after="0"/>
        <w:jc w:val="left"/>
        <w:rPr>
          <w:rFonts w:ascii="Times New Roman" w:hAnsi="Times New Roman"/>
          <w:sz w:val="20"/>
        </w:rPr>
      </w:pPr>
      <w:r>
        <w:rPr>
          <w:rFonts w:ascii="Times New Roman" w:hAnsi="Times New Roman"/>
          <w:sz w:val="20"/>
        </w:rPr>
        <w:t xml:space="preserve">In March 2023, we repurchased 40,373,076 ordinary shares from Melco Leisure for an aggregate purchase price of approximately US$169.8 million under a share repurchase agreement entered into by the Company with Melco International and Melco Leisure in March 2023. </w:t>
      </w:r>
    </w:p>
    <w:p>
      <w:pPr>
        <w:pStyle w:val="TextBody"/>
        <w:spacing w:before="480" w:after="0"/>
        <w:jc w:val="center"/>
        <w:rPr>
          <w:rFonts w:ascii="Times New Roman" w:hAnsi="Times New Roman"/>
          <w:b/>
          <w:sz w:val="20"/>
        </w:rPr>
      </w:pPr>
      <w:bookmarkStart w:id="37" w:name="rom396630_34"/>
      <w:bookmarkEnd w:id="37"/>
      <w:r>
        <w:rPr>
          <w:rFonts w:ascii="Times New Roman" w:hAnsi="Times New Roman"/>
          <w:b/>
          <w:sz w:val="20"/>
        </w:rPr>
        <w:t xml:space="preserve">C. INTERESTS OF EXPERTS AND COUNSEL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3550" w:type="dxa"/>
        <w:jc w:val="left"/>
        <w:tblInd w:w="0" w:type="dxa"/>
        <w:tblCellMar>
          <w:top w:w="0" w:type="dxa"/>
          <w:left w:w="0" w:type="dxa"/>
          <w:bottom w:w="0" w:type="dxa"/>
          <w:right w:w="0" w:type="dxa"/>
        </w:tblCellMar>
      </w:tblPr>
      <w:tblGrid>
        <w:gridCol w:w="920"/>
        <w:gridCol w:w="2630"/>
      </w:tblGrid>
      <w:tr>
        <w:trPr/>
        <w:tc>
          <w:tcPr>
            <w:tcW w:w="920" w:type="dxa"/>
            <w:tcBorders/>
            <w:shd w:fill="auto" w:val="clear"/>
            <w:vAlign w:val="center"/>
          </w:tcPr>
          <w:p>
            <w:pPr>
              <w:pStyle w:val="TableContents"/>
              <w:spacing w:before="0" w:after="283"/>
              <w:jc w:val="left"/>
              <w:rPr>
                <w:b/>
              </w:rPr>
            </w:pPr>
            <w:bookmarkStart w:id="38" w:name="rom396630_35"/>
            <w:bookmarkEnd w:id="38"/>
            <w:r>
              <w:rPr>
                <w:b/>
              </w:rPr>
              <w:t>ITEM 8.</w:t>
            </w:r>
          </w:p>
        </w:tc>
        <w:tc>
          <w:tcPr>
            <w:tcW w:w="26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spacing w:before="480" w:after="0"/>
        <w:jc w:val="center"/>
        <w:rPr>
          <w:rFonts w:ascii="Times New Roman" w:hAnsi="Times New Roman"/>
          <w:b/>
          <w:sz w:val="20"/>
        </w:rPr>
      </w:pPr>
      <w:bookmarkStart w:id="39" w:name="rom396630_36"/>
      <w:bookmarkEnd w:id="39"/>
      <w:r>
        <w:rPr>
          <w:rFonts w:ascii="Times New Roman" w:hAnsi="Times New Roman"/>
          <w:b/>
          <w:sz w:val="20"/>
        </w:rPr>
        <w:t xml:space="preserve">A. CONSOLIDATED STATEMENTS AND OTHER FINANCIAL INFORMATION </w:t>
      </w:r>
    </w:p>
    <w:p>
      <w:pPr>
        <w:pStyle w:val="TextBody"/>
        <w:spacing w:before="120" w:after="0"/>
        <w:jc w:val="left"/>
        <w:rPr>
          <w:rFonts w:ascii="Times New Roman" w:hAnsi="Times New Roman"/>
          <w:sz w:val="20"/>
        </w:rPr>
      </w:pPr>
      <w:r>
        <w:rPr>
          <w:rFonts w:ascii="Times New Roman" w:hAnsi="Times New Roman"/>
          <w:sz w:val="20"/>
        </w:rPr>
        <w:t xml:space="preserve">We have appended consolidated financial statements filed as part of this annual report. </w:t>
      </w:r>
    </w:p>
    <w:p>
      <w:pPr>
        <w:pStyle w:val="TextBody"/>
        <w:spacing w:before="360" w:after="0"/>
        <w:jc w:val="left"/>
        <w:rPr>
          <w:rFonts w:ascii="Times New Roman" w:hAnsi="Times New Roman"/>
          <w:b/>
          <w:sz w:val="20"/>
        </w:rPr>
      </w:pPr>
      <w:r>
        <w:rPr>
          <w:rFonts w:ascii="Times New Roman" w:hAnsi="Times New Roman"/>
          <w:b/>
          <w:sz w:val="20"/>
        </w:rPr>
        <w:t xml:space="preserve">Legal and Administrative Proceedings </w:t>
      </w:r>
    </w:p>
    <w:p>
      <w:pPr>
        <w:pStyle w:val="TextBody"/>
        <w:spacing w:before="120" w:after="0"/>
        <w:jc w:val="left"/>
        <w:rPr>
          <w:rFonts w:ascii="Times New Roman" w:hAnsi="Times New Roman"/>
          <w:sz w:val="20"/>
        </w:rPr>
      </w:pPr>
      <w:r>
        <w:rPr>
          <w:rFonts w:ascii="Times New Roman" w:hAnsi="Times New Roman"/>
          <w:sz w:val="20"/>
        </w:rPr>
        <w:t xml:space="preserve">We are currently a party to certain legal and administrative proceedings, investigations and claims, which relate to matters arising out of the ordinary course of our business. Based on the current status of such proceedings and the information currently available, our management does not believe that the outcome of such proceedings will have a material adverse effect on our business, financial condition or results of operations. </w:t>
      </w:r>
    </w:p>
    <w:p>
      <w:pPr>
        <w:pStyle w:val="TextBody"/>
        <w:spacing w:before="360" w:after="0"/>
        <w:jc w:val="left"/>
        <w:rPr>
          <w:rFonts w:ascii="Times New Roman" w:hAnsi="Times New Roman"/>
          <w:b/>
          <w:sz w:val="20"/>
        </w:rPr>
      </w:pPr>
      <w:r>
        <w:rPr>
          <w:rFonts w:ascii="Times New Roman" w:hAnsi="Times New Roman"/>
          <w:b/>
          <w:sz w:val="20"/>
        </w:rPr>
        <w:t xml:space="preserve">Dividend Policy </w:t>
      </w:r>
    </w:p>
    <w:p>
      <w:pPr>
        <w:pStyle w:val="TextBody"/>
        <w:spacing w:before="120" w:after="0"/>
        <w:jc w:val="left"/>
        <w:rPr>
          <w:rFonts w:ascii="Times New Roman" w:hAnsi="Times New Roman"/>
          <w:sz w:val="20"/>
        </w:rPr>
      </w:pPr>
      <w:r>
        <w:rPr>
          <w:rFonts w:ascii="Times New Roman" w:hAnsi="Times New Roman"/>
          <w:sz w:val="20"/>
        </w:rPr>
        <w:t xml:space="preserve">On May 14, 2020, we announced the suspension of the Company’s quarterly dividend program to preserve liquidity in light of COVID-19 outbreaks and to continue investing in our business. Our board will continue to review from time to time our dividend policy as part of our commitment to maximizing shareholder value, taking into consideration our financial performance and market conditions. </w:t>
      </w:r>
    </w:p>
    <w:p>
      <w:pPr>
        <w:pStyle w:val="TextBody"/>
        <w:spacing w:before="240" w:after="0"/>
        <w:jc w:val="left"/>
        <w:rPr>
          <w:rFonts w:ascii="Times New Roman" w:hAnsi="Times New Roman"/>
          <w:sz w:val="20"/>
        </w:rPr>
      </w:pPr>
      <w:r>
        <w:rPr>
          <w:rFonts w:ascii="Times New Roman" w:hAnsi="Times New Roman"/>
          <w:sz w:val="20"/>
        </w:rPr>
        <w:t xml:space="preserve">Our board retains complete discretion on whether to pay dividends.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dollars for holders of ordinary shares and U.S. dollars for holders of our ADSs. </w:t>
      </w:r>
    </w:p>
    <w:p>
      <w:pPr>
        <w:pStyle w:val="TextBody"/>
        <w:spacing w:before="240" w:after="0"/>
        <w:jc w:val="left"/>
        <w:rPr>
          <w:rFonts w:ascii="Times New Roman" w:hAnsi="Times New Roman"/>
          <w:sz w:val="20"/>
        </w:rPr>
      </w:pPr>
      <w:r>
        <w:rPr>
          <w:rFonts w:ascii="Times New Roman" w:hAnsi="Times New Roman"/>
          <w:sz w:val="20"/>
        </w:rPr>
        <w:t xml:space="preserve">All subsidiaries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or administration of the relevant subsidiaries. </w:t>
      </w:r>
    </w:p>
    <w:p>
      <w:pPr>
        <w:pStyle w:val="TextBody"/>
        <w:spacing w:before="240" w:after="0"/>
        <w:jc w:val="left"/>
        <w:rPr>
          <w:rFonts w:ascii="Times New Roman" w:hAnsi="Times New Roman"/>
          <w:sz w:val="20"/>
        </w:rPr>
      </w:pPr>
      <w:r>
        <w:rPr>
          <w:rFonts w:ascii="Times New Roman" w:hAnsi="Times New Roman"/>
          <w:sz w:val="20"/>
        </w:rPr>
        <w:t xml:space="preserve">Our 2015 Credit Facilities, 2020 Credit Facilities, Studio City Notes, 2028 Studio City Senior Secured Credit Facility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 We cannot assure you that we will make dividend payments in the future.” </w:t>
      </w:r>
    </w:p>
    <w:p>
      <w:pPr>
        <w:pStyle w:val="TextBody"/>
        <w:spacing w:before="240" w:after="0"/>
        <w:jc w:val="left"/>
        <w:rPr>
          <w:rFonts w:ascii="Times New Roman" w:hAnsi="Times New Roman"/>
          <w:sz w:val="20"/>
        </w:rPr>
      </w:pPr>
      <w:r>
        <w:rPr>
          <w:rFonts w:ascii="Times New Roman" w:hAnsi="Times New Roman"/>
          <w:sz w:val="20"/>
        </w:rPr>
        <w:t xml:space="preserve">Under the Companies Act (as amended) of the Cayman Islands, subject to the provisions of our amended and restated memorandum and articles of association adopted on March 29, 2017,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 </w:t>
      </w:r>
    </w:p>
    <w:p>
      <w:pPr>
        <w:pStyle w:val="TextBody"/>
        <w:spacing w:before="480" w:after="0"/>
        <w:jc w:val="center"/>
        <w:rPr>
          <w:rFonts w:ascii="Times New Roman" w:hAnsi="Times New Roman"/>
          <w:b/>
          <w:sz w:val="20"/>
        </w:rPr>
      </w:pPr>
      <w:bookmarkStart w:id="40" w:name="rom396630_37"/>
      <w:bookmarkEnd w:id="40"/>
      <w:r>
        <w:rPr>
          <w:rFonts w:ascii="Times New Roman" w:hAnsi="Times New Roman"/>
          <w:b/>
          <w:sz w:val="20"/>
        </w:rPr>
        <w:t xml:space="preserve">B. SIGNIFICANT CHANGES </w:t>
      </w:r>
    </w:p>
    <w:p>
      <w:pPr>
        <w:pStyle w:val="TextBody"/>
        <w:spacing w:before="240" w:after="0"/>
        <w:jc w:val="left"/>
        <w:rPr>
          <w:rFonts w:ascii="Times New Roman" w:hAnsi="Times New Roman"/>
          <w:sz w:val="20"/>
        </w:rPr>
      </w:pPr>
      <w:r>
        <w:rPr>
          <w:rFonts w:ascii="Times New Roman" w:hAnsi="Times New Roman"/>
          <w:sz w:val="20"/>
        </w:rPr>
        <w:t xml:space="preserve">Except as disclosed elsewhere in this annual report, we have not experienced any significant changes since the date of our audited consolidated financial statements included in this annual report. </w:t>
      </w:r>
    </w:p>
    <w:p>
      <w:pPr>
        <w:pStyle w:val="TextBody"/>
        <w:spacing w:before="0" w:after="0"/>
        <w:jc w:val="left"/>
        <w:rPr/>
      </w:pPr>
      <w:r>
        <w:rPr/>
        <w:t> </w:t>
      </w:r>
    </w:p>
    <w:tbl>
      <w:tblPr>
        <w:tblW w:w="3430" w:type="dxa"/>
        <w:jc w:val="left"/>
        <w:tblInd w:w="0" w:type="dxa"/>
        <w:tblCellMar>
          <w:top w:w="0" w:type="dxa"/>
          <w:left w:w="0" w:type="dxa"/>
          <w:bottom w:w="0" w:type="dxa"/>
          <w:right w:w="0" w:type="dxa"/>
        </w:tblCellMar>
      </w:tblPr>
      <w:tblGrid>
        <w:gridCol w:w="920"/>
        <w:gridCol w:w="2510"/>
      </w:tblGrid>
      <w:tr>
        <w:trPr/>
        <w:tc>
          <w:tcPr>
            <w:tcW w:w="920" w:type="dxa"/>
            <w:tcBorders/>
            <w:shd w:fill="auto" w:val="clear"/>
            <w:vAlign w:val="center"/>
          </w:tcPr>
          <w:p>
            <w:pPr>
              <w:pStyle w:val="TableContents"/>
              <w:spacing w:before="0" w:after="283"/>
              <w:jc w:val="left"/>
              <w:rPr>
                <w:b/>
              </w:rPr>
            </w:pPr>
            <w:bookmarkStart w:id="41" w:name="rom396630_44"/>
            <w:bookmarkStart w:id="42" w:name="rom396630_43"/>
            <w:bookmarkStart w:id="43" w:name="rom396630_42"/>
            <w:bookmarkStart w:id="44" w:name="rom396630_41"/>
            <w:bookmarkStart w:id="45" w:name="rom396630_40"/>
            <w:bookmarkStart w:id="46" w:name="rom396630_39"/>
            <w:bookmarkStart w:id="47" w:name="rom396630_38"/>
            <w:bookmarkEnd w:id="41"/>
            <w:bookmarkEnd w:id="42"/>
            <w:bookmarkEnd w:id="43"/>
            <w:bookmarkEnd w:id="44"/>
            <w:bookmarkEnd w:id="45"/>
            <w:bookmarkEnd w:id="46"/>
            <w:bookmarkEnd w:id="47"/>
            <w:r>
              <w:rPr>
                <w:b/>
              </w:rPr>
              <w:t>ITEM 9.</w:t>
            </w:r>
          </w:p>
        </w:tc>
        <w:tc>
          <w:tcPr>
            <w:tcW w:w="25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THE OFFER AND LISTING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except for Item 9.A.4 and Item 9.C. </w:t>
      </w:r>
    </w:p>
    <w:p>
      <w:pPr>
        <w:pStyle w:val="TextBody"/>
        <w:spacing w:before="240" w:after="0"/>
        <w:jc w:val="left"/>
        <w:rPr>
          <w:rFonts w:ascii="Times New Roman" w:hAnsi="Times New Roman"/>
          <w:sz w:val="20"/>
        </w:rPr>
      </w:pPr>
      <w:r>
        <w:rPr>
          <w:rFonts w:ascii="Times New Roman" w:hAnsi="Times New Roman"/>
          <w:sz w:val="20"/>
        </w:rPr>
        <w:t xml:space="preserve">Our ADSs, each representing three ordinary shares, have been listed on Nasdaq under the symbol “MPEL” from December 19, 2006 to April 5, 2017 and under the symbol “MLCO” since April 6, 2017. Our ordinary shares were listed on the HKSE under the stock code “6883” from December 7, 2011 until July 3, 2015. On January 2, 2015, we applied for a voluntary withdrawal of listing of our ordinary shares on the Main Board of the HKSE, which was approved by our shareholders on March 25, 2015. The voluntary withdrawal of listing of our ordinary shares on HKSE took effect on July 3, 2015, following which our shares are only traded on the Nasdaq Global Select Market in the form of ADSs. </w:t>
      </w:r>
    </w:p>
    <w:p>
      <w:pPr>
        <w:pStyle w:val="TextBody"/>
        <w:spacing w:before="0" w:after="0"/>
        <w:jc w:val="left"/>
        <w:rPr/>
      </w:pPr>
      <w:r>
        <w:rPr/>
        <w:t> </w:t>
      </w:r>
    </w:p>
    <w:tbl>
      <w:tblPr>
        <w:tblW w:w="3835" w:type="dxa"/>
        <w:jc w:val="left"/>
        <w:tblInd w:w="0" w:type="dxa"/>
        <w:tblCellMar>
          <w:top w:w="0" w:type="dxa"/>
          <w:left w:w="0" w:type="dxa"/>
          <w:bottom w:w="0" w:type="dxa"/>
          <w:right w:w="0" w:type="dxa"/>
        </w:tblCellMar>
      </w:tblPr>
      <w:tblGrid>
        <w:gridCol w:w="1040"/>
        <w:gridCol w:w="2795"/>
      </w:tblGrid>
      <w:tr>
        <w:trPr/>
        <w:tc>
          <w:tcPr>
            <w:tcW w:w="1040" w:type="dxa"/>
            <w:tcBorders/>
            <w:shd w:fill="auto" w:val="clear"/>
            <w:vAlign w:val="center"/>
          </w:tcPr>
          <w:p>
            <w:pPr>
              <w:pStyle w:val="TableContents"/>
              <w:spacing w:before="0" w:after="283"/>
              <w:jc w:val="left"/>
              <w:rPr>
                <w:b/>
              </w:rPr>
            </w:pPr>
            <w:bookmarkStart w:id="48" w:name="rom396630_45"/>
            <w:bookmarkEnd w:id="48"/>
            <w:r>
              <w:rPr>
                <w:b/>
              </w:rPr>
              <w:t>ITEM 10.</w:t>
            </w:r>
          </w:p>
        </w:tc>
        <w:tc>
          <w:tcPr>
            <w:tcW w:w="279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spacing w:before="480" w:after="0"/>
        <w:jc w:val="center"/>
        <w:rPr>
          <w:rFonts w:ascii="Times New Roman" w:hAnsi="Times New Roman"/>
          <w:b/>
          <w:sz w:val="20"/>
        </w:rPr>
      </w:pPr>
      <w:bookmarkStart w:id="49" w:name="rom396630_46"/>
      <w:bookmarkEnd w:id="49"/>
      <w:r>
        <w:rPr>
          <w:rFonts w:ascii="Times New Roman" w:hAnsi="Times New Roman"/>
          <w:b/>
          <w:sz w:val="20"/>
        </w:rPr>
        <w:t xml:space="preserve">A. SHARE CAPITAL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0" w:name="rom396630_47"/>
      <w:bookmarkEnd w:id="50"/>
      <w:r>
        <w:rPr>
          <w:rFonts w:ascii="Times New Roman" w:hAnsi="Times New Roman"/>
          <w:b/>
          <w:sz w:val="20"/>
        </w:rPr>
        <w:t xml:space="preserve">B. MEMORANDUM AND ARTICLES OF ASSOCIATION </w:t>
      </w:r>
    </w:p>
    <w:p>
      <w:pPr>
        <w:pStyle w:val="TextBody"/>
        <w:spacing w:before="240" w:after="0"/>
        <w:jc w:val="left"/>
        <w:rPr>
          <w:rFonts w:ascii="Times New Roman" w:hAnsi="Times New Roman"/>
          <w:sz w:val="20"/>
        </w:rPr>
      </w:pPr>
      <w:r>
        <w:rPr>
          <w:rFonts w:ascii="Times New Roman" w:hAnsi="Times New Roman"/>
          <w:sz w:val="20"/>
        </w:rPr>
        <w:t xml:space="preserve">Our registered office is located at Intertrust Corporate Services (Cayman) Limited, One Nexus Way, Camana Bay, Grand Cayman KY1-9005, Cayman Islands. We are incorporated in the Cayman Islands as an exempted company with limited liability, are registered with the Cayman Islands Registrar of Companies and have been assigned registration number 143119. Article 3 of our amended and restated memorandum of association provides that the objects for which our Company was established are unrestricted and the Company shall have full power and authority to carry out any object not prohibited by any law as provided by Section 7(4) of the Companies Act (as amended) of the Cayman Islands (hereinafter the “Companies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Enforceability of Civil Liabilities </w:t>
      </w:r>
    </w:p>
    <w:p>
      <w:pPr>
        <w:pStyle w:val="TextBody"/>
        <w:spacing w:before="120" w:after="0"/>
        <w:jc w:val="left"/>
        <w:rPr>
          <w:rFonts w:ascii="Times New Roman" w:hAnsi="Times New Roman"/>
          <w:sz w:val="20"/>
        </w:rPr>
      </w:pPr>
      <w:r>
        <w:rPr>
          <w:rFonts w:ascii="Times New Roman" w:hAnsi="Times New Roman"/>
          <w:sz w:val="20"/>
        </w:rPr>
        <w:t xml:space="preserve">We are incorporated in the Cayman Islands because of certain benefits associated with being a Cayman Islands exempted company, such as: </w:t>
      </w:r>
    </w:p>
    <w:p>
      <w:pPr>
        <w:pStyle w:val="TextBody"/>
        <w:spacing w:before="0" w:after="0"/>
        <w:jc w:val="left"/>
        <w:rPr/>
      </w:pPr>
      <w:r>
        <w:rPr/>
        <w:t> </w:t>
      </w:r>
    </w:p>
    <w:tbl>
      <w:tblPr>
        <w:tblW w:w="2980" w:type="dxa"/>
        <w:jc w:val="left"/>
        <w:tblInd w:w="0" w:type="dxa"/>
        <w:tblCellMar>
          <w:top w:w="0" w:type="dxa"/>
          <w:left w:w="0" w:type="dxa"/>
          <w:bottom w:w="0" w:type="dxa"/>
          <w:right w:w="0" w:type="dxa"/>
        </w:tblCellMar>
      </w:tblPr>
      <w:tblGrid>
        <w:gridCol w:w="75"/>
        <w:gridCol w:w="110"/>
        <w:gridCol w:w="60"/>
        <w:gridCol w:w="2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political and economic stability; </w:t>
            </w:r>
          </w:p>
        </w:tc>
      </w:tr>
    </w:tbl>
    <w:p>
      <w:pPr>
        <w:pStyle w:val="TextBody"/>
        <w:spacing w:before="0" w:after="0"/>
        <w:jc w:val="left"/>
        <w:rPr/>
      </w:pPr>
      <w:r>
        <w:rPr/>
        <w:t> </w:t>
      </w:r>
    </w:p>
    <w:tbl>
      <w:tblPr>
        <w:tblW w:w="2605" w:type="dxa"/>
        <w:jc w:val="left"/>
        <w:tblInd w:w="0" w:type="dxa"/>
        <w:tblCellMar>
          <w:top w:w="0" w:type="dxa"/>
          <w:left w:w="0" w:type="dxa"/>
          <w:bottom w:w="0" w:type="dxa"/>
          <w:right w:w="0" w:type="dxa"/>
        </w:tblCellMar>
      </w:tblPr>
      <w:tblGrid>
        <w:gridCol w:w="75"/>
        <w:gridCol w:w="110"/>
        <w:gridCol w:w="60"/>
        <w:gridCol w:w="2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effective judicial system; </w:t>
            </w:r>
          </w:p>
        </w:tc>
      </w:tr>
    </w:tbl>
    <w:p>
      <w:pPr>
        <w:pStyle w:val="TextBody"/>
        <w:spacing w:before="0" w:after="0"/>
        <w:jc w:val="left"/>
        <w:rPr/>
      </w:pPr>
      <w:r>
        <w:rPr/>
        <w:t> </w:t>
      </w:r>
    </w:p>
    <w:tbl>
      <w:tblPr>
        <w:tblW w:w="2185" w:type="dxa"/>
        <w:jc w:val="left"/>
        <w:tblInd w:w="0" w:type="dxa"/>
        <w:tblCellMar>
          <w:top w:w="0" w:type="dxa"/>
          <w:left w:w="0" w:type="dxa"/>
          <w:bottom w:w="0" w:type="dxa"/>
          <w:right w:w="0" w:type="dxa"/>
        </w:tblCellMar>
      </w:tblPr>
      <w:tblGrid>
        <w:gridCol w:w="75"/>
        <w:gridCol w:w="110"/>
        <w:gridCol w:w="60"/>
        <w:gridCol w:w="1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favorable tax system; </w:t>
            </w:r>
          </w:p>
        </w:tc>
      </w:tr>
    </w:tbl>
    <w:p>
      <w:pPr>
        <w:pStyle w:val="TextBody"/>
        <w:spacing w:before="0" w:after="0"/>
        <w:jc w:val="left"/>
        <w:rPr/>
      </w:pPr>
      <w:r>
        <w:rPr/>
        <w:t> </w:t>
      </w:r>
    </w:p>
    <w:tbl>
      <w:tblPr>
        <w:tblW w:w="5245" w:type="dxa"/>
        <w:jc w:val="left"/>
        <w:tblInd w:w="0" w:type="dxa"/>
        <w:tblCellMar>
          <w:top w:w="0" w:type="dxa"/>
          <w:left w:w="0" w:type="dxa"/>
          <w:bottom w:w="0" w:type="dxa"/>
          <w:right w:w="0" w:type="dxa"/>
        </w:tblCellMar>
      </w:tblPr>
      <w:tblGrid>
        <w:gridCol w:w="75"/>
        <w:gridCol w:w="110"/>
        <w:gridCol w:w="60"/>
        <w:gridCol w:w="50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absence of exchange control or currency restrictions; and </w:t>
            </w:r>
          </w:p>
        </w:tc>
      </w:tr>
    </w:tbl>
    <w:p>
      <w:pPr>
        <w:pStyle w:val="TextBody"/>
        <w:spacing w:before="0" w:after="0"/>
        <w:jc w:val="left"/>
        <w:rPr/>
      </w:pPr>
      <w:r>
        <w:rPr/>
        <w:t> </w:t>
      </w:r>
    </w:p>
    <w:tbl>
      <w:tblPr>
        <w:tblW w:w="4555" w:type="dxa"/>
        <w:jc w:val="left"/>
        <w:tblInd w:w="0" w:type="dxa"/>
        <w:tblCellMar>
          <w:top w:w="0" w:type="dxa"/>
          <w:left w:w="0" w:type="dxa"/>
          <w:bottom w:w="0" w:type="dxa"/>
          <w:right w:w="0" w:type="dxa"/>
        </w:tblCellMar>
      </w:tblPr>
      <w:tblGrid>
        <w:gridCol w:w="75"/>
        <w:gridCol w:w="110"/>
        <w:gridCol w:w="60"/>
        <w:gridCol w:w="4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availability of professional and support services. </w:t>
            </w:r>
          </w:p>
        </w:tc>
      </w:tr>
    </w:tbl>
    <w:p>
      <w:pPr>
        <w:pStyle w:val="TextBody"/>
        <w:spacing w:before="240" w:after="0"/>
        <w:jc w:val="left"/>
        <w:rPr>
          <w:rFonts w:ascii="Times New Roman" w:hAnsi="Times New Roman"/>
          <w:sz w:val="20"/>
        </w:rPr>
      </w:pPr>
      <w:r>
        <w:rPr>
          <w:rFonts w:ascii="Times New Roman" w:hAnsi="Times New Roman"/>
          <w:sz w:val="20"/>
        </w:rPr>
        <w:t xml:space="preserve">However, certain disadvantages accompany incorporation in the Cayman Islands. For example, the Cayman Islands has a less developed body of securities laws as compared to the United States and provides fewer protections to investors. </w:t>
      </w:r>
    </w:p>
    <w:p>
      <w:pPr>
        <w:pStyle w:val="TextBody"/>
        <w:spacing w:before="240" w:after="0"/>
        <w:jc w:val="left"/>
        <w:rPr>
          <w:rFonts w:ascii="Times New Roman" w:hAnsi="Times New Roman"/>
          <w:sz w:val="20"/>
        </w:rPr>
      </w:pPr>
      <w:r>
        <w:rPr>
          <w:rFonts w:ascii="Times New Roman" w:hAnsi="Times New Roman"/>
          <w:sz w:val="20"/>
        </w:rPr>
        <w:t xml:space="preserve">Virtually all of our assets are located outside of the United States. All of our current operations, and administrative and corporate functions are conducted in Macau, Hong Kong, Singapore, the Philippines, Cyprus and Japan. In addition, substantially all of our directors and officers are nationals and residents of countries other than the United States. A very significant portion of the assets of these persons are located outside the United States. Due to the lack of reciprocity and treaties between the United States and some of these foreign jurisdictions, together with cost and time constraints, it may be difficult for you to effect service of process within the United States upon these persons. In particular, while none of our directors or officers spend a significant amount of time physically located in mainland China, all of our directors and officers, other than Ms. Galante, spend a significant amount of time physically located in Hong Kong and/or Macau, and it could be more difficult to enforce liabilities and judgments on those individuals. For the same reasons, it may also be difficult for you to enforce in the Cayman Islands, Macau, Hong Kong, Singapore, Philippines, Cyprus or Japan courts judgments obtained in U.S. courts based on the civil liability provisions of the U.S. federal securities laws against our Company and our officers and directors, most of whom are not residents in the United States and the substantial portion of whose assets are located outside of the United States. </w:t>
      </w:r>
    </w:p>
    <w:p>
      <w:pPr>
        <w:pStyle w:val="TextBody"/>
        <w:spacing w:before="240" w:after="0"/>
        <w:jc w:val="left"/>
        <w:rPr>
          <w:rFonts w:ascii="Times New Roman" w:hAnsi="Times New Roman"/>
          <w:sz w:val="20"/>
        </w:rPr>
      </w:pPr>
      <w:r>
        <w:rPr>
          <w:rFonts w:ascii="Times New Roman" w:hAnsi="Times New Roman"/>
          <w:sz w:val="20"/>
        </w:rPr>
        <w:t xml:space="preserve">In addition, there is uncertainty as to whether the courts of the Cayman Islands, Macau, Hong Kong, Singapore, the Philippines, Cyprus or Japan would recognize or enforce judgments of U.S. courts against our Company or such persons predicated upon the civil liability provisions of the securities laws of the United States or any state. For instance, judgments of United States courts may not be directly enforced in Hong Kong.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(but not otherwise),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 Similarly, the judgment of United States courts may not be directly enforced in Macau. There are currently no treaties or other arrangements providing for reciprocal enforcement of foreign judgments between Macau and the United States. However, Macau’s civil procedure law permits an action to be brought to the Macau Second Instance Court for the recognition of a judgment obtained in a foreign jurisdiction.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That is to say, upon recognition, a foreign judgment itself would be treated by the courts of Macau as a cause of action in itself so that no retrial of the issues would be necessary. In an action for recognition of a foreign judgment in Macau, the recognition is subject to various conditions, including but not limited to, that the foreign judgment is a final judgment conclusive upon the merits of the claim, the judgment is not in respect of taxes, fines, penalties, or similar fiscal or tax revenue obligations, the proceedings in which the judgment was obtained were not contrary to natural justice, the enforcement of the judgment is not contrary to public policy of Macau, and interest charged to the debtor does not breach usury laws. Such a judgment must be for a definite sum and must also come from a “competent” court as determined by the private international law rules applied by the Macau courts. The defenses that are available to a defendant in an action brought for the recognition of a foreign judgment include lack of jurisdiction, breach of natural justice, fraud, inobservance of due process, improper service of process to the defendant, and contrary to public policy. However, a separate legal action for enforcement of the foreign judgment must be commenced in Macau in order to recover a debt from the judgment debtor, in case the debtor does not make voluntary payment of its debt upon recognition of the foreign judgment by the Courts in Macau. </w:t>
      </w:r>
    </w:p>
    <w:p>
      <w:pPr>
        <w:pStyle w:val="TextBody"/>
        <w:spacing w:before="240" w:after="0"/>
        <w:jc w:val="left"/>
        <w:rPr>
          <w:rFonts w:ascii="Times New Roman" w:hAnsi="Times New Roman"/>
          <w:sz w:val="20"/>
        </w:rPr>
      </w:pPr>
      <w:r>
        <w:rPr>
          <w:rFonts w:ascii="Times New Roman" w:hAnsi="Times New Roman"/>
          <w:sz w:val="20"/>
        </w:rPr>
        <w:t xml:space="preserve">Furthermore, it is uncertain whether such Cayman Islands, Macau, Hong Kong, Singapore, the Philippine, Cyprus or Japan courts would be competent to hear original actions brought in the Cayman Islands, Macau, Hong Kong, Singapore, the Philippines, Cyprus or Japan against us or such persons predicated upon the securities laws of the United States or any state. See “Item 3. Key Information — D Risk Factors — Risks Relating to Our Shares and ADSs — You may have difficulty enforcing judgments obtained against us.” </w:t>
      </w:r>
    </w:p>
    <w:p>
      <w:pPr>
        <w:pStyle w:val="TextBody"/>
        <w:spacing w:before="240" w:after="0"/>
        <w:jc w:val="left"/>
        <w:rPr>
          <w:rFonts w:ascii="Times New Roman" w:hAnsi="Times New Roman"/>
          <w:sz w:val="20"/>
        </w:rPr>
      </w:pPr>
      <w:r>
        <w:rPr>
          <w:rFonts w:ascii="Times New Roman" w:hAnsi="Times New Roman"/>
          <w:sz w:val="20"/>
        </w:rPr>
        <w:t xml:space="preserve">The following are summaries of material provisions of our memorandum and articles of association and the Companies Act, insofar as they relate to the material terms of our ordinary shares.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3 of our memorandum of association, the objects for which we were established are unrestricted and we have full power and authority to carry out any object not prohibited by any law as provided by Section 7(4) of the Companies Act. </w:t>
      </w:r>
    </w:p>
    <w:p>
      <w:pPr>
        <w:pStyle w:val="TextBody"/>
        <w:spacing w:before="360" w:after="0"/>
        <w:jc w:val="left"/>
        <w:rPr>
          <w:rFonts w:ascii="Times New Roman" w:hAnsi="Times New Roman"/>
          <w:b/>
          <w:sz w:val="20"/>
        </w:rPr>
      </w:pPr>
      <w:r>
        <w:rPr>
          <w:rFonts w:ascii="Times New Roman" w:hAnsi="Times New Roman"/>
          <w:b/>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The holders of our ordinary shares are entitled to such dividends as may be declared by our board of directors subject to the Companies Act and our articles of association. Our articles of association do not provide a time limit after which a shareholder’s entitlement to an unclaimed dividend lapses. </w:t>
      </w:r>
    </w:p>
    <w:p>
      <w:pPr>
        <w:pStyle w:val="TextBody"/>
        <w:spacing w:before="360" w:after="0"/>
        <w:jc w:val="left"/>
        <w:rPr>
          <w:rFonts w:ascii="Times New Roman" w:hAnsi="Times New Roman"/>
          <w:b/>
          <w:sz w:val="20"/>
        </w:rPr>
      </w:pPr>
      <w:r>
        <w:rPr>
          <w:rFonts w:ascii="Times New Roman" w:hAnsi="Times New Roman"/>
          <w:b/>
          <w:sz w:val="20"/>
        </w:rPr>
        <w:t xml:space="preserve">Directors </w:t>
      </w:r>
    </w:p>
    <w:p>
      <w:pPr>
        <w:pStyle w:val="TextBody"/>
        <w:spacing w:before="120" w:after="0"/>
        <w:jc w:val="left"/>
        <w:rPr>
          <w:rFonts w:ascii="Times New Roman" w:hAnsi="Times New Roman"/>
          <w:sz w:val="20"/>
        </w:rPr>
      </w:pPr>
      <w:r>
        <w:rPr>
          <w:rFonts w:ascii="Times New Roman" w:hAnsi="Times New Roman"/>
          <w:sz w:val="20"/>
        </w:rPr>
        <w:t xml:space="preserve">Directors of our Company may be appointed either by an ordinary resolution of the shareholders or by the affirmative vote of all directors. Each director holds office until (i) the expiry of his or her term and until a successor has been elected or appointed, or (ii) until the director’s office is vacated by way of resignation, death, prolonged absence, bankruptcy, disqualification by applicable law, removal by a majority of the directors or removal by the shareholders by special resolution. Our articles of association do not require directors to stand for reelection at staggered intervals. </w:t>
      </w:r>
    </w:p>
    <w:p>
      <w:pPr>
        <w:pStyle w:val="TextBody"/>
        <w:spacing w:before="360" w:after="0"/>
        <w:jc w:val="left"/>
        <w:rPr>
          <w:rFonts w:ascii="Times New Roman" w:hAnsi="Times New Roman"/>
          <w:b/>
          <w:sz w:val="20"/>
        </w:rPr>
      </w:pPr>
      <w:r>
        <w:rPr>
          <w:rFonts w:ascii="Times New Roman" w:hAnsi="Times New Roman"/>
          <w:b/>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ordinary share is entitled to one vote on all matters upon which the ordinary shares are entitled to vote. Voting at any meeting of shareholders is by show of hands unless a poll is demanded. A poll may be demanded by our chairman or one or more shareholders present in person or by proxy entitled to vote and who together hold not less than 10% of the paid up voting share capital of our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quorum required for a meeting of shareholders consists of one or more shareholders who hold at least one-third of our ordinary shares at the meeting present in person or by proxy or, if a corporation or other non-natural person, by its duly authorized representative. Shareholders’ meetings are held annually and may be convened by our board on its own initiative or upon a request to the directors by shareholders holding in aggregate at least ten percent of our paid-up capital which as at the date of deposit of the requisition carries the right of voting at such meetings. Advance notice of at least seven days is required for the convening of our annual general meeting and other shareholders meetings. </w:t>
      </w:r>
    </w:p>
    <w:p>
      <w:pPr>
        <w:pStyle w:val="TextBody"/>
        <w:spacing w:before="240" w:after="0"/>
        <w:jc w:val="left"/>
        <w:rPr>
          <w:rFonts w:ascii="Times New Roman" w:hAnsi="Times New Roman"/>
          <w:sz w:val="20"/>
        </w:rPr>
      </w:pPr>
      <w:r>
        <w:rPr>
          <w:rFonts w:ascii="Times New Roman" w:hAnsi="Times New Roman"/>
          <w:sz w:val="20"/>
        </w:rPr>
        <w:t xml:space="preserve">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 </w:t>
      </w:r>
    </w:p>
    <w:p>
      <w:pPr>
        <w:pStyle w:val="TextBody"/>
        <w:spacing w:before="360" w:after="0"/>
        <w:jc w:val="left"/>
        <w:rPr>
          <w:rFonts w:ascii="Times New Roman" w:hAnsi="Times New Roman"/>
          <w:b/>
          <w:sz w:val="20"/>
        </w:rPr>
      </w:pPr>
      <w:r>
        <w:rPr>
          <w:rFonts w:ascii="Times New Roman" w:hAnsi="Times New Roman"/>
          <w:b/>
          <w:sz w:val="20"/>
        </w:rPr>
        <w:t xml:space="preserve">Transfer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restrictions of our articles of association, as applicable, any of our shareholders may transfer all or any of his or her ordinary shares by an instrument of transfer in the usual or common form or any other form approved by our board. </w:t>
      </w:r>
    </w:p>
    <w:p>
      <w:pPr>
        <w:pStyle w:val="TextBody"/>
        <w:spacing w:before="240" w:after="0"/>
        <w:jc w:val="left"/>
        <w:rPr>
          <w:rFonts w:ascii="Times New Roman" w:hAnsi="Times New Roman"/>
          <w:sz w:val="20"/>
        </w:rPr>
      </w:pPr>
      <w:r>
        <w:rPr>
          <w:rFonts w:ascii="Times New Roman" w:hAnsi="Times New Roman"/>
          <w:sz w:val="20"/>
        </w:rPr>
        <w:t xml:space="preserve">Our board may, in its absolute discretion, decline to register any transfer of any ordinary share which is not fully paid up or on which we have a lien. Our directors may also decline to register any transfer of any ordinary share unless: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lodged with us, accompanied by the certificate for the ordinary shares to which it relates, and such other evidence as our board may reasonably require to show the right of the transferor to make the transfer; </w:t>
            </w:r>
          </w:p>
        </w:tc>
      </w:tr>
    </w:tbl>
    <w:p>
      <w:pPr>
        <w:pStyle w:val="TextBody"/>
        <w:spacing w:before="0" w:after="0"/>
        <w:jc w:val="left"/>
        <w:rPr/>
      </w:pPr>
      <w:r>
        <w:rPr/>
        <w:t> </w:t>
      </w:r>
    </w:p>
    <w:tbl>
      <w:tblPr>
        <w:tblW w:w="6310" w:type="dxa"/>
        <w:jc w:val="left"/>
        <w:tblInd w:w="0" w:type="dxa"/>
        <w:tblCellMar>
          <w:top w:w="0" w:type="dxa"/>
          <w:left w:w="0" w:type="dxa"/>
          <w:bottom w:w="0" w:type="dxa"/>
          <w:right w:w="0" w:type="dxa"/>
        </w:tblCellMar>
      </w:tblPr>
      <w:tblGrid>
        <w:gridCol w:w="75"/>
        <w:gridCol w:w="110"/>
        <w:gridCol w:w="60"/>
        <w:gridCol w:w="60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in respect of only one class of ordinary shares; </w:t>
            </w:r>
          </w:p>
        </w:tc>
      </w:tr>
    </w:tbl>
    <w:p>
      <w:pPr>
        <w:pStyle w:val="TextBody"/>
        <w:spacing w:before="0" w:after="0"/>
        <w:jc w:val="left"/>
        <w:rPr/>
      </w:pPr>
      <w:r>
        <w:rPr/>
        <w:t> </w:t>
      </w:r>
    </w:p>
    <w:tbl>
      <w:tblPr>
        <w:tblW w:w="5185" w:type="dxa"/>
        <w:jc w:val="left"/>
        <w:tblInd w:w="0" w:type="dxa"/>
        <w:tblCellMar>
          <w:top w:w="0" w:type="dxa"/>
          <w:left w:w="0" w:type="dxa"/>
          <w:bottom w:w="0" w:type="dxa"/>
          <w:right w:w="0" w:type="dxa"/>
        </w:tblCellMar>
      </w:tblPr>
      <w:tblGrid>
        <w:gridCol w:w="75"/>
        <w:gridCol w:w="110"/>
        <w:gridCol w:w="60"/>
        <w:gridCol w:w="4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properly stamped, if required;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the case of a transfer to joint holders, the number of joint holders to whom the ordinary share is to be transferred does not exceed four. </w:t>
            </w:r>
          </w:p>
        </w:tc>
      </w:tr>
    </w:tbl>
    <w:p>
      <w:pPr>
        <w:pStyle w:val="TextBody"/>
        <w:spacing w:before="240" w:after="0"/>
        <w:jc w:val="left"/>
        <w:rPr>
          <w:rFonts w:ascii="Times New Roman" w:hAnsi="Times New Roman"/>
          <w:sz w:val="20"/>
        </w:rPr>
      </w:pPr>
      <w:r>
        <w:rPr>
          <w:rFonts w:ascii="Times New Roman" w:hAnsi="Times New Roman"/>
          <w:sz w:val="20"/>
        </w:rPr>
        <w:t xml:space="preserve">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may from time to time determine, provided, however, that the registration of transfers may not be suspended nor the register closed for more than 30 days in any year. </w:t>
      </w:r>
    </w:p>
    <w:p>
      <w:pPr>
        <w:pStyle w:val="TextBody"/>
        <w:spacing w:before="360" w:after="0"/>
        <w:jc w:val="left"/>
        <w:rPr>
          <w:rFonts w:ascii="Times New Roman" w:hAnsi="Times New Roman"/>
          <w:b/>
          <w:sz w:val="20"/>
        </w:rPr>
      </w:pPr>
      <w:r>
        <w:rPr>
          <w:rFonts w:ascii="Times New Roman" w:hAnsi="Times New Roman"/>
          <w:b/>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t>
      </w:r>
    </w:p>
    <w:p>
      <w:pPr>
        <w:pStyle w:val="TextBody"/>
        <w:spacing w:before="360" w:after="0"/>
        <w:jc w:val="left"/>
        <w:rPr>
          <w:rFonts w:ascii="Times New Roman" w:hAnsi="Times New Roman"/>
          <w:b/>
          <w:sz w:val="20"/>
        </w:rPr>
      </w:pPr>
      <w:r>
        <w:rPr>
          <w:rFonts w:ascii="Times New Roman" w:hAnsi="Times New Roman"/>
          <w:b/>
          <w:sz w:val="20"/>
        </w:rPr>
        <w:t xml:space="preserve">Calls on Ordinary Shares and Forfeiture of Ordinary Shares </w:t>
      </w:r>
    </w:p>
    <w:p>
      <w:pPr>
        <w:pStyle w:val="TextBody"/>
        <w:spacing w:before="120" w:after="0"/>
        <w:jc w:val="left"/>
        <w:rPr>
          <w:rFonts w:ascii="Times New Roman" w:hAnsi="Times New Roman"/>
          <w:sz w:val="20"/>
        </w:rPr>
      </w:pPr>
      <w:r>
        <w:rPr>
          <w:rFonts w:ascii="Times New Roman" w:hAnsi="Times New Roman"/>
          <w:sz w:val="20"/>
        </w:rPr>
        <w:t xml:space="preserve">Our board may from time to time make calls upon shareholders for any amounts unpaid on their ordinary shares in a notice served to such shareholders at least 14 clear days prior to the specified time and place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payment. The ordinary shares that have been called upon and remain unpaid on the specified time are subject to forfeiture. Shareholders are not liable for any capital calls by the company except to the extent there is an amount unpaid on their shares. </w:t>
      </w:r>
    </w:p>
    <w:p>
      <w:pPr>
        <w:pStyle w:val="TextBody"/>
        <w:spacing w:before="360" w:after="0"/>
        <w:jc w:val="left"/>
        <w:rPr>
          <w:rFonts w:ascii="Times New Roman" w:hAnsi="Times New Roman"/>
          <w:b/>
          <w:sz w:val="20"/>
        </w:rPr>
      </w:pPr>
      <w:r>
        <w:rPr>
          <w:rFonts w:ascii="Times New Roman" w:hAnsi="Times New Roman"/>
          <w:b/>
          <w:sz w:val="20"/>
        </w:rPr>
        <w:t xml:space="preserve">Redemption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the Companies Act, we may issue shares on terms that are subject to redemption, at our option or at the option of the holders, on such terms and in such manner as the directors may determine. </w:t>
      </w:r>
    </w:p>
    <w:p>
      <w:pPr>
        <w:pStyle w:val="TextBody"/>
        <w:spacing w:before="360" w:after="0"/>
        <w:jc w:val="left"/>
        <w:rPr>
          <w:rFonts w:ascii="Times New Roman" w:hAnsi="Times New Roman"/>
          <w:b/>
          <w:sz w:val="20"/>
        </w:rPr>
      </w:pPr>
      <w:r>
        <w:rPr>
          <w:rFonts w:ascii="Times New Roman" w:hAnsi="Times New Roman"/>
          <w:b/>
          <w:sz w:val="20"/>
        </w:rPr>
        <w:t xml:space="preserve">Prohibitions on the Receipt of Dividends, the Exercise of Voting or Other Rights or the Receipt of Other Remuneration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prohibit anyone who is an unsuitable person or an affiliate of an unsuitable person from: </w:t>
      </w:r>
    </w:p>
    <w:p>
      <w:pPr>
        <w:pStyle w:val="TextBody"/>
        <w:spacing w:before="0" w:after="0"/>
        <w:jc w:val="left"/>
        <w:rPr/>
      </w:pPr>
      <w:r>
        <w:rPr/>
        <w:t> </w:t>
      </w:r>
    </w:p>
    <w:tbl>
      <w:tblPr>
        <w:tblW w:w="4885" w:type="dxa"/>
        <w:jc w:val="left"/>
        <w:tblInd w:w="0" w:type="dxa"/>
        <w:tblCellMar>
          <w:top w:w="0" w:type="dxa"/>
          <w:left w:w="0" w:type="dxa"/>
          <w:bottom w:w="0" w:type="dxa"/>
          <w:right w:w="0" w:type="dxa"/>
        </w:tblCellMar>
      </w:tblPr>
      <w:tblGrid>
        <w:gridCol w:w="75"/>
        <w:gridCol w:w="110"/>
        <w:gridCol w:w="60"/>
        <w:gridCol w:w="4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6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receiving dividends or interest with regard to our shares; </w:t>
            </w:r>
          </w:p>
        </w:tc>
      </w:tr>
    </w:tbl>
    <w:p>
      <w:pPr>
        <w:pStyle w:val="TextBody"/>
        <w:spacing w:before="0" w:after="0"/>
        <w:jc w:val="left"/>
        <w:rPr/>
      </w:pPr>
      <w:r>
        <w:rPr/>
        <w:t> </w:t>
      </w:r>
    </w:p>
    <w:tbl>
      <w:tblPr>
        <w:tblW w:w="5260" w:type="dxa"/>
        <w:jc w:val="left"/>
        <w:tblInd w:w="0" w:type="dxa"/>
        <w:tblCellMar>
          <w:top w:w="0" w:type="dxa"/>
          <w:left w:w="0" w:type="dxa"/>
          <w:bottom w:w="0" w:type="dxa"/>
          <w:right w:w="0" w:type="dxa"/>
        </w:tblCellMar>
      </w:tblPr>
      <w:tblGrid>
        <w:gridCol w:w="75"/>
        <w:gridCol w:w="110"/>
        <w:gridCol w:w="60"/>
        <w:gridCol w:w="50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exercising voting or other rights conferred by our shares; and </w:t>
            </w:r>
          </w:p>
        </w:tc>
      </w:tr>
    </w:tbl>
    <w:p>
      <w:pPr>
        <w:pStyle w:val="TextBody"/>
        <w:spacing w:before="0" w:after="0"/>
        <w:jc w:val="left"/>
        <w:rPr/>
      </w:pPr>
      <w:r>
        <w:rPr/>
        <w:t> </w:t>
      </w:r>
    </w:p>
    <w:tbl>
      <w:tblPr>
        <w:tblW w:w="8995" w:type="dxa"/>
        <w:jc w:val="left"/>
        <w:tblInd w:w="0" w:type="dxa"/>
        <w:tblCellMar>
          <w:top w:w="0" w:type="dxa"/>
          <w:left w:w="0" w:type="dxa"/>
          <w:bottom w:w="0" w:type="dxa"/>
          <w:right w:w="0" w:type="dxa"/>
        </w:tblCellMar>
      </w:tblPr>
      <w:tblGrid>
        <w:gridCol w:w="75"/>
        <w:gridCol w:w="110"/>
        <w:gridCol w:w="60"/>
        <w:gridCol w:w="87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receiving any remuneration in any form from us or an affiliated company for services rendered or otherwise. </w:t>
            </w:r>
          </w:p>
        </w:tc>
      </w:tr>
    </w:tbl>
    <w:p>
      <w:pPr>
        <w:pStyle w:val="TextBody"/>
        <w:spacing w:before="240" w:after="0"/>
        <w:jc w:val="left"/>
        <w:rPr>
          <w:rFonts w:ascii="Times New Roman" w:hAnsi="Times New Roman"/>
          <w:sz w:val="20"/>
        </w:rPr>
      </w:pPr>
      <w:r>
        <w:rPr>
          <w:rFonts w:ascii="Times New Roman" w:hAnsi="Times New Roman"/>
          <w:sz w:val="20"/>
        </w:rPr>
        <w:t xml:space="preserve">Such unsuitable person or its affiliate must sell all of the shares, or allow us to redeem or repurchase the shares on such terms and manner as the directors may determine and agree with the shareholders, within such period of time as specified by a gaming authority. </w:t>
      </w:r>
    </w:p>
    <w:p>
      <w:pPr>
        <w:pStyle w:val="TextBody"/>
        <w:spacing w:before="240" w:after="0"/>
        <w:jc w:val="left"/>
        <w:rPr>
          <w:rFonts w:ascii="Times New Roman" w:hAnsi="Times New Roman"/>
          <w:sz w:val="20"/>
        </w:rPr>
      </w:pPr>
      <w:r>
        <w:rPr>
          <w:rFonts w:ascii="Times New Roman" w:hAnsi="Times New Roman"/>
          <w:sz w:val="20"/>
        </w:rPr>
        <w:t xml:space="preserve">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 </w:t>
      </w:r>
    </w:p>
    <w:p>
      <w:pPr>
        <w:pStyle w:val="TextBody"/>
        <w:spacing w:before="240" w:after="0"/>
        <w:jc w:val="left"/>
        <w:rPr>
          <w:rFonts w:ascii="Times New Roman" w:hAnsi="Times New Roman"/>
          <w:sz w:val="20"/>
        </w:rPr>
      </w:pPr>
      <w:r>
        <w:rPr>
          <w:rFonts w:ascii="Times New Roman" w:hAnsi="Times New Roman"/>
          <w:sz w:val="20"/>
        </w:rPr>
        <w:t xml:space="preserve">The terms “affiliated companies,” “gaming authority” and “person” have the meanings set forth in our articles of association. </w:t>
      </w:r>
    </w:p>
    <w:p>
      <w:pPr>
        <w:pStyle w:val="TextBody"/>
        <w:spacing w:before="360" w:after="0"/>
        <w:jc w:val="left"/>
        <w:rPr>
          <w:rFonts w:ascii="Times New Roman" w:hAnsi="Times New Roman"/>
          <w:b/>
          <w:sz w:val="20"/>
        </w:rPr>
      </w:pPr>
      <w:r>
        <w:rPr>
          <w:rFonts w:ascii="Times New Roman" w:hAnsi="Times New Roman"/>
          <w:b/>
          <w:sz w:val="20"/>
        </w:rPr>
        <w:t xml:space="preserve">Redemption of Securities Owned or Controlled by an Unsuitable Person or an Affiliate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 </w:t>
      </w:r>
    </w:p>
    <w:p>
      <w:pPr>
        <w:pStyle w:val="TextBody"/>
        <w:spacing w:before="240" w:after="0"/>
        <w:jc w:val="left"/>
        <w:rPr>
          <w:rFonts w:ascii="Times New Roman" w:hAnsi="Times New Roman"/>
          <w:sz w:val="20"/>
        </w:rPr>
      </w:pPr>
      <w:r>
        <w:rPr>
          <w:rFonts w:ascii="Times New Roman" w:hAnsi="Times New Roman"/>
          <w:sz w:val="20"/>
        </w:rPr>
        <w:t xml:space="preserve">Our memorandum and articles of association require any unsuitable person and any affiliate of an unsuitable person to indemnify us and our affiliated companies for any and all losses, costs and expenses, including attorneys’ fees, incurred by us and our subsidiaries as a result of the unsuitable person’s or affiliate’s ownership or control of shares, the neglect, refusal or other failure to comply with the provisions of our memorandum and articles of association relating to unsuitable persons, or failure to promptly divest itself of any shares in us. </w:t>
      </w:r>
    </w:p>
    <w:p>
      <w:pPr>
        <w:pStyle w:val="TextBody"/>
        <w:spacing w:before="360" w:after="0"/>
        <w:jc w:val="left"/>
        <w:rPr>
          <w:rFonts w:ascii="Times New Roman" w:hAnsi="Times New Roman"/>
          <w:b/>
          <w:sz w:val="20"/>
        </w:rPr>
      </w:pPr>
      <w:r>
        <w:rPr>
          <w:rFonts w:ascii="Times New Roman" w:hAnsi="Times New Roman"/>
          <w:b/>
          <w:sz w:val="20"/>
        </w:rPr>
        <w:t xml:space="preserve">Variations of Rights of Shares </w:t>
      </w:r>
    </w:p>
    <w:p>
      <w:pPr>
        <w:pStyle w:val="TextBody"/>
        <w:spacing w:before="120" w:after="0"/>
        <w:jc w:val="left"/>
        <w:rPr>
          <w:rFonts w:ascii="Times New Roman" w:hAnsi="Times New Roman"/>
          <w:sz w:val="20"/>
        </w:rPr>
      </w:pPr>
      <w:r>
        <w:rPr>
          <w:rFonts w:ascii="Times New Roman" w:hAnsi="Times New Roman"/>
          <w:sz w:val="20"/>
        </w:rPr>
        <w:t xml:space="preserve">All or any of the rights attached to any class of shares may, subject to the provisions of the Companies Act, be varied or abrogated either with the unanimous written consent of the holders of the issued shares of that class or with the sanction of a special resolution passed at a general meeting of the holders of the shares of that class. </w:t>
      </w:r>
    </w:p>
    <w:p>
      <w:pPr>
        <w:pStyle w:val="TextBody"/>
        <w:spacing w:before="360" w:after="0"/>
        <w:jc w:val="left"/>
        <w:rPr>
          <w:rFonts w:ascii="Times New Roman" w:hAnsi="Times New Roman"/>
          <w:b/>
          <w:sz w:val="20"/>
        </w:rPr>
      </w:pPr>
      <w:r>
        <w:rPr>
          <w:rFonts w:ascii="Times New Roman" w:hAnsi="Times New Roman"/>
          <w:b/>
          <w:sz w:val="20"/>
        </w:rPr>
        <w:t xml:space="preserve">Changes in Capital </w:t>
      </w:r>
    </w:p>
    <w:p>
      <w:pPr>
        <w:pStyle w:val="TextBody"/>
        <w:spacing w:before="120" w:after="0"/>
        <w:jc w:val="left"/>
        <w:rPr>
          <w:rFonts w:ascii="Times New Roman" w:hAnsi="Times New Roman"/>
          <w:sz w:val="20"/>
        </w:rPr>
      </w:pPr>
      <w:r>
        <w:rPr>
          <w:rFonts w:ascii="Times New Roman" w:hAnsi="Times New Roman"/>
          <w:sz w:val="20"/>
        </w:rPr>
        <w:t xml:space="preserve">We may from time to time by ordinary resolution: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increase the share capital by such sum, to be divided into shares of such classes and amount, as the resolution may prescribe; </w:t>
            </w:r>
          </w:p>
        </w:tc>
      </w:tr>
    </w:tbl>
    <w:p>
      <w:pPr>
        <w:pStyle w:val="TextBody"/>
        <w:spacing w:before="0" w:after="0"/>
        <w:jc w:val="left"/>
        <w:rPr/>
      </w:pPr>
      <w:r>
        <w:rPr/>
        <w:t> </w:t>
      </w:r>
    </w:p>
    <w:tbl>
      <w:tblPr>
        <w:tblW w:w="9040" w:type="dxa"/>
        <w:jc w:val="left"/>
        <w:tblInd w:w="0" w:type="dxa"/>
        <w:tblCellMar>
          <w:top w:w="0" w:type="dxa"/>
          <w:left w:w="0" w:type="dxa"/>
          <w:bottom w:w="0" w:type="dxa"/>
          <w:right w:w="0" w:type="dxa"/>
        </w:tblCellMar>
      </w:tblPr>
      <w:tblGrid>
        <w:gridCol w:w="75"/>
        <w:gridCol w:w="110"/>
        <w:gridCol w:w="60"/>
        <w:gridCol w:w="8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consolidate and divide all or any of our share capital into shares of a larger amount than our existing shares; </w:t>
            </w:r>
          </w:p>
        </w:tc>
      </w:tr>
    </w:tbl>
    <w:p>
      <w:pPr>
        <w:pStyle w:val="TextBody"/>
        <w:spacing w:before="0" w:after="0"/>
        <w:jc w:val="left"/>
        <w:rPr/>
      </w:pPr>
      <w:r>
        <w:rPr/>
        <w:t> </w:t>
      </w:r>
    </w:p>
    <w:tbl>
      <w:tblPr>
        <w:tblW w:w="9730" w:type="dxa"/>
        <w:jc w:val="left"/>
        <w:tblInd w:w="0" w:type="dxa"/>
        <w:tblCellMar>
          <w:top w:w="0" w:type="dxa"/>
          <w:left w:w="0" w:type="dxa"/>
          <w:bottom w:w="0" w:type="dxa"/>
          <w:right w:w="0" w:type="dxa"/>
        </w:tblCellMar>
      </w:tblPr>
      <w:tblGrid>
        <w:gridCol w:w="75"/>
        <w:gridCol w:w="110"/>
        <w:gridCol w:w="60"/>
        <w:gridCol w:w="94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4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convert all or any of our paid-up shares into stock and reconvert that stock into paid-up shares of any denomination;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cancel any shares which, at the date of the passing of the resolution, have not been taken or agreed to be taken by any person and diminish the amount of our share capital by the amount of the shares so cancelled. </w:t>
            </w:r>
          </w:p>
        </w:tc>
      </w:tr>
    </w:tbl>
    <w:p>
      <w:pPr>
        <w:pStyle w:val="TextBody"/>
        <w:spacing w:before="240" w:after="0"/>
        <w:jc w:val="left"/>
        <w:rPr>
          <w:rFonts w:ascii="Times New Roman" w:hAnsi="Times New Roman"/>
          <w:sz w:val="20"/>
        </w:rPr>
      </w:pPr>
      <w:r>
        <w:rPr>
          <w:rFonts w:ascii="Times New Roman" w:hAnsi="Times New Roman"/>
          <w:sz w:val="20"/>
        </w:rPr>
        <w:t xml:space="preserve">We may by special resolution reduce our share capital and any capital redemption reserve in any manner authorized by law. </w:t>
      </w:r>
    </w:p>
    <w:p>
      <w:pPr>
        <w:pStyle w:val="TextBody"/>
        <w:spacing w:before="360" w:after="0"/>
        <w:jc w:val="left"/>
        <w:rPr>
          <w:rFonts w:ascii="Times New Roman" w:hAnsi="Times New Roman"/>
          <w:b/>
          <w:sz w:val="20"/>
        </w:rPr>
      </w:pPr>
      <w:r>
        <w:rPr>
          <w:rFonts w:ascii="Times New Roman" w:hAnsi="Times New Roman"/>
          <w:b/>
          <w:sz w:val="20"/>
        </w:rPr>
        <w:t xml:space="preserve">Accounts and Audit </w:t>
      </w:r>
    </w:p>
    <w:p>
      <w:pPr>
        <w:pStyle w:val="TextBody"/>
        <w:spacing w:before="120" w:after="0"/>
        <w:jc w:val="left"/>
        <w:rPr>
          <w:rFonts w:ascii="Times New Roman" w:hAnsi="Times New Roman"/>
          <w:sz w:val="20"/>
        </w:rPr>
      </w:pPr>
      <w:r>
        <w:rPr>
          <w:rFonts w:ascii="Times New Roman" w:hAnsi="Times New Roman"/>
          <w:sz w:val="20"/>
        </w:rPr>
        <w:t xml:space="preserve">No shareholder (other than a director) has any right to inspect any of our accounting records, or books or documents except as conferred by law or authorized by our board or our Company by ordinary resolution of the shareholders. </w:t>
      </w:r>
    </w:p>
    <w:p>
      <w:pPr>
        <w:pStyle w:val="TextBody"/>
        <w:spacing w:before="240" w:after="0"/>
        <w:jc w:val="left"/>
        <w:rPr>
          <w:rFonts w:ascii="Times New Roman" w:hAnsi="Times New Roman"/>
          <w:sz w:val="20"/>
        </w:rPr>
      </w:pPr>
      <w:r>
        <w:rPr>
          <w:rFonts w:ascii="Times New Roman" w:hAnsi="Times New Roman"/>
          <w:sz w:val="20"/>
        </w:rPr>
        <w:t xml:space="preserve">Subject to compliance with all applicable laws, we may send to every person entitled to receive notices of our general meetings under the provisions of the articles of association a summary financial statement derived from our annual accounts and our board’s report.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Auditors shall be appointed and the terms and tenure of such appointment and their duties at all times regulated in accordance with the provisions of the articles of association. The remuneration of the auditors shall be fixed by our board. </w:t>
      </w:r>
    </w:p>
    <w:p>
      <w:pPr>
        <w:pStyle w:val="TextBody"/>
        <w:spacing w:before="240" w:after="0"/>
        <w:jc w:val="left"/>
        <w:rPr>
          <w:rFonts w:ascii="Times New Roman" w:hAnsi="Times New Roman"/>
          <w:sz w:val="20"/>
        </w:rPr>
      </w:pPr>
      <w:r>
        <w:rPr>
          <w:rFonts w:ascii="Times New Roman" w:hAnsi="Times New Roman"/>
          <w:sz w:val="20"/>
        </w:rPr>
        <w:t xml:space="preserve">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 </w:t>
      </w:r>
    </w:p>
    <w:p>
      <w:pPr>
        <w:pStyle w:val="TextBody"/>
        <w:spacing w:before="360" w:after="0"/>
        <w:jc w:val="left"/>
        <w:rPr>
          <w:rFonts w:ascii="Times New Roman" w:hAnsi="Times New Roman"/>
          <w:b/>
          <w:sz w:val="20"/>
        </w:rPr>
      </w:pPr>
      <w:r>
        <w:rPr>
          <w:rFonts w:ascii="Times New Roman" w:hAnsi="Times New Roman"/>
          <w:b/>
          <w:sz w:val="20"/>
        </w:rPr>
        <w:t xml:space="preserve">Exempted Company </w:t>
      </w:r>
    </w:p>
    <w:p>
      <w:pPr>
        <w:pStyle w:val="TextBody"/>
        <w:spacing w:before="120" w:after="0"/>
        <w:jc w:val="left"/>
        <w:rPr>
          <w:rFonts w:ascii="Times New Roman" w:hAnsi="Times New Roman"/>
          <w:sz w:val="20"/>
        </w:rPr>
      </w:pPr>
      <w:r>
        <w:rPr>
          <w:rFonts w:ascii="Times New Roman" w:hAnsi="Times New Roman"/>
          <w:sz w:val="20"/>
        </w:rPr>
        <w:t xml:space="preserve">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annual reporting requirements are minimal and consist mainly of a statement that the company has conducted its operations mainly outside of the Cayman Islands and has complied with the provisions of the Companies Act; </w:t>
            </w:r>
          </w:p>
        </w:tc>
      </w:tr>
    </w:tbl>
    <w:p>
      <w:pPr>
        <w:pStyle w:val="TextBody"/>
        <w:spacing w:before="0" w:after="0"/>
        <w:jc w:val="left"/>
        <w:rPr/>
      </w:pPr>
      <w:r>
        <w:rPr/>
        <w:t> </w:t>
      </w:r>
    </w:p>
    <w:tbl>
      <w:tblPr>
        <w:tblW w:w="6025" w:type="dxa"/>
        <w:jc w:val="left"/>
        <w:tblInd w:w="0" w:type="dxa"/>
        <w:tblCellMar>
          <w:top w:w="0" w:type="dxa"/>
          <w:left w:w="0" w:type="dxa"/>
          <w:bottom w:w="0" w:type="dxa"/>
          <w:right w:w="0" w:type="dxa"/>
        </w:tblCellMar>
      </w:tblPr>
      <w:tblGrid>
        <w:gridCol w:w="75"/>
        <w:gridCol w:w="110"/>
        <w:gridCol w:w="60"/>
        <w:gridCol w:w="5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company’s register of members is not open to inspection; </w:t>
            </w:r>
          </w:p>
        </w:tc>
      </w:tr>
    </w:tbl>
    <w:p>
      <w:pPr>
        <w:pStyle w:val="TextBody"/>
        <w:spacing w:before="0" w:after="0"/>
        <w:jc w:val="left"/>
        <w:rPr/>
      </w:pPr>
      <w:r>
        <w:rPr/>
        <w:t> </w:t>
      </w:r>
    </w:p>
    <w:tbl>
      <w:tblPr>
        <w:tblW w:w="6205" w:type="dxa"/>
        <w:jc w:val="left"/>
        <w:tblInd w:w="0" w:type="dxa"/>
        <w:tblCellMar>
          <w:top w:w="0" w:type="dxa"/>
          <w:left w:w="0" w:type="dxa"/>
          <w:bottom w:w="0" w:type="dxa"/>
          <w:right w:w="0" w:type="dxa"/>
        </w:tblCellMar>
      </w:tblPr>
      <w:tblGrid>
        <w:gridCol w:w="75"/>
        <w:gridCol w:w="110"/>
        <w:gridCol w:w="60"/>
        <w:gridCol w:w="5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does not have to hold an annual general meeting; </w:t>
            </w:r>
          </w:p>
        </w:tc>
      </w:tr>
    </w:tbl>
    <w:p>
      <w:pPr>
        <w:pStyle w:val="TextBody"/>
        <w:spacing w:before="0" w:after="0"/>
        <w:jc w:val="left"/>
        <w:rPr/>
      </w:pPr>
      <w:r>
        <w:rPr/>
        <w:t> </w:t>
      </w:r>
    </w:p>
    <w:tbl>
      <w:tblPr>
        <w:tblW w:w="5050" w:type="dxa"/>
        <w:jc w:val="left"/>
        <w:tblInd w:w="0" w:type="dxa"/>
        <w:tblCellMar>
          <w:top w:w="0" w:type="dxa"/>
          <w:left w:w="0" w:type="dxa"/>
          <w:bottom w:w="0" w:type="dxa"/>
          <w:right w:w="0" w:type="dxa"/>
        </w:tblCellMar>
      </w:tblPr>
      <w:tblGrid>
        <w:gridCol w:w="75"/>
        <w:gridCol w:w="110"/>
        <w:gridCol w:w="60"/>
        <w:gridCol w:w="4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issue shares with no par value;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obtain an undertaking against the imposition of any future taxation (such undertakings are usually given for 20 years in the first instance);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by way of continuation in another jurisdiction and be deregistered in the Cayman Islands; </w:t>
            </w:r>
          </w:p>
        </w:tc>
      </w:tr>
    </w:tbl>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limited duration company; and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75"/>
        <w:gridCol w:w="110"/>
        <w:gridCol w:w="6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segregated portfolio company. </w:t>
            </w:r>
          </w:p>
        </w:tc>
      </w:tr>
    </w:tbl>
    <w:p>
      <w:pPr>
        <w:pStyle w:val="TextBody"/>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spacing w:before="120" w:after="0"/>
        <w:jc w:val="left"/>
        <w:rPr>
          <w:rFonts w:ascii="Times New Roman" w:hAnsi="Times New Roman"/>
          <w:sz w:val="20"/>
        </w:rPr>
      </w:pPr>
      <w:r>
        <w:rPr>
          <w:rFonts w:ascii="Times New Roman" w:hAnsi="Times New Roman"/>
          <w:sz w:val="20"/>
        </w:rPr>
        <w:t xml:space="preserve">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 </w:t>
      </w:r>
    </w:p>
    <w:p>
      <w:pPr>
        <w:pStyle w:val="TextBody"/>
        <w:spacing w:before="360" w:after="0"/>
        <w:jc w:val="left"/>
        <w:rPr>
          <w:rFonts w:ascii="Times New Roman" w:hAnsi="Times New Roman"/>
          <w:b/>
          <w:i/>
          <w:sz w:val="20"/>
        </w:rPr>
      </w:pPr>
      <w:r>
        <w:rPr>
          <w:rFonts w:ascii="Times New Roman" w:hAnsi="Times New Roman"/>
          <w:b/>
          <w:i/>
          <w:sz w:val="20"/>
        </w:rPr>
        <w:t xml:space="preserve">Mergers and Similar Arrangements </w:t>
      </w:r>
    </w:p>
    <w:p>
      <w:pPr>
        <w:pStyle w:val="TextBody"/>
        <w:spacing w:before="120" w:after="0"/>
        <w:jc w:val="left"/>
        <w:rPr>
          <w:rFonts w:ascii="Times New Roman" w:hAnsi="Times New Roman"/>
          <w:sz w:val="20"/>
        </w:rPr>
      </w:pPr>
      <w:r>
        <w:rPr>
          <w:rFonts w:ascii="Times New Roman" w:hAnsi="Times New Roman"/>
          <w:sz w:val="20"/>
        </w:rPr>
        <w:t xml:space="preserve">The Companies Act permits mergers and consolidations between Cayman Islands companies and between Cayman Islands companies and non-Cayman Islands companies. For these purposes: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“merger” means the merging of two or more constituent companies and the vesting of their undertaking, property and liabilities in one of such companies as the surviving company;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“consolidation” means the combination of two or more constituent companies into a consolidated company and the vesting of the undertaking, property and liabilities of such companies to the consolidated company.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order to effect a merger or consolidation, the directors of each constituent company must approve a written plan of merger or consolidation, which must then be authorized by: </w:t>
      </w:r>
    </w:p>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special resolution of the shareholders of each constituent company; and </w:t>
            </w:r>
          </w:p>
        </w:tc>
      </w:tr>
    </w:tbl>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75"/>
        <w:gridCol w:w="110"/>
        <w:gridCol w:w="60"/>
        <w:gridCol w:w="8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such other authorization, if any, as may be specified in such constituent company’s articles of association. </w:t>
            </w:r>
          </w:p>
        </w:tc>
      </w:tr>
    </w:tbl>
    <w:p>
      <w:pPr>
        <w:pStyle w:val="TextBody"/>
        <w:spacing w:before="240" w:after="0"/>
        <w:jc w:val="left"/>
        <w:rPr>
          <w:rFonts w:ascii="Times New Roman" w:hAnsi="Times New Roman"/>
          <w:sz w:val="20"/>
        </w:rPr>
      </w:pPr>
      <w:r>
        <w:rPr>
          <w:rFonts w:ascii="Times New Roman" w:hAnsi="Times New Roman"/>
          <w:sz w:val="20"/>
        </w:rPr>
        <w:t xml:space="preserve">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 </w:t>
      </w:r>
    </w:p>
    <w:p>
      <w:pPr>
        <w:pStyle w:val="TextBody"/>
        <w:spacing w:before="240" w:after="0"/>
        <w:jc w:val="left"/>
        <w:rPr>
          <w:rFonts w:ascii="Times New Roman" w:hAnsi="Times New Roman"/>
          <w:sz w:val="20"/>
        </w:rPr>
      </w:pPr>
      <w:r>
        <w:rPr>
          <w:rFonts w:ascii="Times New Roman" w:hAnsi="Times New Roman"/>
          <w:sz w:val="20"/>
        </w:rPr>
        <w:t xml:space="preserve">The plan of merger or consolidation must be filed with the Registrar of Companies in the Cayman Islands together with a declaration (amongst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 </w:t>
      </w:r>
    </w:p>
    <w:p>
      <w:pPr>
        <w:pStyle w:val="TextBody"/>
        <w:spacing w:before="240" w:after="0"/>
        <w:jc w:val="left"/>
        <w:rPr>
          <w:rFonts w:ascii="Times New Roman" w:hAnsi="Times New Roman"/>
          <w:sz w:val="20"/>
        </w:rPr>
      </w:pPr>
      <w:r>
        <w:rPr>
          <w:rFonts w:ascii="Times New Roman" w:hAnsi="Times New Roman"/>
          <w:sz w:val="20"/>
        </w:rPr>
        <w:t xml:space="preserve">In addition, there are statutory provisions that facilitate compromises or arrangements between a Cayman Islands company and its shareholders (or any class of them). 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(amongst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 </w:t>
      </w:r>
    </w:p>
    <w:p>
      <w:pPr>
        <w:pStyle w:val="TextBody"/>
        <w:spacing w:before="0" w:after="0"/>
        <w:jc w:val="left"/>
        <w:rPr/>
      </w:pPr>
      <w:r>
        <w:rPr/>
        <w:t> </w:t>
      </w:r>
    </w:p>
    <w:tbl>
      <w:tblPr>
        <w:tblW w:w="7240" w:type="dxa"/>
        <w:jc w:val="left"/>
        <w:tblInd w:w="0" w:type="dxa"/>
        <w:tblCellMar>
          <w:top w:w="0" w:type="dxa"/>
          <w:left w:w="0" w:type="dxa"/>
          <w:bottom w:w="0" w:type="dxa"/>
          <w:right w:w="0" w:type="dxa"/>
        </w:tblCellMar>
      </w:tblPr>
      <w:tblGrid>
        <w:gridCol w:w="75"/>
        <w:gridCol w:w="110"/>
        <w:gridCol w:w="60"/>
        <w:gridCol w:w="69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company has complied with the directions set down by the Cayman Islands court; </w:t>
            </w:r>
          </w:p>
        </w:tc>
      </w:tr>
    </w:tbl>
    <w:p>
      <w:pPr>
        <w:pStyle w:val="TextBody"/>
        <w:spacing w:before="0" w:after="0"/>
        <w:jc w:val="left"/>
        <w:rPr/>
      </w:pPr>
      <w:r>
        <w:rPr/>
        <w:t> </w:t>
      </w:r>
    </w:p>
    <w:tbl>
      <w:tblPr>
        <w:tblW w:w="8935" w:type="dxa"/>
        <w:jc w:val="left"/>
        <w:tblInd w:w="0" w:type="dxa"/>
        <w:tblCellMar>
          <w:top w:w="0" w:type="dxa"/>
          <w:left w:w="0" w:type="dxa"/>
          <w:bottom w:w="0" w:type="dxa"/>
          <w:right w:w="0" w:type="dxa"/>
        </w:tblCellMar>
      </w:tblPr>
      <w:tblGrid>
        <w:gridCol w:w="75"/>
        <w:gridCol w:w="110"/>
        <w:gridCol w:w="60"/>
        <w:gridCol w:w="86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6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meeting was properly held and the statutory provisions as to the required majority vote have been met;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and the statutory majority are acting bona fide without coercion of the minority to promote interests adverse to those of the class;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arrangement is such that may be reasonably approved by an intelligent and honest man of that class acting in respect of his/her interest. </w:t>
            </w:r>
          </w:p>
        </w:tc>
      </w:tr>
    </w:tbl>
    <w:p>
      <w:pPr>
        <w:pStyle w:val="TextBody"/>
        <w:spacing w:before="240" w:after="0"/>
        <w:jc w:val="left"/>
        <w:rPr>
          <w:rFonts w:ascii="Times New Roman" w:hAnsi="Times New Roman"/>
          <w:sz w:val="20"/>
        </w:rPr>
      </w:pPr>
      <w:r>
        <w:rPr>
          <w:rFonts w:ascii="Times New Roman" w:hAnsi="Times New Roman"/>
          <w:sz w:val="20"/>
        </w:rPr>
        <w:t xml:space="preserve">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 </w:t>
      </w:r>
    </w:p>
    <w:p>
      <w:pPr>
        <w:pStyle w:val="TextBody"/>
        <w:spacing w:before="360" w:after="0"/>
        <w:jc w:val="left"/>
        <w:rPr>
          <w:rFonts w:ascii="Times New Roman" w:hAnsi="Times New Roman"/>
          <w:b/>
          <w:i/>
          <w:sz w:val="20"/>
        </w:rPr>
      </w:pPr>
      <w:r>
        <w:rPr>
          <w:rFonts w:ascii="Times New Roman" w:hAnsi="Times New Roman"/>
          <w:b/>
          <w:i/>
          <w:sz w:val="20"/>
        </w:rPr>
        <w:t xml:space="preserve">Shareholders’ Suits </w:t>
      </w:r>
    </w:p>
    <w:p>
      <w:pPr>
        <w:pStyle w:val="TextBody"/>
        <w:spacing w:before="120" w:after="0"/>
        <w:jc w:val="left"/>
        <w:rPr>
          <w:rFonts w:ascii="Times New Roman" w:hAnsi="Times New Roman"/>
          <w:sz w:val="20"/>
        </w:rPr>
      </w:pPr>
      <w:r>
        <w:rPr>
          <w:rFonts w:ascii="Times New Roman" w:hAnsi="Times New Roman"/>
          <w:sz w:val="20"/>
        </w:rPr>
        <w:t xml:space="preserve">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spacing w:before="0" w:after="0"/>
        <w:jc w:val="left"/>
        <w:rPr/>
      </w:pPr>
      <w:r>
        <w:rPr/>
        <w:t> </w:t>
      </w:r>
    </w:p>
    <w:tbl>
      <w:tblPr>
        <w:tblW w:w="7330" w:type="dxa"/>
        <w:jc w:val="left"/>
        <w:tblInd w:w="0" w:type="dxa"/>
        <w:tblCellMar>
          <w:top w:w="0" w:type="dxa"/>
          <w:left w:w="0" w:type="dxa"/>
          <w:bottom w:w="0" w:type="dxa"/>
          <w:right w:w="0" w:type="dxa"/>
        </w:tblCellMar>
      </w:tblPr>
      <w:tblGrid>
        <w:gridCol w:w="75"/>
        <w:gridCol w:w="110"/>
        <w:gridCol w:w="60"/>
        <w:gridCol w:w="7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company is acting, or proposing to act, illegally or beyond the scope of its authority;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act complained of, although not beyond the scope of the authority, could be effected if duly authorized by more than the number of votes which have actually been obtained; or </w:t>
            </w:r>
          </w:p>
        </w:tc>
      </w:tr>
    </w:tbl>
    <w:p>
      <w:pPr>
        <w:pStyle w:val="TextBody"/>
        <w:spacing w:before="0" w:after="0"/>
        <w:jc w:val="left"/>
        <w:rPr/>
      </w:pPr>
      <w:r>
        <w:rPr/>
        <w:t> </w:t>
      </w:r>
    </w:p>
    <w:tbl>
      <w:tblPr>
        <w:tblW w:w="6325" w:type="dxa"/>
        <w:jc w:val="left"/>
        <w:tblInd w:w="0" w:type="dxa"/>
        <w:tblCellMar>
          <w:top w:w="0" w:type="dxa"/>
          <w:left w:w="0" w:type="dxa"/>
          <w:bottom w:w="0" w:type="dxa"/>
          <w:right w:w="0" w:type="dxa"/>
        </w:tblCellMar>
      </w:tblPr>
      <w:tblGrid>
        <w:gridCol w:w="75"/>
        <w:gridCol w:w="110"/>
        <w:gridCol w:w="60"/>
        <w:gridCol w:w="60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spacing w:before="240" w:after="0"/>
        <w:jc w:val="left"/>
        <w:rPr>
          <w:rFonts w:ascii="Times New Roman" w:hAnsi="Times New Roman"/>
          <w:sz w:val="20"/>
        </w:rPr>
      </w:pPr>
      <w:r>
        <w:rPr>
          <w:rFonts w:ascii="Times New Roman" w:hAnsi="Times New Roman"/>
          <w:sz w:val="20"/>
        </w:rPr>
        <w:t xml:space="preserve">A shareholder may have a direct right of action against the company where the individual rights of that shareholder have been infringed or are about to be infringed. </w:t>
      </w:r>
    </w:p>
    <w:p>
      <w:pPr>
        <w:pStyle w:val="TextBody"/>
        <w:spacing w:before="360" w:after="0"/>
        <w:jc w:val="left"/>
        <w:rPr>
          <w:rFonts w:ascii="Times New Roman" w:hAnsi="Times New Roman"/>
          <w:b/>
          <w:i/>
          <w:sz w:val="20"/>
        </w:rPr>
      </w:pPr>
      <w:r>
        <w:rPr>
          <w:rFonts w:ascii="Times New Roman" w:hAnsi="Times New Roman"/>
          <w:b/>
          <w:i/>
          <w:sz w:val="20"/>
        </w:rPr>
        <w:t xml:space="preserve">Directors’ Fiduciary Duties </w:t>
      </w:r>
    </w:p>
    <w:p>
      <w:pPr>
        <w:pStyle w:val="TextBody"/>
        <w:spacing w:before="120" w:after="0"/>
        <w:jc w:val="left"/>
        <w:rPr>
          <w:rFonts w:ascii="Times New Roman" w:hAnsi="Times New Roman"/>
          <w:sz w:val="20"/>
        </w:rPr>
      </w:pPr>
      <w:r>
        <w:rPr>
          <w:rFonts w:ascii="Times New Roman" w:hAnsi="Times New Roman"/>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spacing w:before="240" w:after="0"/>
        <w:jc w:val="left"/>
        <w:rPr>
          <w:rFonts w:ascii="Times New Roman" w:hAnsi="Times New Roman"/>
          <w:sz w:val="20"/>
        </w:rPr>
      </w:pPr>
      <w:r>
        <w:rPr>
          <w:rFonts w:ascii="Times New Roman" w:hAnsi="Times New Roman"/>
          <w:sz w:val="20"/>
        </w:rPr>
        <w:t xml:space="preserve">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directors who are in any way, whether directly or indirectly, interested in a contract or proposed contract with our Company must declare the nature of their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interest at a meeting of the board of directors. Following such declaration, a director may vote in respect of any contract or proposed contract notwithstanding his or her interest. </w:t>
      </w:r>
    </w:p>
    <w:p>
      <w:pPr>
        <w:pStyle w:val="TextBody"/>
        <w:spacing w:before="360" w:after="0"/>
        <w:jc w:val="left"/>
        <w:rPr>
          <w:rFonts w:ascii="Times New Roman" w:hAnsi="Times New Roman"/>
          <w:b/>
          <w:i/>
          <w:sz w:val="20"/>
        </w:rPr>
      </w:pPr>
      <w:r>
        <w:rPr>
          <w:rFonts w:ascii="Times New Roman" w:hAnsi="Times New Roman"/>
          <w:b/>
          <w:i/>
          <w:sz w:val="20"/>
        </w:rPr>
        <w:t xml:space="preserve">Shareholder Action by Written Resolution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corporation’s certificate of incorporation may eliminate the right of stockholders to act by written consent. Our memorandum and articles of association allow shareholders to act by written resolutions. </w:t>
      </w:r>
    </w:p>
    <w:p>
      <w:pPr>
        <w:pStyle w:val="TextBody"/>
        <w:spacing w:before="360" w:after="0"/>
        <w:jc w:val="left"/>
        <w:rPr>
          <w:rFonts w:ascii="Times New Roman" w:hAnsi="Times New Roman"/>
          <w:b/>
          <w:i/>
          <w:sz w:val="20"/>
        </w:rPr>
      </w:pPr>
      <w:r>
        <w:rPr>
          <w:rFonts w:ascii="Times New Roman" w:hAnsi="Times New Roman"/>
          <w:b/>
          <w:i/>
          <w:sz w:val="20"/>
        </w:rPr>
        <w:t xml:space="preserve">Cumulative Voting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 </w:t>
      </w:r>
    </w:p>
    <w:p>
      <w:pPr>
        <w:pStyle w:val="TextBody"/>
        <w:spacing w:before="240" w:after="0"/>
        <w:jc w:val="left"/>
        <w:rPr>
          <w:rFonts w:ascii="Times New Roman" w:hAnsi="Times New Roman"/>
          <w:sz w:val="20"/>
        </w:rPr>
      </w:pPr>
      <w:r>
        <w:rPr>
          <w:rFonts w:ascii="Times New Roman" w:hAnsi="Times New Roman"/>
          <w:sz w:val="20"/>
        </w:rPr>
        <w:t xml:space="preserve">As permitted under Cayman Islands law, our memorandum and articles of association do not provide for cumulative voting. </w:t>
      </w:r>
    </w:p>
    <w:p>
      <w:pPr>
        <w:pStyle w:val="TextBody"/>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director of a corporation may be removed with the approval of a majority of the outstanding shares entitled to vote, unless the certificate of incorporation provides otherwise.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directors can be removed by special resolution of the shareholders. </w:t>
      </w:r>
    </w:p>
    <w:p>
      <w:pPr>
        <w:pStyle w:val="TextBody"/>
        <w:spacing w:before="360" w:after="0"/>
        <w:jc w:val="left"/>
        <w:rPr>
          <w:rFonts w:ascii="Times New Roman" w:hAnsi="Times New Roman"/>
          <w:b/>
          <w:i/>
          <w:sz w:val="20"/>
        </w:rPr>
      </w:pPr>
      <w:r>
        <w:rPr>
          <w:rFonts w:ascii="Times New Roman" w:hAnsi="Times New Roman"/>
          <w:b/>
          <w:i/>
          <w:sz w:val="20"/>
        </w:rPr>
        <w:t xml:space="preserve">Transactions with Interested Shareholders </w:t>
      </w:r>
    </w:p>
    <w:p>
      <w:pPr>
        <w:pStyle w:val="TextBody"/>
        <w:spacing w:before="120" w:after="0"/>
        <w:jc w:val="left"/>
        <w:rPr>
          <w:rFonts w:ascii="Times New Roman" w:hAnsi="Times New Roman"/>
          <w:sz w:val="20"/>
        </w:rPr>
      </w:pPr>
      <w:r>
        <w:rPr>
          <w:rFonts w:ascii="Times New Roman" w:hAnsi="Times New Roman"/>
          <w:sz w:val="20"/>
        </w:rPr>
        <w:t xml:space="preserve">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 </w:t>
      </w:r>
    </w:p>
    <w:p>
      <w:pPr>
        <w:pStyle w:val="TextBody"/>
        <w:spacing w:before="240" w:after="0"/>
        <w:jc w:val="left"/>
        <w:rPr>
          <w:rFonts w:ascii="Times New Roman" w:hAnsi="Times New Roman"/>
          <w:sz w:val="20"/>
        </w:rPr>
      </w:pPr>
      <w:r>
        <w:rPr>
          <w:rFonts w:ascii="Times New Roman" w:hAnsi="Times New Roman"/>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 </w:t>
      </w:r>
    </w:p>
    <w:p>
      <w:pPr>
        <w:pStyle w:val="TextBody"/>
        <w:spacing w:before="360" w:after="0"/>
        <w:jc w:val="left"/>
        <w:rPr>
          <w:rFonts w:ascii="Times New Roman" w:hAnsi="Times New Roman"/>
          <w:b/>
          <w:i/>
          <w:sz w:val="20"/>
        </w:rPr>
      </w:pPr>
      <w:r>
        <w:rPr>
          <w:rFonts w:ascii="Times New Roman" w:hAnsi="Times New Roman"/>
          <w:b/>
          <w:i/>
          <w:sz w:val="20"/>
        </w:rPr>
        <w:t xml:space="preserve">Dissolution and Winding Up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unless the board of directors approves the proposal to dissolve, dissolution must be approved by shareholders holding 100% of the total voting interest of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a resolution that our Company be wound up by the court or be wound up voluntarily shall be a special resolution, except where the company is to be wound up voluntarily because it is unable to pay its debts as they may fall due in which event the resolution shall be an ordinary resolution. </w:t>
      </w:r>
    </w:p>
    <w:p>
      <w:pPr>
        <w:pStyle w:val="TextBody"/>
        <w:spacing w:before="360" w:after="0"/>
        <w:jc w:val="left"/>
        <w:rPr>
          <w:rFonts w:ascii="Times New Roman" w:hAnsi="Times New Roman"/>
          <w:b/>
          <w:i/>
          <w:sz w:val="20"/>
        </w:rPr>
      </w:pPr>
      <w:r>
        <w:rPr>
          <w:rFonts w:ascii="Times New Roman" w:hAnsi="Times New Roman"/>
          <w:b/>
          <w:i/>
          <w:sz w:val="20"/>
        </w:rPr>
        <w:t xml:space="preserve">Variation of Rights of Shares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corporation may vary the rights of a class of shares with the approval of a majority of the outstanding shares of such class, unless the certificate of incorporation provides otherwise. </w:t>
      </w:r>
    </w:p>
    <w:p>
      <w:pPr>
        <w:pStyle w:val="TextBody"/>
        <w:spacing w:before="240" w:after="0"/>
        <w:jc w:val="left"/>
        <w:rPr>
          <w:rFonts w:ascii="Times New Roman" w:hAnsi="Times New Roman"/>
          <w:sz w:val="20"/>
        </w:rPr>
      </w:pPr>
      <w:r>
        <w:rPr>
          <w:rFonts w:ascii="Times New Roman" w:hAnsi="Times New Roman"/>
          <w:sz w:val="20"/>
        </w:rPr>
        <w:t xml:space="preserve">Under Cayman Islands law and our memorandum and articles of association, if our share capital is divided into more than one class of shares, we may vary the rights attached to any class with the unanimous consent in writing of the holders of the issued shares of the relevant class or with the sanction of a resolution passed at a separate meeting of the holders of the shares of such class by a majority of two-thirds of the votes cast at such a meeting. </w:t>
      </w:r>
    </w:p>
    <w:p>
      <w:pPr>
        <w:pStyle w:val="TextBody"/>
        <w:spacing w:before="360" w:after="0"/>
        <w:jc w:val="left"/>
        <w:rPr>
          <w:rFonts w:ascii="Times New Roman" w:hAnsi="Times New Roman"/>
          <w:b/>
          <w:i/>
          <w:sz w:val="20"/>
        </w:rPr>
      </w:pPr>
      <w:r>
        <w:rPr>
          <w:rFonts w:ascii="Times New Roman" w:hAnsi="Times New Roman"/>
          <w:b/>
          <w:i/>
          <w:sz w:val="20"/>
        </w:rPr>
        <w:t xml:space="preserve">Amendment of Governing Documents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 corporation’s governing documents may be amended with the approval of a majority of the outstanding shares entitled to vote, unless the certificate of incorporation provides otherwise. </w:t>
      </w:r>
    </w:p>
    <w:p>
      <w:pPr>
        <w:pStyle w:val="TextBody"/>
        <w:spacing w:before="240" w:after="0"/>
        <w:jc w:val="left"/>
        <w:rPr>
          <w:rFonts w:ascii="Times New Roman" w:hAnsi="Times New Roman"/>
          <w:sz w:val="20"/>
        </w:rPr>
      </w:pPr>
      <w:r>
        <w:rPr>
          <w:rFonts w:ascii="Times New Roman" w:hAnsi="Times New Roman"/>
          <w:sz w:val="20"/>
        </w:rPr>
        <w:t xml:space="preserve">Our memorandum and articles of association may be amended by a special resolution of shareholders. </w:t>
      </w:r>
    </w:p>
    <w:p>
      <w:pPr>
        <w:pStyle w:val="TextBody"/>
        <w:spacing w:before="360" w:after="0"/>
        <w:jc w:val="left"/>
        <w:rPr>
          <w:rFonts w:ascii="Times New Roman" w:hAnsi="Times New Roman"/>
          <w:b/>
          <w:i/>
          <w:sz w:val="20"/>
        </w:rPr>
      </w:pPr>
      <w:r>
        <w:rPr>
          <w:rFonts w:ascii="Times New Roman" w:hAnsi="Times New Roman"/>
          <w:b/>
          <w:i/>
          <w:sz w:val="20"/>
        </w:rPr>
        <w:t xml:space="preserve">Inspection of Books and Records </w:t>
      </w:r>
    </w:p>
    <w:p>
      <w:pPr>
        <w:pStyle w:val="TextBody"/>
        <w:spacing w:before="120" w:after="0"/>
        <w:jc w:val="left"/>
        <w:rPr>
          <w:rFonts w:ascii="Times New Roman" w:hAnsi="Times New Roman"/>
          <w:sz w:val="20"/>
        </w:rPr>
      </w:pPr>
      <w:r>
        <w:rPr>
          <w:rFonts w:ascii="Times New Roman" w:hAnsi="Times New Roman"/>
          <w:sz w:val="20"/>
        </w:rPr>
        <w:t xml:space="preserve">Under the Delaware General Corporation Law, any shareholder of a corporation may for any proper purpose inspect or make copies of the corporation’s stock ledger, list of shareholders and other books and records. </w:t>
      </w:r>
    </w:p>
    <w:p>
      <w:pPr>
        <w:pStyle w:val="TextBody"/>
        <w:spacing w:before="240" w:after="0"/>
        <w:jc w:val="left"/>
        <w:rPr>
          <w:rFonts w:ascii="Times New Roman" w:hAnsi="Times New Roman"/>
          <w:sz w:val="20"/>
        </w:rPr>
      </w:pPr>
      <w:r>
        <w:rPr>
          <w:rFonts w:ascii="Times New Roman" w:hAnsi="Times New Roman"/>
          <w:sz w:val="20"/>
        </w:rPr>
        <w:t xml:space="preserve">Holders of our shares have no general right under Cayman Islands law, nor any right under our memorandum and articles of association, to inspect or obtain copies of our register of members or our corporate records. However, we intend to provide our shareholders with annual reports containing audited financial statements. </w:t>
      </w:r>
    </w:p>
    <w:p>
      <w:pPr>
        <w:pStyle w:val="TextBody"/>
        <w:spacing w:before="360" w:after="0"/>
        <w:jc w:val="left"/>
        <w:rPr>
          <w:rFonts w:ascii="Times New Roman" w:hAnsi="Times New Roman"/>
          <w:b/>
          <w:i/>
          <w:sz w:val="20"/>
        </w:rPr>
      </w:pPr>
      <w:r>
        <w:rPr>
          <w:rFonts w:ascii="Times New Roman" w:hAnsi="Times New Roman"/>
          <w:b/>
          <w:i/>
          <w:sz w:val="20"/>
        </w:rPr>
        <w:t xml:space="preserve">Anti-takeover Provisions in our Memorandum and Articles of Association </w:t>
      </w:r>
    </w:p>
    <w:p>
      <w:pPr>
        <w:pStyle w:val="TextBody"/>
        <w:spacing w:before="120" w:after="0"/>
        <w:jc w:val="left"/>
        <w:rPr>
          <w:rFonts w:ascii="Times New Roman" w:hAnsi="Times New Roman"/>
          <w:sz w:val="20"/>
        </w:rPr>
      </w:pPr>
      <w:r>
        <w:rPr>
          <w:rFonts w:ascii="Times New Roman" w:hAnsi="Times New Roman"/>
          <w:sz w:val="20"/>
        </w:rPr>
        <w:t xml:space="preserve">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 </w:t>
      </w:r>
    </w:p>
    <w:p>
      <w:pPr>
        <w:pStyle w:val="TextBody"/>
        <w:spacing w:before="240" w:after="0"/>
        <w:jc w:val="left"/>
        <w:rPr>
          <w:rFonts w:ascii="Times New Roman" w:hAnsi="Times New Roman"/>
          <w:sz w:val="20"/>
        </w:rPr>
      </w:pPr>
      <w:r>
        <w:rPr>
          <w:rFonts w:ascii="Times New Roman" w:hAnsi="Times New Roman"/>
          <w:sz w:val="20"/>
        </w:rPr>
        <w:t xml:space="preserve">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and adversely affected.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However, under Cayman Islands law, our directors may only exercise the rights and powers granted to them under our memorandum and articles of association for a proper purpose and for what they believe in good faith to be in the best interests of our Company. </w:t>
      </w:r>
    </w:p>
    <w:p>
      <w:pPr>
        <w:pStyle w:val="TextBody"/>
        <w:spacing w:before="360" w:after="0"/>
        <w:jc w:val="left"/>
        <w:rPr>
          <w:rFonts w:ascii="Times New Roman" w:hAnsi="Times New Roman"/>
          <w:b/>
          <w:i/>
          <w:sz w:val="20"/>
        </w:rPr>
      </w:pPr>
      <w:r>
        <w:rPr>
          <w:rFonts w:ascii="Times New Roman" w:hAnsi="Times New Roman"/>
          <w:b/>
          <w:i/>
          <w:sz w:val="20"/>
        </w:rPr>
        <w:t xml:space="preserve">Rights of Non-resident or Foreign Shareholders </w:t>
      </w:r>
    </w:p>
    <w:p>
      <w:pPr>
        <w:pStyle w:val="TextBody"/>
        <w:spacing w:before="120" w:after="0"/>
        <w:jc w:val="left"/>
        <w:rPr>
          <w:rFonts w:ascii="Times New Roman" w:hAnsi="Times New Roman"/>
          <w:sz w:val="20"/>
        </w:rPr>
      </w:pPr>
      <w:r>
        <w:rPr>
          <w:rFonts w:ascii="Times New Roman" w:hAnsi="Times New Roman"/>
          <w:sz w:val="20"/>
        </w:rPr>
        <w:t xml:space="preserve">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 </w:t>
      </w:r>
    </w:p>
    <w:p>
      <w:pPr>
        <w:pStyle w:val="TextBody"/>
        <w:spacing w:before="480" w:after="0"/>
        <w:jc w:val="center"/>
        <w:rPr>
          <w:rFonts w:ascii="Times New Roman" w:hAnsi="Times New Roman"/>
          <w:b/>
          <w:sz w:val="20"/>
        </w:rPr>
      </w:pPr>
      <w:bookmarkStart w:id="51" w:name="rom396630_48"/>
      <w:bookmarkEnd w:id="51"/>
      <w:r>
        <w:rPr>
          <w:rFonts w:ascii="Times New Roman" w:hAnsi="Times New Roman"/>
          <w:b/>
          <w:sz w:val="20"/>
        </w:rPr>
        <w:t xml:space="preserve">C. MATERIAL CONTRACTS </w:t>
      </w:r>
    </w:p>
    <w:p>
      <w:pPr>
        <w:pStyle w:val="TextBody"/>
        <w:spacing w:before="240" w:after="0"/>
        <w:jc w:val="left"/>
        <w:rPr>
          <w:rFonts w:ascii="Times New Roman" w:hAnsi="Times New Roman"/>
          <w:sz w:val="20"/>
        </w:rPr>
      </w:pPr>
      <w:r>
        <w:rPr>
          <w:rFonts w:ascii="Times New Roman" w:hAnsi="Times New Roman"/>
          <w:sz w:val="20"/>
        </w:rPr>
        <w:t xml:space="preserve">We have not entered into any material contracts other than in the ordinary course of business and other than those described in “Item 4. Information on the Company” and “Item 7. Major Shareholders and Related Party Transactions” or elsewhere in this annual report on Form 20-F. </w:t>
      </w:r>
    </w:p>
    <w:p>
      <w:pPr>
        <w:pStyle w:val="TextBody"/>
        <w:spacing w:before="480" w:after="0"/>
        <w:jc w:val="center"/>
        <w:rPr>
          <w:rFonts w:ascii="Times New Roman" w:hAnsi="Times New Roman"/>
          <w:b/>
          <w:sz w:val="20"/>
        </w:rPr>
      </w:pPr>
      <w:bookmarkStart w:id="52" w:name="rom396630_49"/>
      <w:bookmarkEnd w:id="52"/>
      <w:r>
        <w:rPr>
          <w:rFonts w:ascii="Times New Roman" w:hAnsi="Times New Roman"/>
          <w:b/>
          <w:sz w:val="20"/>
        </w:rPr>
        <w:t xml:space="preserve">D. EXCHANGE CONTROLS </w:t>
      </w:r>
    </w:p>
    <w:p>
      <w:pPr>
        <w:pStyle w:val="TextBody"/>
        <w:spacing w:before="240" w:after="0"/>
        <w:jc w:val="left"/>
        <w:rPr>
          <w:rFonts w:ascii="Times New Roman" w:hAnsi="Times New Roman"/>
          <w:sz w:val="20"/>
        </w:rPr>
      </w:pPr>
      <w:r>
        <w:rPr>
          <w:rFonts w:ascii="Times New Roman" w:hAnsi="Times New Roman"/>
          <w:sz w:val="20"/>
        </w:rPr>
        <w:t xml:space="preserve">With regard to our operations in Macau, no foreign exchange controls exist in Macau and Hong Kong and there is a free flow of capital into and out of Macau and Hong Kong. There are no restrictions on remittances of H.K. dollars or any other currency from Macau and Hong Kong to persons not resident in Macau and Hong Kong for the purpose of paying dividends or otherwise. No foreign exchange controls exist in the Cayman Islands. </w:t>
      </w:r>
    </w:p>
    <w:p>
      <w:pPr>
        <w:pStyle w:val="TextBody"/>
        <w:spacing w:before="240" w:after="0"/>
        <w:jc w:val="left"/>
        <w:rPr>
          <w:rFonts w:ascii="Times New Roman" w:hAnsi="Times New Roman"/>
          <w:sz w:val="20"/>
        </w:rPr>
      </w:pPr>
      <w:r>
        <w:rPr>
          <w:rFonts w:ascii="Times New Roman" w:hAnsi="Times New Roman"/>
          <w:sz w:val="20"/>
        </w:rPr>
        <w:t xml:space="preserve">With regard to our operations in the Philippines, the Philippines has been liberalizing foreign exchange controls in the country and has adopted a floating exchange rate regime. In any event, the Philippine peso still fluctuates against the H.K. dollar and the U.S. dollar from time to time. Although there are no restrictions or limits on the amounts of the Philippine peso or foreign currency that may be taken in or out of the country, the Bangko Sentral ng Pilipinas (BSP), the Central Bank of the Philippines, imposed a requirement that inward and outward transfers of the Philippine peso in excess of PHP50,000 must be with prior authorization of BSP, while foreign currency in excess of US$10,000 or its equivalent must be declared to the Bureau of Customs Desk at the airport upon arrival or before departure, as the case may be. </w:t>
      </w:r>
    </w:p>
    <w:p>
      <w:pPr>
        <w:pStyle w:val="TextBody"/>
        <w:spacing w:before="240" w:after="0"/>
        <w:jc w:val="left"/>
        <w:rPr>
          <w:rFonts w:ascii="Times New Roman" w:hAnsi="Times New Roman"/>
          <w:sz w:val="20"/>
        </w:rPr>
      </w:pPr>
      <w:r>
        <w:rPr>
          <w:rFonts w:ascii="Times New Roman" w:hAnsi="Times New Roman"/>
          <w:sz w:val="20"/>
        </w:rPr>
        <w:t xml:space="preserve">With regard to our operations in Cyprus, no foreign exchange controls exist and there is a free flow of capital into and out of Cyprus. There are no restrictions on remittances of Euros or any other currency from Cyprus to persons not resident in Cyprus for the purpose of paying dividends or otherwise. There are no restrictions on the import or export of local or foreign currency. However, amounts exceeding EUR10,000 (equivalent to approximately US$10,703) in cash (or its equivalent) or in gold must be declared at the Customs and Excise department desk at the airport upon departure, regardless of whether traveling to or from a country inside or outside the European Union. </w:t>
      </w:r>
    </w:p>
    <w:p>
      <w:pPr>
        <w:pStyle w:val="TextBody"/>
        <w:spacing w:before="480" w:after="0"/>
        <w:jc w:val="center"/>
        <w:rPr>
          <w:rFonts w:ascii="Times New Roman" w:hAnsi="Times New Roman"/>
          <w:b/>
          <w:sz w:val="20"/>
        </w:rPr>
      </w:pPr>
      <w:bookmarkStart w:id="53" w:name="rom396630_50"/>
      <w:bookmarkEnd w:id="53"/>
      <w:r>
        <w:rPr>
          <w:rFonts w:ascii="Times New Roman" w:hAnsi="Times New Roman"/>
          <w:b/>
          <w:sz w:val="20"/>
        </w:rPr>
        <w:t xml:space="preserve">E. TAXATION </w:t>
      </w:r>
    </w:p>
    <w:p>
      <w:pPr>
        <w:pStyle w:val="TextBody"/>
        <w:spacing w:before="240" w:after="0"/>
        <w:jc w:val="left"/>
        <w:rPr>
          <w:rFonts w:ascii="Times New Roman" w:hAnsi="Times New Roman"/>
          <w:b/>
          <w:sz w:val="20"/>
        </w:rPr>
      </w:pPr>
      <w:r>
        <w:rPr>
          <w:rFonts w:ascii="Times New Roman" w:hAnsi="Times New Roman"/>
          <w:b/>
          <w:sz w:val="20"/>
        </w:rPr>
        <w:t xml:space="preserve">Cayman Islands Taxation </w:t>
      </w:r>
    </w:p>
    <w:p>
      <w:pPr>
        <w:pStyle w:val="TextBody"/>
        <w:spacing w:before="120" w:after="0"/>
        <w:jc w:val="left"/>
        <w:rPr>
          <w:rFonts w:ascii="Times New Roman" w:hAnsi="Times New Roman"/>
          <w:sz w:val="20"/>
        </w:rPr>
      </w:pPr>
      <w:r>
        <w:rPr>
          <w:rFonts w:ascii="Times New Roman" w:hAnsi="Times New Roman"/>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w:t>
      </w:r>
    </w:p>
    <w:p>
      <w:pPr>
        <w:pStyle w:val="TextBody"/>
        <w:spacing w:before="240" w:after="0"/>
        <w:jc w:val="left"/>
        <w:rPr>
          <w:rFonts w:ascii="Times New Roman" w:hAnsi="Times New Roman"/>
          <w:sz w:val="20"/>
        </w:rPr>
      </w:pPr>
      <w:r>
        <w:rPr>
          <w:rFonts w:ascii="Times New Roman" w:hAnsi="Times New Roman"/>
          <w:sz w:val="20"/>
        </w:rPr>
        <w:t xml:space="preserve">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 </w:t>
      </w:r>
    </w:p>
    <w:p>
      <w:pPr>
        <w:pStyle w:val="TextBody"/>
        <w:spacing w:before="240" w:after="0"/>
        <w:jc w:val="left"/>
        <w:rPr>
          <w:rFonts w:ascii="Times New Roman" w:hAnsi="Times New Roman"/>
          <w:sz w:val="20"/>
        </w:rPr>
      </w:pPr>
      <w:r>
        <w:rPr>
          <w:rFonts w:ascii="Times New Roman" w:hAnsi="Times New Roman"/>
          <w:sz w:val="20"/>
        </w:rPr>
        <w:t xml:space="preserve">No stamp duty is payable in respect of the issue of our ordinary shares or on an instrument of transfer in respect of our ordinary shares. </w:t>
      </w:r>
    </w:p>
    <w:p>
      <w:pPr>
        <w:pStyle w:val="TextBody"/>
        <w:spacing w:before="360" w:after="0"/>
        <w:jc w:val="left"/>
        <w:rPr>
          <w:rFonts w:ascii="Times New Roman" w:hAnsi="Times New Roman"/>
          <w:b/>
          <w:sz w:val="20"/>
        </w:rPr>
      </w:pPr>
      <w:r>
        <w:rPr>
          <w:rFonts w:ascii="Times New Roman" w:hAnsi="Times New Roman"/>
          <w:b/>
          <w:sz w:val="20"/>
        </w:rPr>
        <w:t xml:space="preserve">United States Federal Income Taxation </w:t>
      </w:r>
    </w:p>
    <w:p>
      <w:pPr>
        <w:pStyle w:val="TextBody"/>
        <w:spacing w:before="120" w:after="0"/>
        <w:jc w:val="left"/>
        <w:rPr>
          <w:rFonts w:ascii="Times New Roman" w:hAnsi="Times New Roman"/>
          <w:sz w:val="20"/>
        </w:rPr>
      </w:pPr>
      <w:r>
        <w:rPr>
          <w:rFonts w:ascii="Times New Roman" w:hAnsi="Times New Roman"/>
          <w:sz w:val="20"/>
        </w:rPr>
        <w:t xml:space="preserve">The following discussion describes certain material U.S. federal income tax consequences to U.S. Holders (as defined below) under present law of an investment in the ADSs or ordinary shares. The effects of any applicable state or local laws and other U.S. federal tax laws such as estate and gift tax laws, and the impact of the alternative minimum tax and the Medicare contribution tax on net investment income, are not discussed. This discussion applies only to U.S. Holders that hold the ADSs or ordinary shares as capital assets within the meaning of Section 1221 of the United States Internal Revenue Code of 1986, as amended, or the Code (generally, property held for investment), and that have the U.S. dollar as their functional currency. This discussion is based on the tax laws of the United States as of the date of this annual report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 </w:t>
      </w:r>
    </w:p>
    <w:p>
      <w:pPr>
        <w:pStyle w:val="TextBody"/>
        <w:spacing w:before="240" w:after="0"/>
        <w:jc w:val="left"/>
        <w:rPr>
          <w:rFonts w:ascii="Times New Roman" w:hAnsi="Times New Roman"/>
          <w:sz w:val="20"/>
        </w:rPr>
      </w:pPr>
      <w:r>
        <w:rPr>
          <w:rFonts w:ascii="Times New Roman" w:hAnsi="Times New Roman"/>
          <w:sz w:val="20"/>
        </w:rPr>
        <w:t xml:space="preserve">The following discussion does not address all U.S. federal income tax consequences relevant to a holder’s particular circumstances or to holders subject to particular rules, including: </w:t>
      </w:r>
    </w:p>
    <w:p>
      <w:pPr>
        <w:pStyle w:val="TextBody"/>
        <w:spacing w:before="0" w:after="0"/>
        <w:jc w:val="left"/>
        <w:rPr/>
      </w:pPr>
      <w:r>
        <w:rPr/>
        <w:t> </w:t>
      </w:r>
    </w:p>
    <w:tbl>
      <w:tblPr>
        <w:tblW w:w="865" w:type="dxa"/>
        <w:jc w:val="left"/>
        <w:tblInd w:w="0" w:type="dxa"/>
        <w:tblCellMar>
          <w:top w:w="0" w:type="dxa"/>
          <w:left w:w="0" w:type="dxa"/>
          <w:bottom w:w="0" w:type="dxa"/>
          <w:right w:w="0" w:type="dxa"/>
        </w:tblCellMar>
      </w:tblPr>
      <w:tblGrid>
        <w:gridCol w:w="75"/>
        <w:gridCol w:w="110"/>
        <w:gridCol w:w="60"/>
        <w:gridCol w:w="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banks; </w:t>
            </w:r>
          </w:p>
        </w:tc>
      </w:tr>
    </w:tbl>
    <w:p>
      <w:pPr>
        <w:pStyle w:val="TextBody"/>
        <w:spacing w:before="0" w:after="0"/>
        <w:jc w:val="left"/>
        <w:rPr/>
      </w:pPr>
      <w:r>
        <w:rPr/>
        <w:t> </w:t>
      </w:r>
    </w:p>
    <w:tbl>
      <w:tblPr>
        <w:tblW w:w="2680" w:type="dxa"/>
        <w:jc w:val="left"/>
        <w:tblInd w:w="0" w:type="dxa"/>
        <w:tblCellMar>
          <w:top w:w="0" w:type="dxa"/>
          <w:left w:w="0" w:type="dxa"/>
          <w:bottom w:w="0" w:type="dxa"/>
          <w:right w:w="0" w:type="dxa"/>
        </w:tblCellMar>
      </w:tblPr>
      <w:tblGrid>
        <w:gridCol w:w="75"/>
        <w:gridCol w:w="110"/>
        <w:gridCol w:w="60"/>
        <w:gridCol w:w="24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4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certain financial institutions; </w:t>
            </w:r>
          </w:p>
        </w:tc>
      </w:tr>
    </w:tbl>
    <w:p>
      <w:pPr>
        <w:pStyle w:val="TextBody"/>
        <w:spacing w:before="0" w:after="0"/>
        <w:jc w:val="left"/>
        <w:rPr/>
      </w:pPr>
      <w:r>
        <w:rPr/>
        <w:t> </w:t>
      </w:r>
    </w:p>
    <w:tbl>
      <w:tblPr>
        <w:tblW w:w="2080" w:type="dxa"/>
        <w:jc w:val="left"/>
        <w:tblInd w:w="0" w:type="dxa"/>
        <w:tblCellMar>
          <w:top w:w="0" w:type="dxa"/>
          <w:left w:w="0" w:type="dxa"/>
          <w:bottom w:w="0" w:type="dxa"/>
          <w:right w:w="0" w:type="dxa"/>
        </w:tblCellMar>
      </w:tblPr>
      <w:tblGrid>
        <w:gridCol w:w="75"/>
        <w:gridCol w:w="110"/>
        <w:gridCol w:w="60"/>
        <w:gridCol w:w="18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spacing w:before="0" w:after="0"/>
        <w:jc w:val="left"/>
        <w:rPr/>
      </w:pPr>
      <w:r>
        <w:rPr/>
        <w:t> </w:t>
      </w:r>
    </w:p>
    <w:tbl>
      <w:tblPr>
        <w:tblW w:w="3010" w:type="dxa"/>
        <w:jc w:val="left"/>
        <w:tblInd w:w="0" w:type="dxa"/>
        <w:tblCellMar>
          <w:top w:w="0" w:type="dxa"/>
          <w:left w:w="0" w:type="dxa"/>
          <w:bottom w:w="0" w:type="dxa"/>
          <w:right w:w="0" w:type="dxa"/>
        </w:tblCellMar>
      </w:tblPr>
      <w:tblGrid>
        <w:gridCol w:w="75"/>
        <w:gridCol w:w="110"/>
        <w:gridCol w:w="60"/>
        <w:gridCol w:w="2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75"/>
        <w:gridCol w:w="110"/>
        <w:gridCol w:w="60"/>
        <w:gridCol w:w="23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3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spacing w:before="0" w:after="0"/>
        <w:jc w:val="left"/>
        <w:rPr/>
      </w:pPr>
      <w:r>
        <w:rPr/>
        <w:t> </w:t>
      </w:r>
    </w:p>
    <w:tbl>
      <w:tblPr>
        <w:tblW w:w="1540" w:type="dxa"/>
        <w:jc w:val="left"/>
        <w:tblInd w:w="0" w:type="dxa"/>
        <w:tblCellMar>
          <w:top w:w="0" w:type="dxa"/>
          <w:left w:w="0" w:type="dxa"/>
          <w:bottom w:w="0" w:type="dxa"/>
          <w:right w:w="0" w:type="dxa"/>
        </w:tblCellMar>
      </w:tblPr>
      <w:tblGrid>
        <w:gridCol w:w="75"/>
        <w:gridCol w:w="110"/>
        <w:gridCol w:w="60"/>
        <w:gridCol w:w="12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broker-dealers; </w:t>
            </w:r>
          </w:p>
        </w:tc>
      </w:tr>
    </w:tbl>
    <w:p>
      <w:pPr>
        <w:pStyle w:val="TextBody"/>
        <w:spacing w:before="0" w:after="0"/>
        <w:jc w:val="left"/>
        <w:rPr/>
      </w:pPr>
      <w:r>
        <w:rPr/>
        <w:t> </w:t>
      </w:r>
    </w:p>
    <w:tbl>
      <w:tblPr>
        <w:tblW w:w="3190" w:type="dxa"/>
        <w:jc w:val="left"/>
        <w:tblInd w:w="0" w:type="dxa"/>
        <w:tblCellMar>
          <w:top w:w="0" w:type="dxa"/>
          <w:left w:w="0" w:type="dxa"/>
          <w:bottom w:w="0" w:type="dxa"/>
          <w:right w:w="0" w:type="dxa"/>
        </w:tblCellMar>
      </w:tblPr>
      <w:tblGrid>
        <w:gridCol w:w="75"/>
        <w:gridCol w:w="110"/>
        <w:gridCol w:w="60"/>
        <w:gridCol w:w="2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traders that elect to mark to market; </w:t>
            </w:r>
          </w:p>
        </w:tc>
      </w:tr>
    </w:tbl>
    <w:p>
      <w:pPr>
        <w:pStyle w:val="TextBody"/>
        <w:spacing w:before="0" w:after="0"/>
        <w:jc w:val="left"/>
        <w:rPr/>
      </w:pPr>
      <w:r>
        <w:rPr/>
        <w:t> </w:t>
      </w:r>
    </w:p>
    <w:tbl>
      <w:tblPr>
        <w:tblW w:w="7285" w:type="dxa"/>
        <w:jc w:val="left"/>
        <w:tblInd w:w="0" w:type="dxa"/>
        <w:tblCellMar>
          <w:top w:w="0" w:type="dxa"/>
          <w:left w:w="0" w:type="dxa"/>
          <w:bottom w:w="0" w:type="dxa"/>
          <w:right w:w="0" w:type="dxa"/>
        </w:tblCellMar>
      </w:tblPr>
      <w:tblGrid>
        <w:gridCol w:w="75"/>
        <w:gridCol w:w="110"/>
        <w:gridCol w:w="60"/>
        <w:gridCol w:w="7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spacing w:before="0" w:after="0"/>
        <w:jc w:val="left"/>
        <w:rPr/>
      </w:pPr>
      <w:r>
        <w:rPr/>
        <w:t> </w:t>
      </w:r>
    </w:p>
    <w:tbl>
      <w:tblPr>
        <w:tblW w:w="1945" w:type="dxa"/>
        <w:jc w:val="left"/>
        <w:tblInd w:w="0" w:type="dxa"/>
        <w:tblCellMar>
          <w:top w:w="0" w:type="dxa"/>
          <w:left w:w="0" w:type="dxa"/>
          <w:bottom w:w="0" w:type="dxa"/>
          <w:right w:w="0" w:type="dxa"/>
        </w:tblCellMar>
      </w:tblPr>
      <w:tblGrid>
        <w:gridCol w:w="75"/>
        <w:gridCol w:w="110"/>
        <w:gridCol w:w="60"/>
        <w:gridCol w:w="1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spacing w:before="0" w:after="0"/>
        <w:jc w:val="left"/>
        <w:rPr/>
      </w:pPr>
      <w:r>
        <w:rPr/>
        <w:t> </w:t>
      </w:r>
    </w:p>
    <w:tbl>
      <w:tblPr>
        <w:tblW w:w="9055" w:type="dxa"/>
        <w:jc w:val="left"/>
        <w:tblInd w:w="0" w:type="dxa"/>
        <w:tblCellMar>
          <w:top w:w="0" w:type="dxa"/>
          <w:left w:w="0" w:type="dxa"/>
          <w:bottom w:w="0" w:type="dxa"/>
          <w:right w:w="0" w:type="dxa"/>
        </w:tblCellMar>
      </w:tblPr>
      <w:tblGrid>
        <w:gridCol w:w="75"/>
        <w:gridCol w:w="110"/>
        <w:gridCol w:w="60"/>
        <w:gridCol w:w="8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8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holding ADSs or ordinary shares as part of a straddle, hedging, conversion or integrated transaction; </w:t>
            </w:r>
          </w:p>
        </w:tc>
      </w:tr>
    </w:tbl>
    <w:p>
      <w:pPr>
        <w:pStyle w:val="TextBody"/>
        <w:spacing w:before="0" w:after="0"/>
        <w:jc w:val="left"/>
        <w:rPr/>
      </w:pPr>
      <w:r>
        <w:rPr/>
        <w:t> </w:t>
      </w:r>
    </w:p>
    <w:tbl>
      <w:tblPr>
        <w:tblW w:w="7330" w:type="dxa"/>
        <w:jc w:val="left"/>
        <w:tblInd w:w="0" w:type="dxa"/>
        <w:tblCellMar>
          <w:top w:w="0" w:type="dxa"/>
          <w:left w:w="0" w:type="dxa"/>
          <w:bottom w:w="0" w:type="dxa"/>
          <w:right w:w="0" w:type="dxa"/>
        </w:tblCellMar>
      </w:tblPr>
      <w:tblGrid>
        <w:gridCol w:w="75"/>
        <w:gridCol w:w="110"/>
        <w:gridCol w:w="60"/>
        <w:gridCol w:w="7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0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that actually or constructively own 10% or more of our stock by vote or value;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who acquired ADSs or ordinary shares pursuant to the exercise of any employee share option or otherwise as compensation; </w:t>
            </w:r>
          </w:p>
        </w:tc>
      </w:tr>
    </w:tbl>
    <w:p>
      <w:pPr>
        <w:pStyle w:val="TextBody"/>
        <w:spacing w:before="0" w:after="0"/>
        <w:jc w:val="left"/>
        <w:rPr/>
      </w:pPr>
      <w:r>
        <w:rPr/>
        <w:t> </w:t>
      </w:r>
    </w:p>
    <w:tbl>
      <w:tblPr>
        <w:tblW w:w="10015" w:type="dxa"/>
        <w:jc w:val="left"/>
        <w:tblInd w:w="0" w:type="dxa"/>
        <w:tblCellMar>
          <w:top w:w="0" w:type="dxa"/>
          <w:left w:w="0" w:type="dxa"/>
          <w:bottom w:w="0" w:type="dxa"/>
          <w:right w:w="0" w:type="dxa"/>
        </w:tblCellMar>
      </w:tblPr>
      <w:tblGrid>
        <w:gridCol w:w="75"/>
        <w:gridCol w:w="110"/>
        <w:gridCol w:w="60"/>
        <w:gridCol w:w="9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persons that hold ADSs or ordinary shares through a permanent establishment or fixed base outside the United States; or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75"/>
        <w:gridCol w:w="110"/>
        <w:gridCol w:w="60"/>
        <w:gridCol w:w="84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partnerships or pass-through entities, or persons holding ADSs or ordinary shares through such entities.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INVESTORS ARE URGED TO CONSULT THEIR TAX ADVISORS ABOUT THE APPLICATION OF THE U.S. FEDERAL TAX RULES TO THEIR PARTICULAR CIRCUMSTANCES AS WELL AS THE STATE, LOCAL, NON-U.S. AND OTHER TAX CONSEQUENCES TO THEM OF THE PURCHASE, OWNERSHIP AND DISPOSITION OF ADSs OR ORDINARY SHARES. </w:t>
      </w:r>
    </w:p>
    <w:p>
      <w:pPr>
        <w:pStyle w:val="TextBody"/>
        <w:spacing w:before="120" w:after="0"/>
        <w:jc w:val="left"/>
        <w:rPr>
          <w:rFonts w:ascii="Times New Roman" w:hAnsi="Times New Roman"/>
          <w:sz w:val="20"/>
        </w:rPr>
      </w:pPr>
      <w:r>
        <w:rPr>
          <w:rFonts w:ascii="Times New Roman" w:hAnsi="Times New Roman"/>
          <w:sz w:val="20"/>
        </w:rPr>
        <w:t xml:space="preserve">The discussion below of the U.S. federal income tax consequences to “U.S. Holders” will apply to you if you are the beneficial owner of ADSs or ordinary shares and you are, for U.S. federal income tax purposes, </w:t>
      </w:r>
    </w:p>
    <w:p>
      <w:pPr>
        <w:pStyle w:val="TextBody"/>
        <w:spacing w:before="0" w:after="0"/>
        <w:jc w:val="left"/>
        <w:rPr/>
      </w:pPr>
      <w:r>
        <w:rPr/>
        <w:t> </w:t>
      </w:r>
    </w:p>
    <w:tbl>
      <w:tblPr>
        <w:tblW w:w="5320" w:type="dxa"/>
        <w:jc w:val="left"/>
        <w:tblInd w:w="0" w:type="dxa"/>
        <w:tblCellMar>
          <w:top w:w="0" w:type="dxa"/>
          <w:left w:w="0" w:type="dxa"/>
          <w:bottom w:w="0" w:type="dxa"/>
          <w:right w:w="0" w:type="dxa"/>
        </w:tblCellMar>
      </w:tblPr>
      <w:tblGrid>
        <w:gridCol w:w="75"/>
        <w:gridCol w:w="110"/>
        <w:gridCol w:w="60"/>
        <w:gridCol w:w="50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corporation created or organized in the United States or under the laws of the United States, any state thereof or the District of Columbia; </w:t>
            </w:r>
          </w:p>
        </w:tc>
      </w:tr>
    </w:tbl>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75"/>
        <w:gridCol w:w="110"/>
        <w:gridCol w:w="60"/>
        <w:gridCol w:w="8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trust that (1) is subject to the primary supervision of a court within the United States and the control of one or more “United States persons” (within the meaning of Section 7701(a)(30) of the Code) for all substantial decisions or (2) has a valid election in effect under applicable U.S. Treasury regulations to be treated as a United States person for U.S. federal income tax purposes. </w:t>
            </w:r>
          </w:p>
        </w:tc>
      </w:tr>
    </w:tbl>
    <w:p>
      <w:pPr>
        <w:pStyle w:val="TextBody"/>
        <w:spacing w:before="240" w:after="0"/>
        <w:jc w:val="left"/>
        <w:rPr>
          <w:rFonts w:ascii="Times New Roman" w:hAnsi="Times New Roman"/>
          <w:sz w:val="20"/>
        </w:rPr>
      </w:pPr>
      <w:r>
        <w:rPr>
          <w:rFonts w:ascii="Times New Roman" w:hAnsi="Times New Roman"/>
          <w:sz w:val="20"/>
        </w:rPr>
        <w:t xml:space="preserve">If you are a partner in an entity or arrangement treated as a partnership for U.S. federal income tax purposes that holds ADSs or ordinary shares, your tax treatment will generally depend on your status and the activities of the partnership. If you are a partner in such partnership, you should consult your tax advisor. </w:t>
      </w:r>
    </w:p>
    <w:p>
      <w:pPr>
        <w:pStyle w:val="TextBody"/>
        <w:spacing w:before="240" w:after="0"/>
        <w:jc w:val="left"/>
        <w:rPr>
          <w:rFonts w:ascii="Times New Roman" w:hAnsi="Times New Roman"/>
          <w:sz w:val="20"/>
        </w:rPr>
      </w:pPr>
      <w:r>
        <w:rPr>
          <w:rFonts w:ascii="Times New Roman" w:hAnsi="Times New Roman"/>
          <w:sz w:val="20"/>
        </w:rPr>
        <w:t xml:space="preserve">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 Accordingly, deposits or withdrawals of ordinary shares for ADSs will not be subject to U.S. federal income tax. </w:t>
      </w:r>
    </w:p>
    <w:p>
      <w:pPr>
        <w:pStyle w:val="TextBody"/>
        <w:spacing w:before="240" w:after="0"/>
        <w:jc w:val="left"/>
        <w:rPr>
          <w:rFonts w:ascii="Times New Roman" w:hAnsi="Times New Roman"/>
          <w:sz w:val="20"/>
        </w:rPr>
      </w:pPr>
      <w:r>
        <w:rPr>
          <w:rFonts w:ascii="Times New Roman" w:hAnsi="Times New Roman"/>
          <w:sz w:val="20"/>
        </w:rPr>
        <w:t xml:space="preserve">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availability of a reduced tax rate for any dividends received by certain non-corporate U.S. Holders, including individual U.S. Holders (as discussed below), could be affected by actions taken by intermediaries in the chain of ownership between the holders of ADSs and our Company. </w:t>
      </w:r>
    </w:p>
    <w:p>
      <w:pPr>
        <w:pStyle w:val="TextBody"/>
        <w:spacing w:before="360" w:after="0"/>
        <w:jc w:val="left"/>
        <w:rPr>
          <w:rFonts w:ascii="Times New Roman" w:hAnsi="Times New Roman"/>
          <w:b/>
          <w:i/>
          <w:sz w:val="20"/>
        </w:rPr>
      </w:pPr>
      <w:r>
        <w:rPr>
          <w:rFonts w:ascii="Times New Roman" w:hAnsi="Times New Roman"/>
          <w:b/>
          <w:i/>
          <w:sz w:val="20"/>
        </w:rPr>
        <w:t xml:space="preserve">Taxation of Dividends and Other Distributions on the ADSs or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 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corporations. To the extent the amount of the distribution exceeds our current and accumulated earnings and profits (as determined under U.S. federal income tax principles),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 </w:t>
      </w:r>
    </w:p>
    <w:p>
      <w:pPr>
        <w:pStyle w:val="TextBody"/>
        <w:spacing w:before="240" w:after="0"/>
        <w:jc w:val="left"/>
        <w:rPr>
          <w:rFonts w:ascii="Times New Roman" w:hAnsi="Times New Roman"/>
          <w:sz w:val="20"/>
        </w:rPr>
      </w:pPr>
      <w:r>
        <w:rPr>
          <w:rFonts w:ascii="Times New Roman" w:hAnsi="Times New Roman"/>
          <w:sz w:val="20"/>
        </w:rPr>
        <w:t xml:space="preserve">With respect to certain non-corporate U.S. Holders, including individual U.S. Holders, any dividends may be taxed at the lower capital gains rate applicable to “qualified dividend income,” provided (1) the ADSs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ordinary shares, as applicable, are readily tradable on an established securities market in the United States, (2) we are neither a PFIC nor treated as such with respect to you (as discussed below) for the taxable year in which the dividend was paid and the preceding taxable year, and (3) certain holding period requirements are met. Although it is not free from doubt, ADSs will generally be considered for purposes of clause (1) above to be readily tradable on an established securities market in the United States if they are listed on the Nasdaq, as are our ADSs. However, there can be no assurance that our ADSs will continue to be readily tradable on an established securities market in later years. Consequently, there can be no assurance that dividends paid on our ADSs will continue to qualify for the reduced tax rates. Our ordinary shares are not currently listed on an established securities market in the United States. You should consult your tax advisors regarding the availability of the lower capital gains rate applicable to qualified dividend income for any dividends paid with respect to our ADSs or ordinary shares. </w:t>
      </w:r>
    </w:p>
    <w:p>
      <w:pPr>
        <w:pStyle w:val="TextBody"/>
        <w:spacing w:before="240" w:after="0"/>
        <w:jc w:val="left"/>
        <w:rPr>
          <w:rFonts w:ascii="Times New Roman" w:hAnsi="Times New Roman"/>
          <w:sz w:val="20"/>
        </w:rPr>
      </w:pPr>
      <w:r>
        <w:rPr>
          <w:rFonts w:ascii="Times New Roman" w:hAnsi="Times New Roman"/>
          <w:sz w:val="20"/>
        </w:rPr>
        <w:t xml:space="preserve">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 </w:t>
      </w:r>
    </w:p>
    <w:p>
      <w:pPr>
        <w:pStyle w:val="TextBody"/>
        <w:spacing w:before="360" w:after="0"/>
        <w:jc w:val="left"/>
        <w:rPr>
          <w:rFonts w:ascii="Times New Roman" w:hAnsi="Times New Roman"/>
          <w:b/>
          <w:i/>
          <w:sz w:val="20"/>
        </w:rPr>
      </w:pPr>
      <w:r>
        <w:rPr>
          <w:rFonts w:ascii="Times New Roman" w:hAnsi="Times New Roman"/>
          <w:b/>
          <w:i/>
          <w:sz w:val="20"/>
        </w:rPr>
        <w:t xml:space="preserve">Taxation of Disposition of ADSs or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PFIC rules discussed below, you will recognize taxable gain or loss on a disposition of ADSs or ordinary shares equal to the difference between the amount realized for the ADSs or ordinary shares and your tax basis in the ADSs or ordinary shares. The gain or loss generally will be capital gain or loss. If you are a non-corporate U.S. Holder, including an individual U.S. Holder, that has held the ADSs or ordinary shares for more than one year,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 </w:t>
      </w:r>
    </w:p>
    <w:p>
      <w:pPr>
        <w:pStyle w:val="TextBody"/>
        <w:spacing w:before="360" w:after="0"/>
        <w:jc w:val="left"/>
        <w:rPr>
          <w:rFonts w:ascii="Times New Roman" w:hAnsi="Times New Roman"/>
          <w:b/>
          <w:i/>
          <w:sz w:val="20"/>
        </w:rPr>
      </w:pPr>
      <w:r>
        <w:rPr>
          <w:rFonts w:ascii="Times New Roman" w:hAnsi="Times New Roman"/>
          <w:b/>
          <w:i/>
          <w:sz w:val="20"/>
        </w:rPr>
        <w:t xml:space="preserve">Passive Foreign Investment Company </w:t>
      </w:r>
    </w:p>
    <w:p>
      <w:pPr>
        <w:pStyle w:val="TextBody"/>
        <w:spacing w:before="120" w:after="0"/>
        <w:jc w:val="left"/>
        <w:rPr>
          <w:rFonts w:ascii="Times New Roman" w:hAnsi="Times New Roman"/>
          <w:sz w:val="20"/>
        </w:rPr>
      </w:pPr>
      <w:r>
        <w:rPr>
          <w:rFonts w:ascii="Times New Roman" w:hAnsi="Times New Roman"/>
          <w:sz w:val="20"/>
        </w:rPr>
        <w:t xml:space="preserve">Based on the market price of our ADSs and ordinary shares, and the composition of our income and assets, we do not believe we were a PFIC for U.S. federal income tax purposes for our taxable year ended December 31, 2022.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 </w:t>
      </w:r>
    </w:p>
    <w:p>
      <w:pPr>
        <w:pStyle w:val="TextBody"/>
        <w:spacing w:before="0" w:after="0"/>
        <w:jc w:val="left"/>
        <w:rPr/>
      </w:pPr>
      <w:r>
        <w:rPr/>
        <w:t> </w:t>
      </w:r>
    </w:p>
    <w:tbl>
      <w:tblPr>
        <w:tblW w:w="5695" w:type="dxa"/>
        <w:jc w:val="left"/>
        <w:tblInd w:w="0" w:type="dxa"/>
        <w:tblCellMar>
          <w:top w:w="0" w:type="dxa"/>
          <w:left w:w="0" w:type="dxa"/>
          <w:bottom w:w="0" w:type="dxa"/>
          <w:right w:w="0" w:type="dxa"/>
        </w:tblCellMar>
      </w:tblPr>
      <w:tblGrid>
        <w:gridCol w:w="75"/>
        <w:gridCol w:w="110"/>
        <w:gridCol w:w="60"/>
        <w:gridCol w:w="5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4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75% of its gross income for such year is passive income; or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at least 50% of the value of its assets (generally based on a quarterly average) during such year is attributable to assets that produce passive income or are held for the production of passive income. </w:t>
            </w:r>
          </w:p>
        </w:tc>
      </w:tr>
    </w:tbl>
    <w:p>
      <w:pPr>
        <w:pStyle w:val="TextBody"/>
        <w:spacing w:before="240" w:after="0"/>
        <w:jc w:val="left"/>
        <w:rPr>
          <w:rFonts w:ascii="Times New Roman" w:hAnsi="Times New Roman"/>
          <w:sz w:val="20"/>
        </w:rPr>
      </w:pPr>
      <w:r>
        <w:rPr>
          <w:rFonts w:ascii="Times New Roman" w:hAnsi="Times New Roman"/>
          <w:sz w:val="20"/>
        </w:rPr>
        <w:t xml:space="preserve">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For purposes of determining whether we are a PFIC, we will be treated as owning our proportionate share of the assets and earning our proportionate share of the income of any other corporation in which we own, directly or indirectly, more than 25% (by value) of the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 </w:t>
      </w:r>
    </w:p>
    <w:p>
      <w:pPr>
        <w:pStyle w:val="TextBody"/>
        <w:spacing w:before="240" w:after="0"/>
        <w:jc w:val="left"/>
        <w:rPr>
          <w:rFonts w:ascii="Times New Roman" w:hAnsi="Times New Roman"/>
          <w:sz w:val="20"/>
        </w:rPr>
      </w:pPr>
      <w:r>
        <w:rPr>
          <w:rFonts w:ascii="Times New Roman" w:hAnsi="Times New Roman"/>
          <w:sz w:val="20"/>
        </w:rPr>
        <w:t xml:space="preserve">If we are a PFIC for any taxable year during which you hold ADSs or ordinary shares, we generally will continue to be treated as a PFIC with respect to you for that year and for all succeeding years during which you hold ADSs or ordinary shares (regardless of whether we continue to meet the tests described above), unless we cease to be a PFIC and you make a “deemed sale” election with respect to the ADSs or ordinary shares.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 You are urged to consult your tax advisor about this election. </w:t>
      </w:r>
    </w:p>
    <w:p>
      <w:pPr>
        <w:pStyle w:val="TextBody"/>
        <w:spacing w:before="240" w:after="0"/>
        <w:jc w:val="left"/>
        <w:rPr>
          <w:rFonts w:ascii="Times New Roman" w:hAnsi="Times New Roman"/>
          <w:sz w:val="20"/>
        </w:rPr>
      </w:pPr>
      <w:r>
        <w:rPr>
          <w:rFonts w:ascii="Times New Roman" w:hAnsi="Times New Roman"/>
          <w:sz w:val="20"/>
        </w:rPr>
        <w:t xml:space="preserve">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excess distribution or recognized gain will be allocated ratably over your holding period for the ADSs or ordinary shares;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allocated to the current taxable year, and any taxable years in your holding period prior to the first taxable year in which we were a PFIC, will be treated as ordinary income;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 allocated to each other taxable year will be subject to tax at the highest income tax rate in effect for individuals or corporations, as applicable, for each such year and the interest charge generally applicable to underpayments of tax will be imposed on the resulting tax attributable to each such year. </w:t>
            </w:r>
          </w:p>
        </w:tc>
      </w:tr>
    </w:tbl>
    <w:p>
      <w:pPr>
        <w:pStyle w:val="TextBody"/>
        <w:spacing w:before="240" w:after="0"/>
        <w:jc w:val="left"/>
        <w:rPr>
          <w:rFonts w:ascii="Times New Roman" w:hAnsi="Times New Roman"/>
          <w:sz w:val="20"/>
        </w:rPr>
      </w:pPr>
      <w:r>
        <w:rPr>
          <w:rFonts w:ascii="Times New Roman" w:hAnsi="Times New Roman"/>
          <w:sz w:val="20"/>
        </w:rPr>
        <w:t xml:space="preserve">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 </w:t>
      </w:r>
    </w:p>
    <w:p>
      <w:pPr>
        <w:pStyle w:val="TextBody"/>
        <w:spacing w:before="240" w:after="0"/>
        <w:jc w:val="left"/>
        <w:rPr>
          <w:rFonts w:ascii="Times New Roman" w:hAnsi="Times New Roman"/>
          <w:sz w:val="20"/>
        </w:rPr>
      </w:pPr>
      <w:r>
        <w:rPr>
          <w:rFonts w:ascii="Times New Roman" w:hAnsi="Times New Roman"/>
          <w:sz w:val="20"/>
        </w:rPr>
        <w:t xml:space="preserve">If we are a PFIC with respect to you for any taxable year, to the extent any of our subsidiaries are also PFICs or we make direct or indirect equity investments in other entities that are PFICs, you will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 </w:t>
      </w:r>
    </w:p>
    <w:p>
      <w:pPr>
        <w:pStyle w:val="TextBody"/>
        <w:spacing w:before="240" w:after="0"/>
        <w:jc w:val="left"/>
        <w:rPr>
          <w:rFonts w:ascii="Times New Roman" w:hAnsi="Times New Roman"/>
          <w:sz w:val="20"/>
        </w:rPr>
      </w:pPr>
      <w:r>
        <w:rPr>
          <w:rFonts w:ascii="Times New Roman" w:hAnsi="Times New Roman"/>
          <w:sz w:val="20"/>
        </w:rPr>
        <w:t xml:space="preserve">A U.S. Holder of “marketable stock” (as defined below) in a PFIC may make a mark-to-market election for such stock to elect out of the PFIC rules described above regarding excess distributions and recognized gains. If you make an effective mark-to-market election for the ADSs or ordinary shares, you will include in income for each year we are a PFIC an amount equal to the excess, if any, of the fair market value of the ADSs or ordinary shares as of the close of your taxable year over your adjusted basis in such ADSs or ordinary shares. You will be allowed a deduction for the excess, if any, of the adjusted basis of the ADSs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ordinary shares over their fair market value as of the close of the taxable year. However, deductions will be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 any mark-to-market loss on the ADSs or ordinary shares, as well as to any loss realized on the actual sale or other disposition of the ADSs or ordinary shares, to the extent the amount of such loss does not exceed the net mark-to-market gains previously included for such ADSs or ordinary shares. Your basis in the ADSs or ordinary shares will be adjusted to reflect any such income or loss amounts. If you make a mark-to-market election, any distributions we make would generally be subject to the rules discussed above under “— Taxation of Dividends and Other Distributions on the ADSs or Ordinary Shares,” except the lower rate applicable to qualified dividend income would not apply. </w:t>
      </w:r>
    </w:p>
    <w:p>
      <w:pPr>
        <w:pStyle w:val="TextBody"/>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which generally is stock that is regularly traded on a qualified exchange or other market, as defined in applicable U.S. Treasury regulations. Our ADSs are listed on the Nasdaq, which is a qualified exchange or other market for these purposes. Consequently, if the ADSs continue to be listed on Nasdaq and are regularly traded, and you are a holder of ADSs, we expect the mark-to-market election would be available to you if we were to become a PFIC. There can be no assurance that the ADSs will be “regularly traded” for purposes of the mark-to-market election.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 a mark-to-market election, as well as the impact of such election on interests in any lower-tier PFICs. </w:t>
      </w:r>
    </w:p>
    <w:p>
      <w:pPr>
        <w:pStyle w:val="TextBody"/>
        <w:spacing w:before="240" w:after="0"/>
        <w:jc w:val="left"/>
        <w:rPr>
          <w:rFonts w:ascii="Times New Roman" w:hAnsi="Times New Roman"/>
          <w:sz w:val="20"/>
        </w:rPr>
      </w:pPr>
      <w:r>
        <w:rPr>
          <w:rFonts w:ascii="Times New Roman" w:hAnsi="Times New Roman"/>
          <w:sz w:val="20"/>
        </w:rPr>
        <w:t>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Times New Roman" w:hAnsi="Times New Roman"/>
          <w:i/>
          <w:sz w:val="20"/>
        </w:rPr>
        <w:t>pro rata</w:t>
      </w:r>
      <w:r>
        <w:rPr>
          <w:rFonts w:ascii="Times New Roman" w:hAnsi="Times New Roman"/>
          <w:sz w:val="20"/>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 </w:t>
      </w:r>
    </w:p>
    <w:p>
      <w:pPr>
        <w:pStyle w:val="TextBody"/>
        <w:spacing w:before="240" w:after="0"/>
        <w:jc w:val="left"/>
        <w:rPr>
          <w:rFonts w:ascii="Times New Roman" w:hAnsi="Times New Roman"/>
          <w:sz w:val="20"/>
        </w:rPr>
      </w:pPr>
      <w:r>
        <w:rPr>
          <w:rFonts w:ascii="Times New Roman" w:hAnsi="Times New Roman"/>
          <w:sz w:val="20"/>
        </w:rPr>
        <w:t xml:space="preserve">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 </w:t>
      </w:r>
    </w:p>
    <w:p>
      <w:pPr>
        <w:pStyle w:val="TextBody"/>
        <w:spacing w:before="240" w:after="0"/>
        <w:jc w:val="left"/>
        <w:rPr>
          <w:rFonts w:ascii="Times New Roman" w:hAnsi="Times New Roman"/>
          <w:b/>
          <w:sz w:val="20"/>
        </w:rPr>
      </w:pPr>
      <w:r>
        <w:rPr>
          <w:rFonts w:ascii="Times New Roman" w:hAnsi="Times New Roman"/>
          <w:b/>
          <w:sz w:val="20"/>
        </w:rPr>
        <w:t xml:space="preserve">You are strongly urged to consult your tax advisors regarding the application of the PFIC rules to your investment in ADSs or ordinary shares. </w:t>
      </w:r>
    </w:p>
    <w:p>
      <w:pPr>
        <w:pStyle w:val="TextBody"/>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Any dividend payments with respect to ADSs or ordinary shares and proceeds from a disposition of ADSs or ordinary shares may be subject to information reporting to the U.S. Internal Revenue Service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U.S. Internal Revenue Service Form W-9. The Company does not assume responsibility for backup withholding. U.S. Holders should consult their tax advisors regarding the application of the U.S. information reporting and backup withholding rules.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in a timely manner.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Information with Respect to Foreign Financial Assets </w:t>
      </w:r>
    </w:p>
    <w:p>
      <w:pPr>
        <w:pStyle w:val="TextBody"/>
        <w:spacing w:before="120" w:after="0"/>
        <w:jc w:val="left"/>
        <w:rPr>
          <w:rFonts w:ascii="Times New Roman" w:hAnsi="Times New Roman"/>
          <w:sz w:val="20"/>
        </w:rPr>
      </w:pPr>
      <w:r>
        <w:rPr>
          <w:rFonts w:ascii="Times New Roman" w:hAnsi="Times New Roman"/>
          <w:sz w:val="20"/>
        </w:rPr>
        <w:t xml:space="preserve">U.S. holders that are individuals (and, to the extent provided in regulations, certain entities) that own “specified foreign financial assets,” including possibly the ADSs, with an aggregate value in excess of $50,000 are generally required to file IRS Form 8938 with information regarding such assets. Depending on the circumstances, higher threshold amounts may apply.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 (iii) interests in non-U.S. entities. If a U.S. holder is subject to this information reporting regime, the failure to timely file IRS Form 8938 may subject the U.S. holder to penalties. In addition to these requirements, U.S. holders may be required to annually file FinCEN Report 114, Report of Foreign Bank and Financial Accounts with the U.S. Department of Treasury. U.S. holders are thus encouraged to consult their U.S. tax advisors with respect to these and other reporting requirements that may apply to their acquisition of the ADSs. </w:t>
      </w:r>
    </w:p>
    <w:p>
      <w:pPr>
        <w:pStyle w:val="TextBody"/>
        <w:spacing w:before="240" w:after="0"/>
        <w:jc w:val="left"/>
        <w:rPr>
          <w:rFonts w:ascii="Times New Roman" w:hAnsi="Times New Roman"/>
          <w:b/>
          <w:sz w:val="20"/>
        </w:rPr>
      </w:pPr>
      <w:r>
        <w:rPr>
          <w:rFonts w:ascii="Times New Roman" w:hAnsi="Times New Roman"/>
          <w:b/>
          <w:sz w:val="20"/>
        </w:rPr>
        <w:t xml:space="preserve">THE DISCUSSION ABOVE IS A GENERAL DISCUSSION. IT DOES NOT COVER ALL TAX MATTERS THAT MAY BE IMPORTANT TO A PARTICULAR INVESTOR. EACH PROSPECTIVE INVESTOR SHOULD CONSULT ITS TAX ADVISOR ABOUT THE TAX CONSEQUENCES OF AN INVESTMENT IN THE ADSs OR ORDINARY SHARES UNDER THE INVESTOR’S OWN CIRCUMSTANCES. </w:t>
      </w:r>
    </w:p>
    <w:p>
      <w:pPr>
        <w:pStyle w:val="TextBody"/>
        <w:spacing w:before="480" w:after="0"/>
        <w:jc w:val="center"/>
        <w:rPr>
          <w:rFonts w:ascii="Times New Roman" w:hAnsi="Times New Roman"/>
          <w:b/>
          <w:sz w:val="20"/>
        </w:rPr>
      </w:pPr>
      <w:bookmarkStart w:id="54" w:name="rom396630_51"/>
      <w:bookmarkEnd w:id="54"/>
      <w:r>
        <w:rPr>
          <w:rFonts w:ascii="Times New Roman" w:hAnsi="Times New Roman"/>
          <w:b/>
          <w:sz w:val="20"/>
        </w:rPr>
        <w:t xml:space="preserve">F. DIVIDENDS AND PAYING AGENTS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5" w:name="rom396630_52"/>
      <w:bookmarkEnd w:id="55"/>
      <w:r>
        <w:rPr>
          <w:rFonts w:ascii="Times New Roman" w:hAnsi="Times New Roman"/>
          <w:b/>
          <w:sz w:val="20"/>
        </w:rPr>
        <w:t xml:space="preserve">G. STATEMENT BY EXPERTS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56" w:name="rom396630_53"/>
      <w:bookmarkEnd w:id="56"/>
      <w:r>
        <w:rPr>
          <w:rFonts w:ascii="Times New Roman" w:hAnsi="Times New Roman"/>
          <w:b/>
          <w:sz w:val="20"/>
        </w:rPr>
        <w:t xml:space="preserve">H. DOCUMENTS ON DISPLAY </w:t>
      </w:r>
    </w:p>
    <w:p>
      <w:pPr>
        <w:pStyle w:val="TextBody"/>
        <w:spacing w:before="240" w:after="0"/>
        <w:jc w:val="left"/>
        <w:rPr>
          <w:rFonts w:ascii="Times New Roman" w:hAnsi="Times New Roman"/>
          <w:sz w:val="20"/>
        </w:rPr>
      </w:pPr>
      <w:r>
        <w:rPr>
          <w:rFonts w:ascii="Times New Roman" w:hAnsi="Times New Roman"/>
          <w:sz w:val="20"/>
        </w:rPr>
        <w:t xml:space="preserve">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 </w:t>
      </w:r>
    </w:p>
    <w:p>
      <w:pPr>
        <w:pStyle w:val="TextBody"/>
        <w:spacing w:before="240" w:after="0"/>
        <w:jc w:val="left"/>
        <w:rPr>
          <w:rFonts w:ascii="Times New Roman" w:hAnsi="Times New Roman"/>
          <w:sz w:val="20"/>
        </w:rPr>
      </w:pPr>
      <w:r>
        <w:rPr>
          <w:rFonts w:ascii="Times New Roman" w:hAnsi="Times New Roman"/>
          <w:sz w:val="20"/>
        </w:rPr>
        <w:t xml:space="preserve">Copies of reports and other information, when so filed, may be inspected without charge at the SEC’s Public Reference Room at 100 F Street, N.E., Washington D.C. 20549. The public may obtain information regarding the Washington, D.C. Public Reference Room by calling the SEC at 1-800-SEC- 0330. The SEC also maintains a web site at www.sec.gov that contains reports, proxy and information statements, and other information regarding registrants that make electronic filings with the SEC using its EDGAR system. </w:t>
      </w:r>
    </w:p>
    <w:p>
      <w:pPr>
        <w:pStyle w:val="TextBody"/>
        <w:spacing w:before="240" w:after="0"/>
        <w:jc w:val="left"/>
        <w:rPr>
          <w:rFonts w:ascii="Times New Roman" w:hAnsi="Times New Roman"/>
          <w:sz w:val="20"/>
        </w:rPr>
      </w:pPr>
      <w:r>
        <w:rPr>
          <w:rFonts w:ascii="Times New Roman" w:hAnsi="Times New Roman"/>
          <w:sz w:val="20"/>
        </w:rPr>
        <w:t xml:space="preserve">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financial statements have been prepared in accordance with U.S. GAAP. Our annual reports will include a review of operations and annual audited consolidated financial statements prepared in conformity with U.S. GAAP. </w:t>
      </w:r>
    </w:p>
    <w:p>
      <w:pPr>
        <w:pStyle w:val="TextBody"/>
        <w:spacing w:before="240" w:after="0"/>
        <w:jc w:val="left"/>
        <w:rPr>
          <w:rFonts w:ascii="Times New Roman" w:hAnsi="Times New Roman"/>
          <w:sz w:val="20"/>
        </w:rPr>
      </w:pPr>
      <w:r>
        <w:rPr>
          <w:rFonts w:ascii="Times New Roman" w:hAnsi="Times New Roman"/>
          <w:sz w:val="20"/>
        </w:rPr>
        <w:t xml:space="preserve">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In addition, we intend to post our annual report on our website www.melco-resorts.com. Nasdaq Stock Market Rule 5615(a)(3) permits foreign private issuers like us to follow “home country practice” in certain corporate governance matters. Walkers (Hong Kong), our Cayman Islands counsel, has provided a letter to the Nasdaq certifying that under the Companies Act (as amended) of the Cayman Islands, we are not required to deliver annual reports to our shareholders prior to an annual general meeting. </w:t>
      </w:r>
    </w:p>
    <w:p>
      <w:pPr>
        <w:pStyle w:val="TextBody"/>
        <w:spacing w:before="480" w:after="0"/>
        <w:jc w:val="center"/>
        <w:rPr>
          <w:rFonts w:ascii="Times New Roman" w:hAnsi="Times New Roman"/>
          <w:b/>
          <w:sz w:val="20"/>
        </w:rPr>
      </w:pPr>
      <w:bookmarkStart w:id="57" w:name="rom396630_54"/>
      <w:bookmarkEnd w:id="57"/>
      <w:r>
        <w:rPr>
          <w:rFonts w:ascii="Times New Roman" w:hAnsi="Times New Roman"/>
          <w:b/>
          <w:sz w:val="20"/>
        </w:rPr>
        <w:t xml:space="preserve">I. SUBSIDIARY INFORMATION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center"/>
        <w:rPr>
          <w:rFonts w:ascii="Times New Roman" w:hAnsi="Times New Roman"/>
          <w:b/>
          <w:sz w:val="20"/>
        </w:rPr>
      </w:pPr>
      <w:bookmarkStart w:id="58" w:name="rom396630_55"/>
      <w:bookmarkEnd w:id="58"/>
      <w:r>
        <w:rPr>
          <w:rFonts w:ascii="Times New Roman" w:hAnsi="Times New Roman"/>
          <w:b/>
          <w:sz w:val="20"/>
        </w:rPr>
        <w:t xml:space="preserve">J. ANNUAL REPORT TO SECURITY HOLDERS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8065" w:type="dxa"/>
        <w:jc w:val="left"/>
        <w:tblInd w:w="0" w:type="dxa"/>
        <w:tblCellMar>
          <w:top w:w="0" w:type="dxa"/>
          <w:left w:w="0" w:type="dxa"/>
          <w:bottom w:w="0" w:type="dxa"/>
          <w:right w:w="0" w:type="dxa"/>
        </w:tblCellMar>
      </w:tblPr>
      <w:tblGrid>
        <w:gridCol w:w="1040"/>
        <w:gridCol w:w="7025"/>
      </w:tblGrid>
      <w:tr>
        <w:trPr/>
        <w:tc>
          <w:tcPr>
            <w:tcW w:w="1040" w:type="dxa"/>
            <w:tcBorders/>
            <w:shd w:fill="auto" w:val="clear"/>
            <w:vAlign w:val="center"/>
          </w:tcPr>
          <w:p>
            <w:pPr>
              <w:pStyle w:val="TableContents"/>
              <w:spacing w:before="0" w:after="283"/>
              <w:jc w:val="left"/>
              <w:rPr>
                <w:b/>
              </w:rPr>
            </w:pPr>
            <w:bookmarkStart w:id="59" w:name="rom396630_56"/>
            <w:bookmarkEnd w:id="59"/>
            <w:r>
              <w:rPr>
                <w:b/>
              </w:rPr>
              <w:t>ITEM 11.</w:t>
            </w:r>
          </w:p>
        </w:tc>
        <w:tc>
          <w:tcPr>
            <w:tcW w:w="7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spacing w:before="120" w:after="0"/>
        <w:jc w:val="left"/>
        <w:rPr>
          <w:rFonts w:ascii="Times New Roman" w:hAnsi="Times New Roman"/>
          <w:sz w:val="20"/>
        </w:rPr>
      </w:pPr>
      <w:r>
        <w:rPr>
          <w:rFonts w:ascii="Times New Roman" w:hAnsi="Times New Roman"/>
          <w:sz w:val="20"/>
        </w:rPr>
        <w:t xml:space="preserve">Market risk is the risk of loss arising from adverse changes in market rates and prices, such as interest rates and foreign currency exchange rates. </w:t>
      </w:r>
    </w:p>
    <w:p>
      <w:pPr>
        <w:pStyle w:val="TextBody"/>
        <w:spacing w:before="360" w:after="0"/>
        <w:jc w:val="left"/>
        <w:rPr>
          <w:rFonts w:ascii="Times New Roman" w:hAnsi="Times New Roman"/>
          <w:b/>
          <w:sz w:val="20"/>
        </w:rPr>
      </w:pPr>
      <w:r>
        <w:rPr>
          <w:rFonts w:ascii="Times New Roman" w:hAnsi="Times New Roman"/>
          <w:b/>
          <w:sz w:val="20"/>
        </w:rPr>
        <w:t xml:space="preserve">Foreign Exchange Risk </w:t>
      </w:r>
    </w:p>
    <w:p>
      <w:pPr>
        <w:pStyle w:val="TextBody"/>
        <w:spacing w:before="120" w:after="0"/>
        <w:jc w:val="left"/>
        <w:rPr>
          <w:rFonts w:ascii="Times New Roman" w:hAnsi="Times New Roman"/>
          <w:sz w:val="20"/>
        </w:rPr>
      </w:pPr>
      <w:r>
        <w:rPr>
          <w:rFonts w:ascii="Times New Roman" w:hAnsi="Times New Roman"/>
          <w:sz w:val="20"/>
        </w:rPr>
        <w:t xml:space="preserve">Our exposure to foreign exchange rate risk is associated with the currency of our operations and our indebtedness and as a result of the presentation of our financial statements in U.S. dollars. The majority of our revenues are denominated in H.K. dollars, given the H.K. dollar is the predominant currency used in Macau and is often used interchangeably with the Pataca in Macau, while our expenses are denominated predominantly in Patacas, H.K. dollars and the Philippine pesos. In addition, a significant portion of our indebtedness, including the Melco Resorts Finance Notes, the Studio City Notes, and certain expenses, have been and are denominated in U.S. dollars, and the costs associated with servicing and repaying such debt will be denominated in U.S. dollars. We also have a certain portion of our assets and liabilities denominated in the Philippine peso and the Euro. </w:t>
      </w:r>
    </w:p>
    <w:p>
      <w:pPr>
        <w:pStyle w:val="TextBody"/>
        <w:spacing w:before="240" w:after="0"/>
        <w:jc w:val="left"/>
        <w:rPr>
          <w:rFonts w:ascii="Times New Roman" w:hAnsi="Times New Roman"/>
          <w:sz w:val="20"/>
        </w:rPr>
      </w:pPr>
      <w:r>
        <w:rPr>
          <w:rFonts w:ascii="Times New Roman" w:hAnsi="Times New Roman"/>
          <w:sz w:val="20"/>
        </w:rPr>
        <w:t xml:space="preserve">The value of the H.K. dollar, Pataca, the Philippine peso and the Euro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Pataca, the Philippine peso or the Euro to the U.S. dollar may have a material adverse effect on our revenues and financial condition. </w:t>
      </w:r>
    </w:p>
    <w:p>
      <w:pPr>
        <w:pStyle w:val="TextBody"/>
        <w:spacing w:before="240" w:after="0"/>
        <w:jc w:val="left"/>
        <w:rPr>
          <w:rFonts w:ascii="Times New Roman" w:hAnsi="Times New Roman"/>
          <w:sz w:val="20"/>
        </w:rPr>
      </w:pPr>
      <w:r>
        <w:rPr>
          <w:rFonts w:ascii="Times New Roman" w:hAnsi="Times New Roman"/>
          <w:sz w:val="20"/>
        </w:rPr>
        <w:t xml:space="preserve">We accept foreign currencies from our customers and as of December 31, 2022, in addition to H.K. dollars, Patacas and Philippine pesos and Euros, we also hold other foreign currencies. However, any foreign exchange risk exposure associated with those currencies is minimal. </w:t>
      </w:r>
    </w:p>
    <w:p>
      <w:pPr>
        <w:pStyle w:val="TextBody"/>
        <w:spacing w:before="240" w:after="0"/>
        <w:jc w:val="left"/>
        <w:rPr>
          <w:rFonts w:ascii="Times New Roman" w:hAnsi="Times New Roman"/>
          <w:sz w:val="20"/>
        </w:rPr>
      </w:pPr>
      <w:r>
        <w:rPr>
          <w:rFonts w:ascii="Times New Roman" w:hAnsi="Times New Roman"/>
          <w:sz w:val="20"/>
        </w:rPr>
        <w:t xml:space="preserve">We have not engaged in hedging transactions with respect to foreign exchange exposure of our revenues and expenses in our day-to-day operations during the year ended December 31, 2022.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See note 13 to the consolidated financial statements included elsewhere in this annual report for further details related to our indebtedness as of December 31, 2022. </w:t>
      </w:r>
    </w:p>
    <w:p>
      <w:pPr>
        <w:pStyle w:val="TextBody"/>
        <w:spacing w:before="240" w:after="0"/>
        <w:jc w:val="left"/>
        <w:rPr>
          <w:rFonts w:ascii="Times New Roman" w:hAnsi="Times New Roman"/>
          <w:sz w:val="20"/>
        </w:rPr>
      </w:pPr>
      <w:r>
        <w:rPr>
          <w:rFonts w:ascii="Times New Roman" w:hAnsi="Times New Roman"/>
          <w:sz w:val="20"/>
        </w:rPr>
        <w:t xml:space="preserve">Major currencies in which our cash and bank balances (including restricted cash) are held as of December 31, 2022 were the U.S. dollar, the H.K. dollar, the Philippine peso, the Euro and the Pataca. Based on the cash and bank balances as of December 31, 2022, an assumed 1% change in the exchange rates between currencies other than the U.S. dollar against the U.S. dollar would cause a maximum foreign transaction gain or loss of approximately US$13.9 million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Based on the balances of indebtedness denominated in currencies other than U.S. dollars as of December 31, 2022, an assumed 1% change in the exchange rates between currencies other than the U.S. dollar against the U.S. dollar would cause a foreign transaction gain or loss of approximately US$19.0 million for the year ended December 31, 2022. </w:t>
      </w:r>
    </w:p>
    <w:p>
      <w:pPr>
        <w:pStyle w:val="TextBody"/>
        <w:spacing w:before="360" w:after="0"/>
        <w:jc w:val="left"/>
        <w:rPr>
          <w:rFonts w:ascii="Times New Roman" w:hAnsi="Times New Roman"/>
          <w:b/>
          <w:sz w:val="20"/>
        </w:rPr>
      </w:pPr>
      <w:r>
        <w:rPr>
          <w:rFonts w:ascii="Times New Roman" w:hAnsi="Times New Roman"/>
          <w:b/>
          <w:sz w:val="20"/>
        </w:rPr>
        <w:t xml:space="preserve">Interest Rate Risk </w:t>
      </w:r>
    </w:p>
    <w:p>
      <w:pPr>
        <w:pStyle w:val="TextBody"/>
        <w:spacing w:before="120" w:after="0"/>
        <w:jc w:val="left"/>
        <w:rPr>
          <w:rFonts w:ascii="Times New Roman" w:hAnsi="Times New Roman"/>
          <w:sz w:val="20"/>
        </w:rPr>
      </w:pPr>
      <w:r>
        <w:rPr>
          <w:rFonts w:ascii="Times New Roman" w:hAnsi="Times New Roman"/>
          <w:sz w:val="20"/>
        </w:rPr>
        <w:t xml:space="preserve">Our exposure to interest rate risk is associated with our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 </w:t>
      </w:r>
    </w:p>
    <w:p>
      <w:pPr>
        <w:pStyle w:val="TextBody"/>
        <w:spacing w:before="240" w:after="0"/>
        <w:jc w:val="left"/>
        <w:rPr>
          <w:rFonts w:ascii="Times New Roman" w:hAnsi="Times New Roman"/>
          <w:sz w:val="20"/>
        </w:rPr>
      </w:pPr>
      <w:r>
        <w:rPr>
          <w:rFonts w:ascii="Times New Roman" w:hAnsi="Times New Roman"/>
          <w:sz w:val="20"/>
        </w:rPr>
        <w:t xml:space="preserve">As of December 31, 2022, we are subject to fluctuations in HIBOR as a result of our 2015 Credit Facilities, 2020 Credit Facilities and 2028 Studio City Senior Secured Credit Facility. As of December 31, 2022, approximately 78% of our total indebtedness was based on fixed rates. Based on our December 31, 2022 indebtedness level, an assumed 100 basis point change in HIBOR would cause our annual interest cost to change by approximately US$19.0 million. </w:t>
      </w:r>
    </w:p>
    <w:p>
      <w:pPr>
        <w:pStyle w:val="TextBody"/>
        <w:spacing w:before="240" w:after="0"/>
        <w:jc w:val="left"/>
        <w:rPr>
          <w:rFonts w:ascii="Times New Roman" w:hAnsi="Times New Roman"/>
          <w:sz w:val="20"/>
        </w:rPr>
      </w:pPr>
      <w:r>
        <w:rPr>
          <w:rFonts w:ascii="Times New Roman" w:hAnsi="Times New Roman"/>
          <w:sz w:val="20"/>
        </w:rPr>
        <w:t xml:space="preserve">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 </w:t>
      </w:r>
    </w:p>
    <w:p>
      <w:pPr>
        <w:pStyle w:val="TextBody"/>
        <w:spacing w:before="0" w:after="0"/>
        <w:jc w:val="left"/>
        <w:rPr/>
      </w:pPr>
      <w:r>
        <w:rPr/>
        <w:t> </w:t>
      </w:r>
    </w:p>
    <w:tbl>
      <w:tblPr>
        <w:tblW w:w="7360" w:type="dxa"/>
        <w:jc w:val="left"/>
        <w:tblInd w:w="0" w:type="dxa"/>
        <w:tblCellMar>
          <w:top w:w="0" w:type="dxa"/>
          <w:left w:w="0" w:type="dxa"/>
          <w:bottom w:w="0" w:type="dxa"/>
          <w:right w:w="0" w:type="dxa"/>
        </w:tblCellMar>
      </w:tblPr>
      <w:tblGrid>
        <w:gridCol w:w="1040"/>
        <w:gridCol w:w="6320"/>
      </w:tblGrid>
      <w:tr>
        <w:trPr/>
        <w:tc>
          <w:tcPr>
            <w:tcW w:w="1040" w:type="dxa"/>
            <w:tcBorders/>
            <w:shd w:fill="auto" w:val="clear"/>
            <w:vAlign w:val="center"/>
          </w:tcPr>
          <w:p>
            <w:pPr>
              <w:pStyle w:val="TableContents"/>
              <w:spacing w:before="0" w:after="283"/>
              <w:jc w:val="left"/>
              <w:rPr>
                <w:b/>
              </w:rPr>
            </w:pPr>
            <w:bookmarkStart w:id="60" w:name="rom396630_57"/>
            <w:bookmarkEnd w:id="60"/>
            <w:r>
              <w:rPr>
                <w:b/>
              </w:rPr>
              <w:t>ITEM 12.</w:t>
            </w:r>
          </w:p>
        </w:tc>
        <w:tc>
          <w:tcPr>
            <w:tcW w:w="63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DESCRIPTION OF SECURITIES OTHER THAN EQUITY SECURITIES </w:t>
            </w:r>
          </w:p>
        </w:tc>
      </w:tr>
    </w:tbl>
    <w:p>
      <w:pPr>
        <w:pStyle w:val="TextBody"/>
        <w:spacing w:before="480" w:after="0"/>
        <w:jc w:val="center"/>
        <w:rPr>
          <w:rFonts w:ascii="Times New Roman" w:hAnsi="Times New Roman"/>
          <w:b/>
          <w:sz w:val="20"/>
        </w:rPr>
      </w:pPr>
      <w:bookmarkStart w:id="61" w:name="rom396630_58"/>
      <w:bookmarkEnd w:id="61"/>
      <w:r>
        <w:rPr>
          <w:rFonts w:ascii="Times New Roman" w:hAnsi="Times New Roman"/>
          <w:b/>
          <w:sz w:val="20"/>
        </w:rPr>
        <w:t xml:space="preserve">A. DEBT SECURITIES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62" w:name="rom396630_59"/>
      <w:bookmarkEnd w:id="62"/>
      <w:r>
        <w:rPr>
          <w:rFonts w:ascii="Times New Roman" w:hAnsi="Times New Roman"/>
          <w:b/>
          <w:sz w:val="20"/>
        </w:rPr>
        <w:t xml:space="preserve">B. WARRANTS AND RIGHTS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480" w:after="0"/>
        <w:jc w:val="center"/>
        <w:rPr>
          <w:rFonts w:ascii="Times New Roman" w:hAnsi="Times New Roman"/>
          <w:b/>
          <w:sz w:val="20"/>
        </w:rPr>
      </w:pPr>
      <w:bookmarkStart w:id="63" w:name="rom396630_60"/>
      <w:bookmarkEnd w:id="63"/>
      <w:r>
        <w:rPr>
          <w:rFonts w:ascii="Times New Roman" w:hAnsi="Times New Roman"/>
          <w:b/>
          <w:sz w:val="20"/>
        </w:rPr>
        <w:t xml:space="preserve">C. OTHER SECURITIES </w:t>
      </w:r>
    </w:p>
    <w:p>
      <w:pPr>
        <w:pStyle w:val="TextBody"/>
        <w:spacing w:before="24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4" w:name="rom396630_61"/>
      <w:bookmarkEnd w:id="64"/>
      <w:r>
        <w:rPr>
          <w:rFonts w:ascii="Times New Roman" w:hAnsi="Times New Roman"/>
          <w:b/>
          <w:sz w:val="20"/>
        </w:rPr>
        <w:t xml:space="preserve">D. AMERICAN DEPOSITARY SHARES </w:t>
      </w:r>
    </w:p>
    <w:p>
      <w:pPr>
        <w:pStyle w:val="TextBody"/>
        <w:spacing w:before="240" w:after="0"/>
        <w:jc w:val="left"/>
        <w:rPr>
          <w:rFonts w:ascii="Times New Roman" w:hAnsi="Times New Roman"/>
          <w:sz w:val="20"/>
        </w:rPr>
      </w:pPr>
      <w:r>
        <w:rPr>
          <w:rFonts w:ascii="Times New Roman" w:hAnsi="Times New Roman"/>
          <w:sz w:val="20"/>
        </w:rPr>
        <w:t xml:space="preserve">Persons depositing shares are charged a fee for each issuance of ADSs, including issuances resulting from distributions of shares, share dividends, share splits, bonus and rights distributions and other property, and for each surrender of ADSs in exchange for deposited securities. The fee in each case is not in excess of US$5.00 for each 100 ADSs (or fraction thereof) issued or surrendered. Any holder of ADSs is charged a fee not in excess of US$5.00 per 100 ADSs (or portion thereof) issued upon the exercise of rights. The depositary also charges a fee not in excess of US$5.00 per 100 ADSs held for the distribution of cash proceeds pursuant to cash dividends, sale of rights and other entitlements or otherwise. The depositary may also charge an annual fee not in excess of US$5.00 per 100 ADSs for the operation and maintenance costs in administering the ADSs. Persons depositing shares may also be required to pay the following charges: </w:t>
      </w:r>
    </w:p>
    <w:p>
      <w:pPr>
        <w:pStyle w:val="TextBody"/>
        <w:spacing w:before="0" w:after="0"/>
        <w:jc w:val="left"/>
        <w:rPr/>
      </w:pPr>
      <w:r>
        <w:rPr/>
        <w:t> </w:t>
      </w:r>
    </w:p>
    <w:tbl>
      <w:tblPr>
        <w:tblW w:w="8140" w:type="dxa"/>
        <w:jc w:val="left"/>
        <w:tblInd w:w="0" w:type="dxa"/>
        <w:tblCellMar>
          <w:top w:w="0" w:type="dxa"/>
          <w:left w:w="0" w:type="dxa"/>
          <w:bottom w:w="0" w:type="dxa"/>
          <w:right w:w="0" w:type="dxa"/>
        </w:tblCellMar>
      </w:tblPr>
      <w:tblGrid>
        <w:gridCol w:w="75"/>
        <w:gridCol w:w="110"/>
        <w:gridCol w:w="60"/>
        <w:gridCol w:w="7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Taxes (including any applicable interest and penalties thereon) and other governmental charges; </w:t>
            </w:r>
          </w:p>
        </w:tc>
      </w:tr>
    </w:tbl>
    <w:p>
      <w:pPr>
        <w:pStyle w:val="TextBody"/>
        <w:spacing w:before="0" w:after="0"/>
        <w:jc w:val="left"/>
        <w:rPr/>
      </w:pPr>
      <w:r>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Cable, telex, facsimile and electronic transmission and delivery expenses;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 </w:t>
            </w:r>
          </w:p>
        </w:tc>
      </w:tr>
    </w:tbl>
    <w:p>
      <w:pPr>
        <w:pStyle w:val="TextBody"/>
        <w:spacing w:before="0" w:after="0"/>
        <w:jc w:val="left"/>
        <w:rPr/>
      </w:pPr>
      <w:r>
        <w:rPr/>
        <w:t> </w:t>
      </w:r>
    </w:p>
    <w:tbl>
      <w:tblPr>
        <w:tblW w:w="8740" w:type="dxa"/>
        <w:jc w:val="left"/>
        <w:tblInd w:w="0" w:type="dxa"/>
        <w:tblCellMar>
          <w:top w:w="0" w:type="dxa"/>
          <w:left w:w="0" w:type="dxa"/>
          <w:bottom w:w="0" w:type="dxa"/>
          <w:right w:w="0" w:type="dxa"/>
        </w:tblCellMar>
      </w:tblPr>
      <w:tblGrid>
        <w:gridCol w:w="75"/>
        <w:gridCol w:w="110"/>
        <w:gridCol w:w="60"/>
        <w:gridCol w:w="8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Expenses and charges incurred by the depositary in connection with the conversion of foreign currency;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Fees and expenses incurred by the depositary in connection with compliance with exchange control regulations and other regulatory requirements applicable to the shares, deposited securities and ADSs; and </w:t>
            </w:r>
          </w:p>
        </w:tc>
      </w:tr>
    </w:tbl>
    <w:p>
      <w:pPr>
        <w:pStyle w:val="TextBody"/>
        <w:spacing w:before="0" w:after="0"/>
        <w:jc w:val="left"/>
        <w:rPr/>
      </w:pPr>
      <w:r>
        <w:rPr/>
        <w:t> </w:t>
      </w:r>
    </w:p>
    <w:tbl>
      <w:tblPr>
        <w:tblW w:w="8755" w:type="dxa"/>
        <w:jc w:val="left"/>
        <w:tblInd w:w="0" w:type="dxa"/>
        <w:tblCellMar>
          <w:top w:w="0" w:type="dxa"/>
          <w:left w:w="0" w:type="dxa"/>
          <w:bottom w:w="0" w:type="dxa"/>
          <w:right w:w="0" w:type="dxa"/>
        </w:tblCellMar>
      </w:tblPr>
      <w:tblGrid>
        <w:gridCol w:w="75"/>
        <w:gridCol w:w="110"/>
        <w:gridCol w:w="60"/>
        <w:gridCol w:w="85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5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Any additional fees, charges, costs or expenses that may be incurred by the depositary from time to time. </w:t>
            </w:r>
          </w:p>
        </w:tc>
      </w:tr>
    </w:tbl>
    <w:p>
      <w:pPr>
        <w:pStyle w:val="TextBody"/>
        <w:spacing w:before="240" w:after="0"/>
        <w:jc w:val="left"/>
        <w:rPr>
          <w:rFonts w:ascii="Times New Roman" w:hAnsi="Times New Roman"/>
          <w:sz w:val="20"/>
        </w:rPr>
      </w:pPr>
      <w:r>
        <w:rPr>
          <w:rFonts w:ascii="Times New Roman" w:hAnsi="Times New Roman"/>
          <w:sz w:val="20"/>
        </w:rPr>
        <w:t xml:space="preserve">We will pay all other charges and expenses of the depositary and any agent of the depositary, except the custodian, pursuant to agreements from time to time between us and the depositary. We and the depositary may amend the fees described above from time to time. </w:t>
      </w:r>
    </w:p>
    <w:p>
      <w:pPr>
        <w:pStyle w:val="TextBody"/>
        <w:spacing w:before="240" w:after="0"/>
        <w:jc w:val="left"/>
        <w:rPr>
          <w:rFonts w:ascii="Times New Roman" w:hAnsi="Times New Roman"/>
          <w:sz w:val="20"/>
        </w:rPr>
      </w:pPr>
      <w:r>
        <w:rPr>
          <w:rFonts w:ascii="Times New Roman" w:hAnsi="Times New Roman"/>
          <w:sz w:val="20"/>
        </w:rPr>
        <w:t xml:space="preserve">Depositary fees payable upon the issuance and cancelation of ADSs are generally paid to the depositary by the brokers receiving the newly issued ADSs from the depositary and by the brokers delivering the ADSs to the depositary for cancelation. Depositary fees payable in connection with distributions of cash or securities to ADS holders and the depositary service fee are charged by the depositary to the holders of record of ADSs as of the applicable ADS record date. </w:t>
      </w:r>
    </w:p>
    <w:p>
      <w:pPr>
        <w:pStyle w:val="TextBody"/>
        <w:spacing w:before="240" w:after="0"/>
        <w:jc w:val="left"/>
        <w:rPr>
          <w:rFonts w:ascii="Times New Roman" w:hAnsi="Times New Roman"/>
          <w:sz w:val="20"/>
        </w:rPr>
      </w:pPr>
      <w:r>
        <w:rPr>
          <w:rFonts w:ascii="Times New Roman" w:hAnsi="Times New Roman"/>
          <w:sz w:val="20"/>
        </w:rPr>
        <w:t xml:space="preserve">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 to the applicable record date ADS holders. In the case of ADSs held in brokerage and custodian accounts (via DTC), the depositary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 </w:t>
      </w:r>
    </w:p>
    <w:p>
      <w:pPr>
        <w:pStyle w:val="TextBody"/>
        <w:spacing w:before="360" w:after="0"/>
        <w:jc w:val="left"/>
        <w:rPr>
          <w:rFonts w:ascii="Times New Roman" w:hAnsi="Times New Roman"/>
          <w:b/>
          <w:sz w:val="20"/>
        </w:rPr>
      </w:pPr>
      <w:r>
        <w:rPr>
          <w:rFonts w:ascii="Times New Roman" w:hAnsi="Times New Roman"/>
          <w:b/>
          <w:sz w:val="20"/>
        </w:rPr>
        <w:t xml:space="preserve">Fees and Other Payments Made by the Depositary to Us </w:t>
      </w:r>
    </w:p>
    <w:p>
      <w:pPr>
        <w:pStyle w:val="TextBody"/>
        <w:spacing w:before="120" w:after="0"/>
        <w:jc w:val="left"/>
        <w:rPr>
          <w:rFonts w:ascii="Times New Roman" w:hAnsi="Times New Roman"/>
          <w:sz w:val="20"/>
        </w:rPr>
      </w:pPr>
      <w:r>
        <w:rPr>
          <w:rFonts w:ascii="Times New Roman" w:hAnsi="Times New Roman"/>
          <w:sz w:val="20"/>
        </w:rPr>
        <w:t xml:space="preserve">In 2022, we did not receive any fees or other payments from the depositary.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5" w:name="rom396630_62"/>
      <w:bookmarkEnd w:id="65"/>
      <w:r>
        <w:rPr>
          <w:rFonts w:ascii="Times New Roman" w:hAnsi="Times New Roman"/>
          <w:b/>
          <w:sz w:val="20"/>
        </w:rPr>
        <w:t xml:space="preserve">PART II </w:t>
      </w:r>
    </w:p>
    <w:p>
      <w:pPr>
        <w:pStyle w:val="TextBody"/>
        <w:spacing w:before="0" w:after="0"/>
        <w:jc w:val="left"/>
        <w:rPr/>
      </w:pPr>
      <w:r>
        <w:rPr/>
        <w:t> </w:t>
      </w:r>
    </w:p>
    <w:tbl>
      <w:tblPr>
        <w:tblW w:w="6700" w:type="dxa"/>
        <w:jc w:val="left"/>
        <w:tblInd w:w="0" w:type="dxa"/>
        <w:tblCellMar>
          <w:top w:w="0" w:type="dxa"/>
          <w:left w:w="0" w:type="dxa"/>
          <w:bottom w:w="0" w:type="dxa"/>
          <w:right w:w="0" w:type="dxa"/>
        </w:tblCellMar>
      </w:tblPr>
      <w:tblGrid>
        <w:gridCol w:w="1040"/>
        <w:gridCol w:w="5660"/>
      </w:tblGrid>
      <w:tr>
        <w:trPr/>
        <w:tc>
          <w:tcPr>
            <w:tcW w:w="1040" w:type="dxa"/>
            <w:tcBorders/>
            <w:shd w:fill="auto" w:val="clear"/>
            <w:vAlign w:val="center"/>
          </w:tcPr>
          <w:p>
            <w:pPr>
              <w:pStyle w:val="TableContents"/>
              <w:spacing w:before="0" w:after="283"/>
              <w:jc w:val="left"/>
              <w:rPr>
                <w:b/>
              </w:rPr>
            </w:pPr>
            <w:bookmarkStart w:id="66" w:name="rom396630_63"/>
            <w:bookmarkEnd w:id="66"/>
            <w:r>
              <w:rPr>
                <w:b/>
              </w:rPr>
              <w:t>ITEM 13.</w:t>
            </w:r>
          </w:p>
        </w:tc>
        <w:tc>
          <w:tcPr>
            <w:tcW w:w="56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DEFAULTS, DIVIDEND ARREARAGES AND DELINQUENCIES </w:t>
            </w:r>
          </w:p>
        </w:tc>
      </w:tr>
    </w:tbl>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10045" w:type="dxa"/>
        <w:jc w:val="left"/>
        <w:tblInd w:w="0" w:type="dxa"/>
        <w:tblCellMar>
          <w:top w:w="0" w:type="dxa"/>
          <w:left w:w="0" w:type="dxa"/>
          <w:bottom w:w="0" w:type="dxa"/>
          <w:right w:w="0" w:type="dxa"/>
        </w:tblCellMar>
      </w:tblPr>
      <w:tblGrid>
        <w:gridCol w:w="1040"/>
        <w:gridCol w:w="9005"/>
      </w:tblGrid>
      <w:tr>
        <w:trPr/>
        <w:tc>
          <w:tcPr>
            <w:tcW w:w="1040" w:type="dxa"/>
            <w:tcBorders/>
            <w:shd w:fill="auto" w:val="clear"/>
            <w:vAlign w:val="center"/>
          </w:tcPr>
          <w:p>
            <w:pPr>
              <w:pStyle w:val="TableContents"/>
              <w:spacing w:before="0" w:after="283"/>
              <w:jc w:val="left"/>
              <w:rPr>
                <w:b/>
              </w:rPr>
            </w:pPr>
            <w:bookmarkStart w:id="67" w:name="rom396630_64"/>
            <w:bookmarkEnd w:id="67"/>
            <w:r>
              <w:rPr>
                <w:b/>
              </w:rPr>
              <w:t>ITEM 14.</w:t>
            </w:r>
          </w:p>
        </w:tc>
        <w:tc>
          <w:tcPr>
            <w:tcW w:w="9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MATERIAL MODIFICATIONS TO THE RIGHTS OF SECURITY HOLDERS AND USE OF PROCEEDS </w:t>
            </w:r>
          </w:p>
        </w:tc>
      </w:tr>
    </w:tbl>
    <w:p>
      <w:pPr>
        <w:pStyle w:val="TextBody"/>
        <w:spacing w:before="120" w:after="0"/>
        <w:jc w:val="left"/>
        <w:rPr>
          <w:rFonts w:ascii="Times New Roman" w:hAnsi="Times New Roman"/>
          <w:sz w:val="20"/>
        </w:rPr>
      </w:pPr>
      <w:r>
        <w:rPr>
          <w:rFonts w:ascii="Times New Roman" w:hAnsi="Times New Roman"/>
          <w:sz w:val="20"/>
        </w:rPr>
        <w:t xml:space="preserve">None. </w:t>
      </w:r>
    </w:p>
    <w:p>
      <w:pPr>
        <w:pStyle w:val="TextBody"/>
        <w:spacing w:before="0" w:after="0"/>
        <w:jc w:val="left"/>
        <w:rPr/>
      </w:pPr>
      <w:r>
        <w:rPr/>
        <w:t> </w:t>
      </w:r>
    </w:p>
    <w:tbl>
      <w:tblPr>
        <w:tblW w:w="4015" w:type="dxa"/>
        <w:jc w:val="left"/>
        <w:tblInd w:w="0" w:type="dxa"/>
        <w:tblCellMar>
          <w:top w:w="0" w:type="dxa"/>
          <w:left w:w="0" w:type="dxa"/>
          <w:bottom w:w="0" w:type="dxa"/>
          <w:right w:w="0" w:type="dxa"/>
        </w:tblCellMar>
      </w:tblPr>
      <w:tblGrid>
        <w:gridCol w:w="1040"/>
        <w:gridCol w:w="2975"/>
      </w:tblGrid>
      <w:tr>
        <w:trPr/>
        <w:tc>
          <w:tcPr>
            <w:tcW w:w="1040" w:type="dxa"/>
            <w:tcBorders/>
            <w:shd w:fill="auto" w:val="clear"/>
            <w:vAlign w:val="center"/>
          </w:tcPr>
          <w:p>
            <w:pPr>
              <w:pStyle w:val="TableContents"/>
              <w:spacing w:before="0" w:after="283"/>
              <w:jc w:val="left"/>
              <w:rPr>
                <w:b/>
              </w:rPr>
            </w:pPr>
            <w:bookmarkStart w:id="68" w:name="rom396630_65"/>
            <w:bookmarkEnd w:id="68"/>
            <w:r>
              <w:rPr>
                <w:b/>
              </w:rPr>
              <w:t>ITEM 15.</w:t>
            </w:r>
          </w:p>
        </w:tc>
        <w:tc>
          <w:tcPr>
            <w:tcW w:w="29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spacing w:before="120" w:after="0"/>
        <w:jc w:val="left"/>
        <w:rPr>
          <w:rFonts w:ascii="Times New Roman" w:hAnsi="Times New Roman"/>
          <w:b/>
          <w:sz w:val="20"/>
        </w:rPr>
      </w:pPr>
      <w:r>
        <w:rPr>
          <w:rFonts w:ascii="Times New Roman" w:hAnsi="Times New Roman"/>
          <w:b/>
          <w:sz w:val="20"/>
        </w:rPr>
        <w:t xml:space="preserve">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As of the end of the period covered by this annual report, our management, with the participation of our chief executive officer and our chief financial officer, has performed an evaluation of the effectiveness of our disclosure controls and procedures within the meaning 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 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 </w:t>
      </w:r>
    </w:p>
    <w:p>
      <w:pPr>
        <w:pStyle w:val="TextBody"/>
        <w:spacing w:before="36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Our Company’s management is responsible for establishing and maintaining adequate internal control over financial reporting, as defined in Rules 13a-15(f) and 15d-15(f) of the Exchange Act. </w:t>
      </w:r>
    </w:p>
    <w:p>
      <w:pPr>
        <w:pStyle w:val="TextBody"/>
        <w:spacing w:before="240" w:after="0"/>
        <w:jc w:val="left"/>
        <w:rPr>
          <w:rFonts w:ascii="Times New Roman" w:hAnsi="Times New Roman"/>
          <w:sz w:val="20"/>
        </w:rPr>
      </w:pPr>
      <w:r>
        <w:rPr>
          <w:rFonts w:ascii="Times New Roman" w:hAnsi="Times New Roman"/>
          <w:sz w:val="20"/>
        </w:rPr>
        <w:t xml:space="preserve">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74"/>
        <w:gridCol w:w="9856"/>
      </w:tblGrid>
      <w:tr>
        <w:trPr/>
        <w:tc>
          <w:tcPr>
            <w:tcW w:w="75"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jc w:val="left"/>
              <w:rPr/>
            </w:pPr>
            <w:r>
              <w:rPr/>
              <w:t>(1)</w:t>
            </w:r>
          </w:p>
        </w:tc>
        <w:tc>
          <w:tcPr>
            <w:tcW w:w="98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pertain to the maintenance of records that, in reasonable detail, accurately and fairly reflect the transactions and dispositions of our Company’s assets;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41"/>
        <w:gridCol w:w="9889"/>
      </w:tblGrid>
      <w:tr>
        <w:trPr/>
        <w:tc>
          <w:tcPr>
            <w:tcW w:w="75" w:type="dxa"/>
            <w:tcBorders/>
            <w:shd w:fill="auto" w:val="clear"/>
            <w:vAlign w:val="center"/>
          </w:tcPr>
          <w:p>
            <w:pPr>
              <w:pStyle w:val="TableContents"/>
              <w:spacing w:before="0" w:after="283"/>
              <w:rPr/>
            </w:pPr>
            <w:r>
              <w:rPr/>
              <w:t> </w:t>
            </w:r>
          </w:p>
        </w:tc>
        <w:tc>
          <w:tcPr>
            <w:tcW w:w="241" w:type="dxa"/>
            <w:tcBorders/>
            <w:shd w:fill="auto" w:val="clear"/>
            <w:vAlign w:val="center"/>
          </w:tcPr>
          <w:p>
            <w:pPr>
              <w:pStyle w:val="TableContents"/>
              <w:spacing w:before="0" w:after="283"/>
              <w:jc w:val="left"/>
              <w:rPr/>
            </w:pPr>
            <w:r>
              <w:rPr/>
              <w:t>(2)</w:t>
            </w:r>
          </w:p>
        </w:tc>
        <w:tc>
          <w:tcPr>
            <w:tcW w:w="988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257"/>
        <w:gridCol w:w="9873"/>
      </w:tblGrid>
      <w:tr>
        <w:trPr/>
        <w:tc>
          <w:tcPr>
            <w:tcW w:w="75" w:type="dxa"/>
            <w:tcBorders/>
            <w:shd w:fill="auto" w:val="clear"/>
            <w:vAlign w:val="center"/>
          </w:tcPr>
          <w:p>
            <w:pPr>
              <w:pStyle w:val="TableContents"/>
              <w:spacing w:before="0" w:after="283"/>
              <w:rPr/>
            </w:pPr>
            <w:r>
              <w:rPr/>
              <w:t> </w:t>
            </w:r>
          </w:p>
        </w:tc>
        <w:tc>
          <w:tcPr>
            <w:tcW w:w="257" w:type="dxa"/>
            <w:tcBorders/>
            <w:shd w:fill="auto" w:val="clear"/>
            <w:vAlign w:val="center"/>
          </w:tcPr>
          <w:p>
            <w:pPr>
              <w:pStyle w:val="TableContents"/>
              <w:spacing w:before="0" w:after="283"/>
              <w:jc w:val="left"/>
              <w:rPr/>
            </w:pPr>
            <w:r>
              <w:rPr/>
              <w:t>(3)</w:t>
            </w:r>
          </w:p>
        </w:tc>
        <w:tc>
          <w:tcPr>
            <w:tcW w:w="987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provide reasonable assurance regarding prevention or timely detection of unauthorized acquisition, use or disposition of our Company’s assets that could have a material effect on the financial statements. </w:t>
            </w:r>
          </w:p>
        </w:tc>
      </w:tr>
    </w:tbl>
    <w:p>
      <w:pPr>
        <w:pStyle w:val="TextBody"/>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Our Company’s management assessed the effectiveness of our Company’s internal control over financial reporting as of December 31, 2022. In making this assessment, our Company’s management used the framework set forth by the Committee of Sponsoring Organizations of the Treadway Commission in </w:t>
      </w:r>
      <w:r>
        <w:rPr>
          <w:rFonts w:ascii="Times New Roman" w:hAnsi="Times New Roman"/>
          <w:i/>
          <w:sz w:val="20"/>
        </w:rPr>
        <w:t>Internal Control — Integrated Framework (2013)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Based on this assessment, management concluded that, as of December 31, 2022, our Company’s internal control over financial reporting is effective based on the framework set forth by the Committee of Sponsoring Organizations of the Treadway Commission in </w:t>
      </w:r>
      <w:r>
        <w:rPr>
          <w:rFonts w:ascii="Times New Roman" w:hAnsi="Times New Roman"/>
          <w:i/>
          <w:sz w:val="20"/>
        </w:rPr>
        <w:t>Internal Control — Integrated Framework (2013)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Ernst &amp; Young LLP, our independent registered public accounting firm that issues the audit report included elsewhere in this annual report on Form 20-F, has issued an attestation report on management’s assessment of the issuer’s internal control over financial reporting. </w:t>
      </w:r>
    </w:p>
    <w:p>
      <w:pPr>
        <w:pStyle w:val="TextBody"/>
        <w:spacing w:before="360" w:after="0"/>
        <w:jc w:val="left"/>
        <w:rPr>
          <w:rFonts w:ascii="Times New Roman" w:hAnsi="Times New Roman"/>
          <w:b/>
          <w:sz w:val="20"/>
        </w:rPr>
      </w:pPr>
      <w:r>
        <w:rPr>
          <w:rFonts w:ascii="Times New Roman" w:hAnsi="Times New Roman"/>
          <w:b/>
          <w:sz w:val="20"/>
        </w:rPr>
        <w:t xml:space="preserve">Attestation Report of the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The effectiveness of our Company’s internal control over financial reporting as of December 31, 2022, has been audited by Ernst &amp; Young LLP, located in Singapore, an independent registered public accounting firm, as stated in their report which appears herein. </w:t>
      </w:r>
    </w:p>
    <w:p>
      <w:pPr>
        <w:pStyle w:val="TextBody"/>
        <w:spacing w:before="360" w:after="0"/>
        <w:jc w:val="left"/>
        <w:rPr>
          <w:rFonts w:ascii="Times New Roman" w:hAnsi="Times New Roman"/>
          <w:b/>
          <w:sz w:val="20"/>
        </w:rPr>
      </w:pPr>
      <w:r>
        <w:rPr>
          <w:rFonts w:ascii="Times New Roman" w:hAnsi="Times New Roman"/>
          <w:b/>
          <w:sz w:val="20"/>
        </w:rPr>
        <w:t xml:space="preserve">Changes in Internal Controls Over Financial Reporting </w:t>
      </w:r>
    </w:p>
    <w:p>
      <w:pPr>
        <w:pStyle w:val="TextBody"/>
        <w:spacing w:before="120" w:after="0"/>
        <w:jc w:val="left"/>
        <w:rPr>
          <w:rFonts w:ascii="Times New Roman" w:hAnsi="Times New Roman"/>
          <w:sz w:val="20"/>
        </w:rPr>
      </w:pPr>
      <w:r>
        <w:rPr>
          <w:rFonts w:ascii="Times New Roman" w:hAnsi="Times New Roman"/>
          <w:sz w:val="20"/>
        </w:rPr>
        <w:t xml:space="preserve">There were no changes in our Company’s internal control over financial reporting (as such term is defined in Rules 13a-15(f) and 15d-15(f) under the Exchange Act) during the year ended December 31, 2022 that have materially affected, or are reasonably likely to materially affect, our Company’s internal control over financial reporting. </w:t>
      </w:r>
    </w:p>
    <w:p>
      <w:pPr>
        <w:pStyle w:val="TextBody"/>
        <w:spacing w:before="0" w:after="0"/>
        <w:jc w:val="left"/>
        <w:rPr/>
      </w:pPr>
      <w:r>
        <w:rPr/>
        <w:t> </w:t>
      </w:r>
    </w:p>
    <w:tbl>
      <w:tblPr>
        <w:tblW w:w="2020" w:type="dxa"/>
        <w:jc w:val="left"/>
        <w:tblInd w:w="0" w:type="dxa"/>
        <w:tblCellMar>
          <w:top w:w="0" w:type="dxa"/>
          <w:left w:w="0" w:type="dxa"/>
          <w:bottom w:w="0" w:type="dxa"/>
          <w:right w:w="0" w:type="dxa"/>
        </w:tblCellMar>
      </w:tblPr>
      <w:tblGrid>
        <w:gridCol w:w="1040"/>
        <w:gridCol w:w="980"/>
      </w:tblGrid>
      <w:tr>
        <w:trPr/>
        <w:tc>
          <w:tcPr>
            <w:tcW w:w="1040" w:type="dxa"/>
            <w:tcBorders/>
            <w:shd w:fill="auto" w:val="clear"/>
            <w:vAlign w:val="center"/>
          </w:tcPr>
          <w:p>
            <w:pPr>
              <w:pStyle w:val="TableContents"/>
              <w:spacing w:before="0" w:after="283"/>
              <w:jc w:val="left"/>
              <w:rPr>
                <w:b/>
              </w:rPr>
            </w:pPr>
            <w:bookmarkStart w:id="69" w:name="rom396630_66"/>
            <w:bookmarkEnd w:id="69"/>
            <w:r>
              <w:rPr>
                <w:b/>
              </w:rPr>
              <w:t>ITEM 16.</w:t>
            </w:r>
          </w:p>
        </w:tc>
        <w:tc>
          <w:tcPr>
            <w:tcW w:w="98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spacing w:before="0" w:after="0"/>
        <w:jc w:val="left"/>
        <w:rPr/>
      </w:pPr>
      <w:r>
        <w:rPr/>
        <w:t> </w:t>
      </w:r>
    </w:p>
    <w:tbl>
      <w:tblPr>
        <w:tblW w:w="5185" w:type="dxa"/>
        <w:jc w:val="left"/>
        <w:tblInd w:w="0" w:type="dxa"/>
        <w:tblCellMar>
          <w:top w:w="0" w:type="dxa"/>
          <w:left w:w="0" w:type="dxa"/>
          <w:bottom w:w="0" w:type="dxa"/>
          <w:right w:w="0" w:type="dxa"/>
        </w:tblCellMar>
      </w:tblPr>
      <w:tblGrid>
        <w:gridCol w:w="1220"/>
        <w:gridCol w:w="3965"/>
      </w:tblGrid>
      <w:tr>
        <w:trPr/>
        <w:tc>
          <w:tcPr>
            <w:tcW w:w="1220" w:type="dxa"/>
            <w:tcBorders/>
            <w:shd w:fill="auto" w:val="clear"/>
            <w:vAlign w:val="center"/>
          </w:tcPr>
          <w:p>
            <w:pPr>
              <w:pStyle w:val="TableContents"/>
              <w:spacing w:before="0" w:after="283"/>
              <w:jc w:val="left"/>
              <w:rPr>
                <w:b/>
              </w:rPr>
            </w:pPr>
            <w:bookmarkStart w:id="70" w:name="rom396630_67"/>
            <w:bookmarkEnd w:id="70"/>
            <w:r>
              <w:rPr>
                <w:b/>
              </w:rPr>
              <w:t>ITEM 16A.</w:t>
            </w:r>
          </w:p>
        </w:tc>
        <w:tc>
          <w:tcPr>
            <w:tcW w:w="39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AUDIT COMMITTEE FINANCIAL EXPERT </w:t>
            </w:r>
          </w:p>
        </w:tc>
      </w:tr>
    </w:tbl>
    <w:p>
      <w:pPr>
        <w:pStyle w:val="TextBody"/>
        <w:spacing w:before="120" w:after="0"/>
        <w:jc w:val="left"/>
        <w:rPr>
          <w:rFonts w:ascii="Times New Roman" w:hAnsi="Times New Roman"/>
          <w:sz w:val="20"/>
        </w:rPr>
      </w:pPr>
      <w:r>
        <w:rPr>
          <w:rFonts w:ascii="Times New Roman" w:hAnsi="Times New Roman"/>
          <w:sz w:val="20"/>
        </w:rPr>
        <w:t xml:space="preserve">Our board has determined that Mr. John William Crawford qualifies as “audit committee financial expert” as defined in Item 16A of Form 20-F. Each of the members of our audit and risk committee satisfies the “independence” requirements of the Nasdaq corporate governance rules and Rule 10A-3 under the Exchange Act. See “Item 6. Directors, Senior Management and Employees.” </w:t>
      </w:r>
    </w:p>
    <w:p>
      <w:pPr>
        <w:pStyle w:val="TextBody"/>
        <w:spacing w:before="0" w:after="0"/>
        <w:jc w:val="left"/>
        <w:rPr/>
      </w:pPr>
      <w:r>
        <w:rPr/>
        <w:t> </w:t>
      </w:r>
    </w:p>
    <w:tbl>
      <w:tblPr>
        <w:tblW w:w="2935" w:type="dxa"/>
        <w:jc w:val="left"/>
        <w:tblInd w:w="0" w:type="dxa"/>
        <w:tblCellMar>
          <w:top w:w="0" w:type="dxa"/>
          <w:left w:w="0" w:type="dxa"/>
          <w:bottom w:w="0" w:type="dxa"/>
          <w:right w:w="0" w:type="dxa"/>
        </w:tblCellMar>
      </w:tblPr>
      <w:tblGrid>
        <w:gridCol w:w="1205"/>
        <w:gridCol w:w="1730"/>
      </w:tblGrid>
      <w:tr>
        <w:trPr/>
        <w:tc>
          <w:tcPr>
            <w:tcW w:w="1205" w:type="dxa"/>
            <w:tcBorders/>
            <w:shd w:fill="auto" w:val="clear"/>
            <w:vAlign w:val="center"/>
          </w:tcPr>
          <w:p>
            <w:pPr>
              <w:pStyle w:val="TableContents"/>
              <w:spacing w:before="0" w:after="283"/>
              <w:jc w:val="left"/>
              <w:rPr>
                <w:b/>
              </w:rPr>
            </w:pPr>
            <w:bookmarkStart w:id="71" w:name="rom396630_68"/>
            <w:bookmarkEnd w:id="71"/>
            <w:r>
              <w:rPr>
                <w:b/>
              </w:rPr>
              <w:t>ITEM 16B.</w:t>
            </w:r>
          </w:p>
        </w:tc>
        <w:tc>
          <w:tcPr>
            <w:tcW w:w="173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CODE OF ETHICS </w:t>
            </w:r>
          </w:p>
        </w:tc>
      </w:tr>
    </w:tbl>
    <w:p>
      <w:pPr>
        <w:pStyle w:val="TextBody"/>
        <w:spacing w:before="120" w:after="0"/>
        <w:jc w:val="left"/>
        <w:rPr>
          <w:rFonts w:ascii="Times New Roman" w:hAnsi="Times New Roman"/>
          <w:sz w:val="20"/>
        </w:rPr>
      </w:pPr>
      <w:r>
        <w:rPr>
          <w:rFonts w:ascii="Times New Roman" w:hAnsi="Times New Roman"/>
          <w:sz w:val="20"/>
        </w:rPr>
        <w:t xml:space="preserve">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The code of business conduct and ethics was last amended on November 24, 2021 to include a commitment statement on human rights. We have posted our current code of business conduct and ethics on our website at www.melco-resorts.com. We intend to disclose future amendments to certain provisions of the code of business conduct and ethics, and waivers thereof granted to executive officers and directors, on the website within four business days following the date of the amendment or waiver. We hereby undertake to provide to any person without charge, a copy of our code of business conduct and ethics within ten working days after we receive such person’s written request.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rPr/>
      </w:pPr>
      <w:r>
        <w:rPr/>
      </w:r>
    </w:p>
    <w:p>
      <w:pPr>
        <w:pStyle w:val="Heading5"/>
        <w:rPr/>
      </w:pPr>
      <w:hyperlink w:anchor="toc">
        <w:r>
          <w:rPr>
            <w:rStyle w:val="InternetLink"/>
          </w:rPr>
          <w:t>Table of Contents</w:t>
        </w:r>
      </w:hyperlink>
    </w:p>
    <w:tbl>
      <w:tblPr>
        <w:tblW w:w="5770" w:type="dxa"/>
        <w:jc w:val="left"/>
        <w:tblInd w:w="0" w:type="dxa"/>
        <w:tblCellMar>
          <w:top w:w="0" w:type="dxa"/>
          <w:left w:w="0" w:type="dxa"/>
          <w:bottom w:w="0" w:type="dxa"/>
          <w:right w:w="0" w:type="dxa"/>
        </w:tblCellMar>
      </w:tblPr>
      <w:tblGrid>
        <w:gridCol w:w="1220"/>
        <w:gridCol w:w="4550"/>
      </w:tblGrid>
      <w:tr>
        <w:trPr/>
        <w:tc>
          <w:tcPr>
            <w:tcW w:w="1220" w:type="dxa"/>
            <w:tcBorders/>
            <w:shd w:fill="auto" w:val="clear"/>
            <w:vAlign w:val="center"/>
          </w:tcPr>
          <w:p>
            <w:pPr>
              <w:pStyle w:val="TableContents"/>
              <w:spacing w:before="0" w:after="283"/>
              <w:jc w:val="left"/>
              <w:rPr>
                <w:b/>
              </w:rPr>
            </w:pPr>
            <w:bookmarkStart w:id="72" w:name="rom396630_69"/>
            <w:bookmarkEnd w:id="72"/>
            <w:r>
              <w:rPr>
                <w:b/>
              </w:rPr>
              <w:t>ITEM 16C.</w:t>
            </w:r>
          </w:p>
        </w:tc>
        <w:tc>
          <w:tcPr>
            <w:tcW w:w="455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PRINCIPAL ACCOUNTANT FEES AND SERVICES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 sets forth the aggregate fees by categories specified below in connection with certain professional services rendered by our principal external auditors, for the years indicated. We did not pay any other fees to our auditor during the years indicated below. </w:t>
      </w:r>
    </w:p>
    <w:p>
      <w:pPr>
        <w:pStyle w:val="TextBody"/>
        <w:spacing w:before="0" w:after="0"/>
        <w:jc w:val="left"/>
        <w:rPr/>
      </w:pPr>
      <w:r>
        <w:rPr/>
        <w:t> </w:t>
      </w:r>
    </w:p>
    <w:tbl>
      <w:tblPr>
        <w:tblW w:w="4613" w:type="dxa"/>
        <w:jc w:val="left"/>
        <w:tblInd w:w="0" w:type="dxa"/>
        <w:tblCellMar>
          <w:top w:w="0" w:type="dxa"/>
          <w:left w:w="0" w:type="dxa"/>
          <w:bottom w:w="0" w:type="dxa"/>
          <w:right w:w="0" w:type="dxa"/>
        </w:tblCellMar>
      </w:tblPr>
      <w:tblGrid>
        <w:gridCol w:w="1700"/>
        <w:gridCol w:w="120"/>
        <w:gridCol w:w="240"/>
        <w:gridCol w:w="963"/>
        <w:gridCol w:w="103"/>
        <w:gridCol w:w="206"/>
        <w:gridCol w:w="240"/>
        <w:gridCol w:w="966"/>
        <w:gridCol w:w="75"/>
      </w:tblGrid>
      <w:tr>
        <w:trPr/>
        <w:tc>
          <w:tcPr>
            <w:tcW w:w="17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8"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Year Ended December 31,</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03"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2022</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1206"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8" w:type="dxa"/>
            <w:gridSpan w:val="6"/>
            <w:tcBorders/>
            <w:shd w:fill="auto" w:val="clear"/>
            <w:vAlign w:val="center"/>
          </w:tcPr>
          <w:p>
            <w:pPr>
              <w:pStyle w:val="TableContents"/>
              <w:spacing w:before="0" w:after="283"/>
              <w:jc w:val="center"/>
              <w:rPr>
                <w:b/>
              </w:rPr>
            </w:pPr>
            <w:r>
              <w:rPr>
                <w:b/>
              </w:rPr>
              <w:t>(In thousands of US$)</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w:t>
            </w:r>
          </w:p>
        </w:tc>
        <w:tc>
          <w:tcPr>
            <w:tcW w:w="963" w:type="dxa"/>
            <w:tcBorders/>
            <w:shd w:fill="CCEEFF" w:val="clear"/>
            <w:vAlign w:val="center"/>
          </w:tcPr>
          <w:p>
            <w:pPr>
              <w:pStyle w:val="TableContents"/>
              <w:spacing w:before="0" w:after="283"/>
              <w:jc w:val="right"/>
              <w:rPr/>
            </w:pPr>
            <w:r>
              <w:rPr/>
              <w:t>3,078</w:t>
            </w:r>
          </w:p>
        </w:tc>
        <w:tc>
          <w:tcPr>
            <w:tcW w:w="103"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w:t>
            </w:r>
          </w:p>
        </w:tc>
        <w:tc>
          <w:tcPr>
            <w:tcW w:w="966" w:type="dxa"/>
            <w:tcBorders/>
            <w:shd w:fill="CCEEFF" w:val="clear"/>
            <w:vAlign w:val="center"/>
          </w:tcPr>
          <w:p>
            <w:pPr>
              <w:pStyle w:val="TableContents"/>
              <w:spacing w:before="0" w:after="283"/>
              <w:jc w:val="right"/>
              <w:rPr/>
            </w:pPr>
            <w:r>
              <w:rPr/>
              <w:t>1,829</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Audit-related fees(2)</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341</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6" w:type="dxa"/>
            <w:tcBorders/>
            <w:shd w:fill="auto" w:val="clear"/>
            <w:vAlign w:val="center"/>
          </w:tcPr>
          <w:p>
            <w:pPr>
              <w:pStyle w:val="TableContents"/>
              <w:spacing w:before="0" w:after="283"/>
              <w:jc w:val="right"/>
              <w:rPr/>
            </w:pPr>
            <w:r>
              <w:rPr/>
              <w:t>309</w:t>
            </w:r>
          </w:p>
        </w:tc>
        <w:tc>
          <w:tcPr>
            <w:tcW w:w="75" w:type="dxa"/>
            <w:tcBorders/>
            <w:shd w:fill="auto" w:val="clear"/>
            <w:vAlign w:val="center"/>
          </w:tcPr>
          <w:p>
            <w:pPr>
              <w:pStyle w:val="TableContents"/>
              <w:spacing w:before="0" w:after="283"/>
              <w:rPr/>
            </w:pPr>
            <w:r>
              <w:rPr/>
              <w:t> </w:t>
            </w:r>
          </w:p>
        </w:tc>
      </w:tr>
      <w:tr>
        <w:trPr/>
        <w:tc>
          <w:tcPr>
            <w:tcW w:w="17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963" w:type="dxa"/>
            <w:tcBorders/>
            <w:shd w:fill="CCEEFF" w:val="clear"/>
            <w:vAlign w:val="center"/>
          </w:tcPr>
          <w:p>
            <w:pPr>
              <w:pStyle w:val="TableContents"/>
              <w:spacing w:before="0" w:after="283"/>
              <w:jc w:val="right"/>
              <w:rPr/>
            </w:pPr>
            <w:r>
              <w:rPr/>
              <w:t>150</w:t>
            </w:r>
          </w:p>
        </w:tc>
        <w:tc>
          <w:tcPr>
            <w:tcW w:w="103" w:type="dxa"/>
            <w:tcBorders/>
            <w:shd w:fill="CCEEFF" w:val="clear"/>
            <w:vAlign w:val="center"/>
          </w:tcPr>
          <w:p>
            <w:pPr>
              <w:pStyle w:val="TableContents"/>
              <w:spacing w:before="0" w:after="283"/>
              <w:rPr/>
            </w:pPr>
            <w:r>
              <w:rPr/>
              <w:t> </w:t>
            </w:r>
          </w:p>
        </w:tc>
        <w:tc>
          <w:tcPr>
            <w:tcW w:w="206"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966" w:type="dxa"/>
            <w:tcBorders/>
            <w:shd w:fill="CCEEFF" w:val="clear"/>
            <w:vAlign w:val="center"/>
          </w:tcPr>
          <w:p>
            <w:pPr>
              <w:pStyle w:val="TableContents"/>
              <w:spacing w:before="0" w:after="283"/>
              <w:jc w:val="right"/>
              <w:rPr/>
            </w:pPr>
            <w:r>
              <w:rPr/>
              <w:t>197</w:t>
            </w:r>
          </w:p>
        </w:tc>
        <w:tc>
          <w:tcPr>
            <w:tcW w:w="75" w:type="dxa"/>
            <w:tcBorders/>
            <w:shd w:fill="CCEEFF" w:val="clear"/>
            <w:vAlign w:val="center"/>
          </w:tcPr>
          <w:p>
            <w:pPr>
              <w:pStyle w:val="TableContents"/>
              <w:spacing w:before="0" w:after="283"/>
              <w:rPr/>
            </w:pPr>
            <w:r>
              <w:rPr/>
              <w:t> </w:t>
            </w:r>
          </w:p>
        </w:tc>
      </w:tr>
      <w:tr>
        <w:trPr/>
        <w:tc>
          <w:tcPr>
            <w:tcW w:w="17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fees(4)</w:t>
            </w:r>
          </w:p>
        </w:tc>
        <w:tc>
          <w:tcPr>
            <w:tcW w:w="12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3" w:type="dxa"/>
            <w:tcBorders/>
            <w:shd w:fill="auto" w:val="clear"/>
            <w:vAlign w:val="center"/>
          </w:tcPr>
          <w:p>
            <w:pPr>
              <w:pStyle w:val="TableContents"/>
              <w:spacing w:before="0" w:after="283"/>
              <w:jc w:val="right"/>
              <w:rPr/>
            </w:pPr>
            <w:r>
              <w:rPr/>
              <w:t>80</w:t>
            </w:r>
          </w:p>
        </w:tc>
        <w:tc>
          <w:tcPr>
            <w:tcW w:w="103" w:type="dxa"/>
            <w:tcBorders/>
            <w:shd w:fill="auto" w:val="clear"/>
            <w:vAlign w:val="center"/>
          </w:tcPr>
          <w:p>
            <w:pPr>
              <w:pStyle w:val="TableContents"/>
              <w:spacing w:before="0" w:after="283"/>
              <w:rPr/>
            </w:pPr>
            <w:r>
              <w:rPr/>
              <w:t> </w:t>
            </w:r>
          </w:p>
        </w:tc>
        <w:tc>
          <w:tcPr>
            <w:tcW w:w="206"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966" w:type="dxa"/>
            <w:tcBorders/>
            <w:shd w:fill="auto" w:val="clear"/>
            <w:vAlign w:val="center"/>
          </w:tcPr>
          <w:p>
            <w:pPr>
              <w:pStyle w:val="TableContents"/>
              <w:spacing w:before="0" w:after="283"/>
              <w:jc w:val="right"/>
              <w:rPr/>
            </w:pPr>
            <w:r>
              <w:rPr/>
              <w:t>140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8650" w:type="dxa"/>
        <w:jc w:val="left"/>
        <w:tblInd w:w="0" w:type="dxa"/>
        <w:tblCellMar>
          <w:top w:w="0" w:type="dxa"/>
          <w:left w:w="0" w:type="dxa"/>
          <w:bottom w:w="0" w:type="dxa"/>
          <w:right w:w="0" w:type="dxa"/>
        </w:tblCellMar>
      </w:tblPr>
      <w:tblGrid>
        <w:gridCol w:w="305"/>
        <w:gridCol w:w="8345"/>
      </w:tblGrid>
      <w:tr>
        <w:trPr/>
        <w:tc>
          <w:tcPr>
            <w:tcW w:w="305" w:type="dxa"/>
            <w:tcBorders/>
            <w:shd w:fill="auto" w:val="clear"/>
            <w:vAlign w:val="center"/>
          </w:tcPr>
          <w:p>
            <w:pPr>
              <w:pStyle w:val="TableContents"/>
              <w:spacing w:before="0" w:after="283"/>
              <w:jc w:val="left"/>
              <w:rPr/>
            </w:pPr>
            <w:r>
              <w:rPr/>
              <w:t>(1)</w:t>
            </w:r>
          </w:p>
        </w:tc>
        <w:tc>
          <w:tcPr>
            <w:tcW w:w="8345" w:type="dxa"/>
            <w:tcBorders/>
            <w:shd w:fill="auto" w:val="clear"/>
            <w:vAlign w:val="center"/>
          </w:tcPr>
          <w:p>
            <w:pPr>
              <w:pStyle w:val="TableContents"/>
              <w:spacing w:before="0" w:after="0"/>
              <w:jc w:val="left"/>
              <w:rPr/>
            </w:pPr>
            <w:r>
              <w:rPr/>
              <w:t>“</w:t>
            </w:r>
            <w:r>
              <w:rPr>
                <w:rFonts w:ascii="Times New Roman" w:hAnsi="Times New Roman"/>
                <w:sz w:val="20"/>
              </w:rPr>
              <w:t xml:space="preserve">Audit fees” means the aggregate fees in each of the fiscal years indicated for our calendar year audits.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pPr>
            <w:r>
              <w:rPr/>
              <w:t>(2)</w:t>
            </w:r>
          </w:p>
        </w:tc>
        <w:tc>
          <w:tcPr>
            <w:tcW w:w="9928" w:type="dxa"/>
            <w:tcBorders/>
            <w:shd w:fill="auto" w:val="clear"/>
            <w:vAlign w:val="center"/>
          </w:tcPr>
          <w:p>
            <w:pPr>
              <w:pStyle w:val="TableContents"/>
              <w:spacing w:before="0" w:after="0"/>
              <w:jc w:val="left"/>
              <w:rPr/>
            </w:pPr>
            <w:r>
              <w:rPr/>
              <w:t>“</w:t>
            </w:r>
            <w:r>
              <w:rPr>
                <w:rFonts w:ascii="Times New Roman" w:hAnsi="Times New Roman"/>
                <w:sz w:val="20"/>
              </w:rPr>
              <w:t xml:space="preserve">Audit-related fees” primarily include the aggregate fees for professional services provided in connection with the issuances of senior notes by the Company and other assurance services; </w:t>
            </w:r>
          </w:p>
        </w:tc>
      </w:tr>
    </w:tbl>
    <w:p>
      <w:pPr>
        <w:pStyle w:val="TextBody"/>
        <w:spacing w:before="0" w:after="0"/>
        <w:jc w:val="left"/>
        <w:rPr/>
      </w:pPr>
      <w:r>
        <w:rPr/>
        <w:t> </w:t>
      </w:r>
    </w:p>
    <w:tbl>
      <w:tblPr>
        <w:tblW w:w="5170" w:type="dxa"/>
        <w:jc w:val="left"/>
        <w:tblInd w:w="0" w:type="dxa"/>
        <w:tblCellMar>
          <w:top w:w="0" w:type="dxa"/>
          <w:left w:w="0" w:type="dxa"/>
          <w:bottom w:w="0" w:type="dxa"/>
          <w:right w:w="0" w:type="dxa"/>
        </w:tblCellMar>
      </w:tblPr>
      <w:tblGrid>
        <w:gridCol w:w="305"/>
        <w:gridCol w:w="4865"/>
      </w:tblGrid>
      <w:tr>
        <w:trPr/>
        <w:tc>
          <w:tcPr>
            <w:tcW w:w="305" w:type="dxa"/>
            <w:tcBorders/>
            <w:shd w:fill="auto" w:val="clear"/>
            <w:vAlign w:val="center"/>
          </w:tcPr>
          <w:p>
            <w:pPr>
              <w:pStyle w:val="TableContents"/>
              <w:spacing w:before="0" w:after="283"/>
              <w:jc w:val="left"/>
              <w:rPr/>
            </w:pPr>
            <w:r>
              <w:rPr/>
              <w:t>(3)</w:t>
            </w:r>
          </w:p>
        </w:tc>
        <w:tc>
          <w:tcPr>
            <w:tcW w:w="4865" w:type="dxa"/>
            <w:tcBorders/>
            <w:shd w:fill="auto" w:val="clear"/>
            <w:vAlign w:val="center"/>
          </w:tcPr>
          <w:p>
            <w:pPr>
              <w:pStyle w:val="TableContents"/>
              <w:spacing w:before="0" w:after="0"/>
              <w:jc w:val="left"/>
              <w:rPr/>
            </w:pPr>
            <w:r>
              <w:rPr/>
              <w:t>“</w:t>
            </w:r>
            <w:r>
              <w:rPr>
                <w:rFonts w:ascii="Times New Roman" w:hAnsi="Times New Roman"/>
                <w:sz w:val="20"/>
              </w:rPr>
              <w:t xml:space="preserve">Tax fees” include the aggregate fees for tax consultations.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jc w:val="left"/>
              <w:rPr/>
            </w:pPr>
            <w:r>
              <w:rPr/>
              <w:t>(4)</w:t>
            </w:r>
          </w:p>
        </w:tc>
        <w:tc>
          <w:tcPr>
            <w:tcW w:w="9908" w:type="dxa"/>
            <w:tcBorders/>
            <w:shd w:fill="auto" w:val="clear"/>
            <w:vAlign w:val="center"/>
          </w:tcPr>
          <w:p>
            <w:pPr>
              <w:pStyle w:val="TableContents"/>
              <w:spacing w:before="0" w:after="0"/>
              <w:jc w:val="left"/>
              <w:rPr/>
            </w:pPr>
            <w:r>
              <w:rPr/>
              <w:t>“</w:t>
            </w:r>
            <w:r>
              <w:rPr>
                <w:rFonts w:ascii="Times New Roman" w:hAnsi="Times New Roman"/>
                <w:sz w:val="20"/>
              </w:rPr>
              <w:t xml:space="preserve">All other fees” include the aggregate fees for advisory services and an annual charge for an online technical accounting research tool. </w:t>
            </w:r>
          </w:p>
        </w:tc>
      </w:tr>
    </w:tbl>
    <w:p>
      <w:pPr>
        <w:pStyle w:val="TextBody"/>
        <w:spacing w:before="240" w:after="0"/>
        <w:jc w:val="left"/>
        <w:rPr>
          <w:rFonts w:ascii="Times New Roman" w:hAnsi="Times New Roman"/>
          <w:sz w:val="20"/>
        </w:rPr>
      </w:pPr>
      <w:r>
        <w:rPr>
          <w:rFonts w:ascii="Times New Roman" w:hAnsi="Times New Roman"/>
          <w:sz w:val="20"/>
        </w:rPr>
        <w:t>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Times New Roman" w:hAnsi="Times New Roman"/>
          <w:i/>
          <w:sz w:val="20"/>
        </w:rPr>
        <w:t>de minimis</w:t>
      </w:r>
      <w:r>
        <w:rPr>
          <w:rFonts w:ascii="Times New Roman" w:hAnsi="Times New Roman"/>
          <w:sz w:val="20"/>
        </w:rPr>
        <w:t xml:space="preserve"> services which are approved by our audit and risk committee prior to the completion of the audit. </w:t>
      </w:r>
    </w:p>
    <w:p>
      <w:pPr>
        <w:pStyle w:val="TextBody"/>
        <w:spacing w:before="240" w:after="0"/>
        <w:jc w:val="left"/>
        <w:rPr>
          <w:rFonts w:ascii="Times New Roman" w:hAnsi="Times New Roman"/>
          <w:sz w:val="20"/>
        </w:rPr>
      </w:pPr>
      <w:r>
        <w:rPr>
          <w:rFonts w:ascii="Times New Roman" w:hAnsi="Times New Roman"/>
          <w:sz w:val="20"/>
        </w:rPr>
        <w:t xml:space="preserve">For the years ended December 31, 2022 and 2021, none of the total audit-related, tax and all other fees as described above were approved by our audit and risk committee pursuant to paragraph (c)(7)(i)(C) of Rule 2-01 of Regulation S-X, respectively. </w:t>
      </w:r>
    </w:p>
    <w:p>
      <w:pPr>
        <w:pStyle w:val="TextBody"/>
        <w:spacing w:before="0" w:after="0"/>
        <w:jc w:val="left"/>
        <w:rPr/>
      </w:pPr>
      <w:r>
        <w:rPr/>
        <w:t> </w:t>
      </w:r>
    </w:p>
    <w:tbl>
      <w:tblPr>
        <w:tblW w:w="8275" w:type="dxa"/>
        <w:jc w:val="left"/>
        <w:tblInd w:w="0" w:type="dxa"/>
        <w:tblCellMar>
          <w:top w:w="0" w:type="dxa"/>
          <w:left w:w="0" w:type="dxa"/>
          <w:bottom w:w="0" w:type="dxa"/>
          <w:right w:w="0" w:type="dxa"/>
        </w:tblCellMar>
      </w:tblPr>
      <w:tblGrid>
        <w:gridCol w:w="1220"/>
        <w:gridCol w:w="7055"/>
      </w:tblGrid>
      <w:tr>
        <w:trPr/>
        <w:tc>
          <w:tcPr>
            <w:tcW w:w="1220" w:type="dxa"/>
            <w:tcBorders/>
            <w:shd w:fill="auto" w:val="clear"/>
            <w:vAlign w:val="center"/>
          </w:tcPr>
          <w:p>
            <w:pPr>
              <w:pStyle w:val="TableContents"/>
              <w:spacing w:before="0" w:after="283"/>
              <w:jc w:val="left"/>
              <w:rPr>
                <w:b/>
              </w:rPr>
            </w:pPr>
            <w:bookmarkStart w:id="73" w:name="rom396630_70"/>
            <w:bookmarkEnd w:id="73"/>
            <w:r>
              <w:rPr>
                <w:b/>
              </w:rPr>
              <w:t>ITEM 16D.</w:t>
            </w:r>
          </w:p>
        </w:tc>
        <w:tc>
          <w:tcPr>
            <w:tcW w:w="705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EXEMPTIONS FROM THE LISTING STANDARDS FOR AUDIT COMMITTEES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rPr/>
      </w:pPr>
      <w:r>
        <w:rPr/>
      </w:r>
    </w:p>
    <w:p>
      <w:pPr>
        <w:pStyle w:val="Heading5"/>
        <w:rPr/>
      </w:pPr>
      <w:hyperlink w:anchor="toc">
        <w:r>
          <w:rPr>
            <w:rStyle w:val="InternetLink"/>
          </w:rPr>
          <w:t>Table of Contents</w:t>
        </w:r>
      </w:hyperlink>
    </w:p>
    <w:tbl>
      <w:tblPr>
        <w:tblW w:w="9325" w:type="dxa"/>
        <w:jc w:val="left"/>
        <w:tblInd w:w="0" w:type="dxa"/>
        <w:tblCellMar>
          <w:top w:w="0" w:type="dxa"/>
          <w:left w:w="0" w:type="dxa"/>
          <w:bottom w:w="0" w:type="dxa"/>
          <w:right w:w="0" w:type="dxa"/>
        </w:tblCellMar>
      </w:tblPr>
      <w:tblGrid>
        <w:gridCol w:w="1205"/>
        <w:gridCol w:w="8120"/>
      </w:tblGrid>
      <w:tr>
        <w:trPr/>
        <w:tc>
          <w:tcPr>
            <w:tcW w:w="1205" w:type="dxa"/>
            <w:tcBorders/>
            <w:shd w:fill="auto" w:val="clear"/>
            <w:vAlign w:val="center"/>
          </w:tcPr>
          <w:p>
            <w:pPr>
              <w:pStyle w:val="TableContents"/>
              <w:spacing w:before="0" w:after="283"/>
              <w:jc w:val="left"/>
              <w:rPr>
                <w:b/>
              </w:rPr>
            </w:pPr>
            <w:bookmarkStart w:id="74" w:name="rom396630_71"/>
            <w:bookmarkEnd w:id="74"/>
            <w:r>
              <w:rPr>
                <w:b/>
              </w:rPr>
              <w:t>ITEM 16E.</w:t>
            </w:r>
          </w:p>
        </w:tc>
        <w:tc>
          <w:tcPr>
            <w:tcW w:w="812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PURCHASES OF EQUITY SECURITIES BY THE ISSUER AND AFFILIATED PURCHASERS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about our repurchases made in the fiscal year ended December 31, 2022. </w:t>
      </w:r>
    </w:p>
    <w:p>
      <w:pPr>
        <w:pStyle w:val="TextBody"/>
        <w:spacing w:before="0" w:after="0"/>
        <w:jc w:val="left"/>
        <w:rPr/>
      </w:pPr>
      <w:r>
        <w:rPr/>
        <w:t> </w:t>
      </w:r>
    </w:p>
    <w:tbl>
      <w:tblPr>
        <w:tblW w:w="7705" w:type="dxa"/>
        <w:jc w:val="left"/>
        <w:tblInd w:w="0" w:type="dxa"/>
        <w:tblCellMar>
          <w:top w:w="0" w:type="dxa"/>
          <w:left w:w="0" w:type="dxa"/>
          <w:bottom w:w="0" w:type="dxa"/>
          <w:right w:w="0" w:type="dxa"/>
        </w:tblCellMar>
      </w:tblPr>
      <w:tblGrid>
        <w:gridCol w:w="1355"/>
        <w:gridCol w:w="120"/>
        <w:gridCol w:w="60"/>
        <w:gridCol w:w="1220"/>
        <w:gridCol w:w="60"/>
        <w:gridCol w:w="120"/>
        <w:gridCol w:w="168"/>
        <w:gridCol w:w="1232"/>
        <w:gridCol w:w="60"/>
        <w:gridCol w:w="120"/>
        <w:gridCol w:w="70"/>
        <w:gridCol w:w="1300"/>
        <w:gridCol w:w="60"/>
        <w:gridCol w:w="120"/>
        <w:gridCol w:w="73"/>
        <w:gridCol w:w="1492"/>
        <w:gridCol w:w="75"/>
      </w:tblGrid>
      <w:tr>
        <w:trPr/>
        <w:tc>
          <w:tcPr>
            <w:tcW w:w="13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5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Period</w:t>
            </w:r>
          </w:p>
        </w:tc>
        <w:tc>
          <w:tcPr>
            <w:tcW w:w="120" w:type="dxa"/>
            <w:tcBorders/>
            <w:shd w:fill="auto" w:val="clear"/>
            <w:vAlign w:val="center"/>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Total</w:t>
            </w:r>
            <w:r>
              <w:rPr/>
              <w:br/>
            </w:r>
            <w:r>
              <w:rPr>
                <w:b/>
              </w:rPr>
              <w:t>Number of</w:t>
            </w:r>
            <w:r>
              <w:rPr/>
              <w:br/>
            </w:r>
            <w:r>
              <w:rPr>
                <w:b/>
              </w:rPr>
              <w:t>Ordinary</w:t>
            </w:r>
            <w:r>
              <w:rPr/>
              <w:br/>
            </w:r>
            <w:r>
              <w:rPr>
                <w:b/>
              </w:rPr>
              <w:t>Shares</w:t>
            </w:r>
            <w:r>
              <w:rPr/>
              <w:br/>
            </w:r>
            <w:r>
              <w:rPr>
                <w:b/>
              </w:rPr>
              <w:t>Purchased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Average</w:t>
            </w:r>
            <w:r>
              <w:rPr/>
              <w:br/>
            </w:r>
            <w:r>
              <w:rPr>
                <w:b/>
              </w:rPr>
              <w:t>Price Paid</w:t>
            </w:r>
            <w:r>
              <w:rPr/>
              <w:br/>
            </w:r>
            <w:r>
              <w:rPr>
                <w:b/>
              </w:rPr>
              <w:t>Per Ordinary</w:t>
            </w:r>
            <w:r>
              <w:rPr/>
              <w:br/>
            </w:r>
            <w:r>
              <w:rPr>
                <w:b/>
              </w:rPr>
              <w:t>Share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Total</w:t>
            </w:r>
            <w:r>
              <w:rPr/>
              <w:br/>
            </w:r>
            <w:r>
              <w:rPr>
                <w:b/>
              </w:rPr>
              <w:t>Number of</w:t>
            </w:r>
            <w:r>
              <w:rPr/>
              <w:br/>
            </w:r>
            <w:r>
              <w:rPr>
                <w:b/>
              </w:rPr>
              <w:t>Ordinary</w:t>
            </w:r>
            <w:r>
              <w:rPr/>
              <w:br/>
            </w:r>
            <w:r>
              <w:rPr>
                <w:b/>
              </w:rPr>
              <w:t>Shares</w:t>
            </w:r>
            <w:r>
              <w:rPr/>
              <w:br/>
            </w:r>
            <w:r>
              <w:rPr>
                <w:b/>
              </w:rPr>
              <w:t>Purchased as</w:t>
            </w:r>
            <w:r>
              <w:rPr/>
              <w:br/>
            </w:r>
            <w:r>
              <w:rPr>
                <w:b/>
              </w:rPr>
              <w:t>Part of</w:t>
            </w:r>
            <w:r>
              <w:rPr/>
              <w:br/>
            </w:r>
            <w:r>
              <w:rPr>
                <w:b/>
              </w:rPr>
              <w:t>Publicly</w:t>
            </w:r>
            <w:r>
              <w:rPr/>
              <w:br/>
            </w:r>
            <w:r>
              <w:rPr>
                <w:b/>
              </w:rPr>
              <w:t>Announced</w:t>
            </w:r>
            <w:r>
              <w:rPr/>
              <w:br/>
            </w:r>
            <w:r>
              <w:rPr>
                <w:b/>
              </w:rPr>
              <w:t>Program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6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Maximum</w:t>
            </w:r>
            <w:r>
              <w:rPr/>
              <w:br/>
            </w:r>
            <w:r>
              <w:rPr>
                <w:b/>
              </w:rPr>
              <w:t>Dollar Value</w:t>
            </w:r>
            <w:r>
              <w:rPr/>
              <w:br/>
            </w:r>
            <w:r>
              <w:rPr>
                <w:b/>
              </w:rPr>
              <w:t>of Ordinary</w:t>
            </w:r>
            <w:r>
              <w:rPr/>
              <w:br/>
            </w:r>
            <w:r>
              <w:rPr>
                <w:b/>
              </w:rPr>
              <w:t>Shares that</w:t>
            </w:r>
            <w:r>
              <w:rPr/>
              <w:br/>
            </w:r>
            <w:r>
              <w:rPr>
                <w:b/>
              </w:rPr>
              <w:t>May Yet be</w:t>
            </w:r>
            <w:r>
              <w:rPr/>
              <w:br/>
            </w:r>
            <w:r>
              <w:rPr>
                <w:b/>
              </w:rPr>
              <w:t>Purchased</w:t>
            </w:r>
            <w:r>
              <w:rPr/>
              <w:br/>
            </w:r>
            <w:r>
              <w:rPr>
                <w:b/>
              </w:rPr>
              <w:t>Under Publicly</w:t>
            </w:r>
            <w:r>
              <w:rPr/>
              <w:br/>
            </w:r>
            <w:r>
              <w:rPr>
                <w:b/>
              </w:rPr>
              <w:t>Announced</w:t>
            </w:r>
            <w:r>
              <w:rPr/>
              <w:br/>
            </w:r>
            <w:r>
              <w:rPr>
                <w:b/>
              </w:rPr>
              <w:t>Program </w:t>
            </w:r>
          </w:p>
        </w:tc>
        <w:tc>
          <w:tcPr>
            <w:tcW w:w="75" w:type="dxa"/>
            <w:tcBorders/>
            <w:shd w:fill="auto"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0" w:type="dxa"/>
            <w:gridSpan w:val="2"/>
            <w:tcBorders/>
            <w:shd w:fill="auto" w:val="clear"/>
            <w:vAlign w:val="center"/>
          </w:tcPr>
          <w:p>
            <w:pPr>
              <w:pStyle w:val="TableContents"/>
              <w:spacing w:before="0" w:after="283"/>
              <w:jc w:val="center"/>
              <w:rPr>
                <w:b/>
              </w:rPr>
            </w:pPr>
            <w:r>
              <w:rPr>
                <w:b/>
              </w:rPr>
              <w:t>(US$)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65" w:type="dxa"/>
            <w:gridSpan w:val="2"/>
            <w:tcBorders/>
            <w:shd w:fill="auto" w:val="clear"/>
            <w:vAlign w:val="center"/>
          </w:tcPr>
          <w:p>
            <w:pPr>
              <w:pStyle w:val="TableContents"/>
              <w:spacing w:before="0" w:after="283"/>
              <w:jc w:val="center"/>
              <w:rPr>
                <w:b/>
              </w:rPr>
            </w:pPr>
            <w:r>
              <w:rPr>
                <w:b/>
              </w:rPr>
              <w:t>(US$)</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January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300" w:type="dxa"/>
            <w:tcBorders/>
            <w:shd w:fill="CCEEFF" w:val="clear"/>
            <w:vAlign w:val="center"/>
          </w:tcPr>
          <w:p>
            <w:pPr>
              <w:pStyle w:val="TableContents"/>
              <w:spacing w:before="0" w:after="283"/>
              <w:jc w:val="right"/>
              <w:rPr/>
            </w:pPr>
            <w:r>
              <w:rPr/>
              <w:t>16,116,135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448,134,913</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February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16,116,135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448,134,913</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March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11,627,166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2.32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300" w:type="dxa"/>
            <w:tcBorders/>
            <w:shd w:fill="CCEEFF" w:val="clear"/>
            <w:vAlign w:val="center"/>
          </w:tcPr>
          <w:p>
            <w:pPr>
              <w:pStyle w:val="TableContents"/>
              <w:spacing w:before="0" w:after="283"/>
              <w:jc w:val="right"/>
              <w:rPr/>
            </w:pPr>
            <w:r>
              <w:rPr/>
              <w:t>27,743,301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421,136,427</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April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27,743,301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421,136,427</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May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5,110,578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1.49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300" w:type="dxa"/>
            <w:tcBorders/>
            <w:shd w:fill="CCEEFF" w:val="clear"/>
            <w:vAlign w:val="center"/>
          </w:tcPr>
          <w:p>
            <w:pPr>
              <w:pStyle w:val="TableContents"/>
              <w:spacing w:before="0" w:after="283"/>
              <w:jc w:val="right"/>
              <w:rPr/>
            </w:pPr>
            <w:r>
              <w:rPr/>
              <w:t>32,853,879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413,545,265</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June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32,853,879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413,545,265</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July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1,049,484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1.61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300" w:type="dxa"/>
            <w:tcBorders/>
            <w:shd w:fill="CCEEFF" w:val="clear"/>
            <w:vAlign w:val="center"/>
          </w:tcPr>
          <w:p>
            <w:pPr>
              <w:pStyle w:val="TableContents"/>
              <w:spacing w:before="0" w:after="283"/>
              <w:jc w:val="right"/>
              <w:rPr/>
            </w:pPr>
            <w:r>
              <w:rPr/>
              <w:t>33,903,363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411,860,697</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August 2022</w:t>
            </w:r>
            <w:r>
              <w:rPr>
                <w:rFonts w:ascii="Times New Roman" w:hAnsi="Times New Roman"/>
                <w:b/>
                <w:sz w:val="20"/>
              </w:rPr>
              <w:t>(2)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84,995,799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1.80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33,903,363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411,860,697</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September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300" w:type="dxa"/>
            <w:tcBorders/>
            <w:shd w:fill="CCEEFF" w:val="clear"/>
            <w:vAlign w:val="center"/>
          </w:tcPr>
          <w:p>
            <w:pPr>
              <w:pStyle w:val="TableContents"/>
              <w:spacing w:before="0" w:after="283"/>
              <w:jc w:val="right"/>
              <w:rPr/>
            </w:pPr>
            <w:r>
              <w:rPr/>
              <w:t>33,903,363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411,860,697</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October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33,903,363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411,860,697</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November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300" w:type="dxa"/>
            <w:tcBorders/>
            <w:shd w:fill="CCEEFF" w:val="clear"/>
            <w:vAlign w:val="center"/>
          </w:tcPr>
          <w:p>
            <w:pPr>
              <w:pStyle w:val="TableContents"/>
              <w:spacing w:before="0" w:after="283"/>
              <w:jc w:val="right"/>
              <w:rPr/>
            </w:pPr>
            <w:r>
              <w:rPr/>
              <w:t>33,903,363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411,860,697</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December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23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33,903,363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spacing w:before="0" w:after="283"/>
              <w:rPr/>
            </w:pPr>
            <w:r>
              <w:rPr/>
              <w:t> </w:t>
            </w:r>
          </w:p>
        </w:tc>
        <w:tc>
          <w:tcPr>
            <w:tcW w:w="1492" w:type="dxa"/>
            <w:tcBorders/>
            <w:shd w:fill="auto" w:val="clear"/>
            <w:vAlign w:val="center"/>
          </w:tcPr>
          <w:p>
            <w:pPr>
              <w:pStyle w:val="TableContents"/>
              <w:spacing w:before="0" w:after="283"/>
              <w:jc w:val="right"/>
              <w:rPr/>
            </w:pPr>
            <w:r>
              <w:rPr/>
              <w:t>411,860,697</w:t>
            </w:r>
          </w:p>
        </w:tc>
        <w:tc>
          <w:tcPr>
            <w:tcW w:w="75" w:type="dxa"/>
            <w:tcBorders/>
            <w:shd w:fill="auto"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pBdr>
                <w:top w:val="single" w:sz="2" w:space="1" w:color="000000"/>
              </w:pBdr>
              <w:spacing w:before="0" w:after="0"/>
              <w:rPr/>
            </w:pPr>
            <w:r>
              <w:rPr/>
              <w:t> </w:t>
            </w:r>
          </w:p>
        </w:tc>
        <w:tc>
          <w:tcPr>
            <w:tcW w:w="122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pBdr>
                <w:top w:val="single" w:sz="2" w:space="1" w:color="000000"/>
              </w:pBdr>
              <w:spacing w:before="0" w:after="0"/>
              <w:rPr/>
            </w:pPr>
            <w:r>
              <w:rPr/>
              <w:t> </w:t>
            </w:r>
          </w:p>
        </w:tc>
        <w:tc>
          <w:tcPr>
            <w:tcW w:w="123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pBdr>
                <w:top w:val="single" w:sz="2" w:space="1" w:color="000000"/>
              </w:pBdr>
              <w:spacing w:before="0" w:after="0"/>
              <w:rPr/>
            </w:pPr>
            <w:r>
              <w:rPr/>
              <w:t> </w:t>
            </w:r>
          </w:p>
        </w:tc>
        <w:tc>
          <w:tcPr>
            <w:tcW w:w="130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3" w:type="dxa"/>
            <w:tcBorders/>
            <w:shd w:fill="auto" w:val="clear"/>
            <w:vAlign w:val="center"/>
          </w:tcPr>
          <w:p>
            <w:pPr>
              <w:pStyle w:val="TableContents"/>
              <w:pBdr>
                <w:top w:val="single" w:sz="2" w:space="1" w:color="000000"/>
              </w:pBdr>
              <w:spacing w:before="0" w:after="0"/>
              <w:rPr/>
            </w:pPr>
            <w:r>
              <w:rPr/>
              <w:t> </w:t>
            </w:r>
          </w:p>
        </w:tc>
        <w:tc>
          <w:tcPr>
            <w:tcW w:w="1492"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102,783,027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232" w:type="dxa"/>
            <w:tcBorders/>
            <w:shd w:fill="CCEEFF" w:val="clear"/>
            <w:vAlign w:val="center"/>
          </w:tcPr>
          <w:p>
            <w:pPr>
              <w:pStyle w:val="TableContents"/>
              <w:spacing w:before="0" w:after="283"/>
              <w:jc w:val="right"/>
              <w:rPr/>
            </w:pPr>
            <w:r>
              <w:rPr/>
              <w:t>1.84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1300" w:type="dxa"/>
            <w:tcBorders/>
            <w:shd w:fill="CCEEFF" w:val="clear"/>
            <w:vAlign w:val="center"/>
          </w:tcPr>
          <w:p>
            <w:pPr>
              <w:pStyle w:val="TableContents"/>
              <w:spacing w:before="0" w:after="283"/>
              <w:jc w:val="right"/>
              <w:rPr/>
            </w:pPr>
            <w:r>
              <w:rPr/>
              <w:t>33,903,363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rPr/>
            </w:pPr>
            <w:r>
              <w:rPr/>
              <w:t> </w:t>
            </w:r>
          </w:p>
        </w:tc>
        <w:tc>
          <w:tcPr>
            <w:tcW w:w="1492" w:type="dxa"/>
            <w:tcBorders/>
            <w:shd w:fill="CCEEFF" w:val="clear"/>
            <w:vAlign w:val="center"/>
          </w:tcPr>
          <w:p>
            <w:pPr>
              <w:pStyle w:val="TableContents"/>
              <w:spacing w:before="0" w:after="283"/>
              <w:jc w:val="right"/>
              <w:rPr/>
            </w:pPr>
            <w:r>
              <w:rPr/>
              <w:t>411,860,697</w:t>
            </w:r>
          </w:p>
        </w:tc>
        <w:tc>
          <w:tcPr>
            <w:tcW w:w="75" w:type="dxa"/>
            <w:tcBorders/>
            <w:shd w:fill="CCEEFF" w:val="clear"/>
            <w:vAlign w:val="center"/>
          </w:tcPr>
          <w:p>
            <w:pPr>
              <w:pStyle w:val="TableContents"/>
              <w:spacing w:before="0" w:after="283"/>
              <w:rPr/>
            </w:pPr>
            <w:r>
              <w:rPr/>
              <w:t> </w:t>
            </w:r>
          </w:p>
        </w:tc>
      </w:tr>
    </w:tbl>
    <w:p>
      <w:pPr>
        <w:pStyle w:val="TextBody"/>
        <w:spacing w:before="120" w:after="0"/>
        <w:jc w:val="left"/>
        <w:rPr>
          <w:rFonts w:ascii="Times New Roman" w:hAnsi="Times New Roman"/>
          <w:sz w:val="20"/>
        </w:rPr>
      </w:pPr>
      <w:r>
        <w:rPr>
          <w:rFonts w:ascii="Times New Roman" w:hAnsi="Times New Roman"/>
          <w:sz w:val="20"/>
        </w:rPr>
        <w:t xml:space="preserve">Notes: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(1)</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November 2018, we announced that our board of directors approved a US$500 million share repurchase program which is effective over a three-year period commencing on November 8, 2018. In June 2021, we announced that our board of directors approved a new US$500 million share repurchase program which replaced the share repurchase program announced in November 2018 and is effective over a three-year period commencing on June 2, 2021.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283"/>
              <w:jc w:val="left"/>
              <w:rPr/>
            </w:pPr>
            <w:r>
              <w:rPr/>
              <w:t>(2)</w:t>
            </w:r>
          </w:p>
        </w:tc>
        <w:tc>
          <w:tcPr>
            <w:tcW w:w="994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August 2022, we repurchased 9,995,799 ordinary shares and 25,000,000 ADSs at an average price of approximately US$1.80 per ordinary share from Melco Leisure under the share repurchase agreement entered by the Company with Melco International and Melco Leisure in August 2022. </w:t>
            </w:r>
          </w:p>
        </w:tc>
      </w:tr>
    </w:tbl>
    <w:p>
      <w:pPr>
        <w:pStyle w:val="TextBody"/>
        <w:spacing w:before="0" w:after="0"/>
        <w:jc w:val="left"/>
        <w:rPr/>
      </w:pPr>
      <w:r>
        <w:rPr/>
        <w:t> </w:t>
      </w:r>
    </w:p>
    <w:tbl>
      <w:tblPr>
        <w:tblW w:w="6535" w:type="dxa"/>
        <w:jc w:val="left"/>
        <w:tblInd w:w="0" w:type="dxa"/>
        <w:tblCellMar>
          <w:top w:w="0" w:type="dxa"/>
          <w:left w:w="0" w:type="dxa"/>
          <w:bottom w:w="0" w:type="dxa"/>
          <w:right w:w="0" w:type="dxa"/>
        </w:tblCellMar>
      </w:tblPr>
      <w:tblGrid>
        <w:gridCol w:w="1190"/>
        <w:gridCol w:w="5345"/>
      </w:tblGrid>
      <w:tr>
        <w:trPr/>
        <w:tc>
          <w:tcPr>
            <w:tcW w:w="1190" w:type="dxa"/>
            <w:tcBorders/>
            <w:shd w:fill="auto" w:val="clear"/>
            <w:vAlign w:val="center"/>
          </w:tcPr>
          <w:p>
            <w:pPr>
              <w:pStyle w:val="TableContents"/>
              <w:spacing w:before="0" w:after="283"/>
              <w:jc w:val="left"/>
              <w:rPr>
                <w:b/>
              </w:rPr>
            </w:pPr>
            <w:bookmarkStart w:id="75" w:name="rom396630_72"/>
            <w:bookmarkEnd w:id="75"/>
            <w:r>
              <w:rPr>
                <w:b/>
              </w:rPr>
              <w:t>ITEM 16F.</w:t>
            </w:r>
          </w:p>
        </w:tc>
        <w:tc>
          <w:tcPr>
            <w:tcW w:w="534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CHANGE IN REGISTRANT’S CERTIFYING ACCOUNTANT </w:t>
            </w:r>
          </w:p>
        </w:tc>
      </w:tr>
    </w:tbl>
    <w:p>
      <w:pPr>
        <w:pStyle w:val="TextBody"/>
        <w:spacing w:before="120" w:after="0"/>
        <w:jc w:val="left"/>
        <w:rPr>
          <w:rFonts w:ascii="Times New Roman" w:hAnsi="Times New Roman"/>
          <w:sz w:val="20"/>
        </w:rPr>
      </w:pPr>
      <w:r>
        <w:rPr>
          <w:rFonts w:ascii="Times New Roman" w:hAnsi="Times New Roman"/>
          <w:sz w:val="20"/>
        </w:rPr>
        <w:t xml:space="preserve">See our current report on Form 6-K furnished with the SEC on August 18, 2022 regarding change in our certifying accountant from Ernst &amp; Young, located in Hong Kong to Ernst &amp; Young LLP, located in Singapore, which is incorporated herein by reference. </w:t>
      </w:r>
    </w:p>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1220"/>
        <w:gridCol w:w="2735"/>
      </w:tblGrid>
      <w:tr>
        <w:trPr/>
        <w:tc>
          <w:tcPr>
            <w:tcW w:w="1220" w:type="dxa"/>
            <w:tcBorders/>
            <w:shd w:fill="auto" w:val="clear"/>
            <w:vAlign w:val="center"/>
          </w:tcPr>
          <w:p>
            <w:pPr>
              <w:pStyle w:val="TableContents"/>
              <w:spacing w:before="0" w:after="283"/>
              <w:jc w:val="left"/>
              <w:rPr>
                <w:b/>
              </w:rPr>
            </w:pPr>
            <w:bookmarkStart w:id="76" w:name="rom396630_73"/>
            <w:bookmarkEnd w:id="76"/>
            <w:r>
              <w:rPr>
                <w:b/>
              </w:rPr>
              <w:t>ITEM 16G.</w:t>
            </w:r>
          </w:p>
        </w:tc>
        <w:tc>
          <w:tcPr>
            <w:tcW w:w="273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CORPORATE GOVERNANCE </w:t>
            </w:r>
          </w:p>
        </w:tc>
      </w:tr>
    </w:tbl>
    <w:p>
      <w:pPr>
        <w:pStyle w:val="TextBody"/>
        <w:spacing w:before="120" w:after="0"/>
        <w:jc w:val="left"/>
        <w:rPr>
          <w:rFonts w:ascii="Times New Roman" w:hAnsi="Times New Roman"/>
          <w:sz w:val="20"/>
        </w:rPr>
      </w:pPr>
      <w:r>
        <w:rPr>
          <w:rFonts w:ascii="Times New Roman" w:hAnsi="Times New Roman"/>
          <w:sz w:val="20"/>
        </w:rPr>
        <w:t xml:space="preserve">Nasdaq Stock Market Rule 5615(a)(3) permits foreign private issuers like us to follow “home country practice” in certain corporate governance matters. For example, Nasdaq Stock Market Rule 5605(b)(1) generally requires that a majority of an issuer’s board of directors must consist of independent directors. Since September 5, 2018, we have had a majority of independent directors serving on our board. Prior to that, we relied on this “home country practice” exception when we did not have a majority of independent directors serving on our board. </w:t>
      </w:r>
    </w:p>
    <w:p>
      <w:pPr>
        <w:pStyle w:val="TextBody"/>
        <w:spacing w:before="240" w:after="0"/>
        <w:jc w:val="left"/>
        <w:rPr>
          <w:rFonts w:ascii="Times New Roman" w:hAnsi="Times New Roman"/>
          <w:sz w:val="20"/>
        </w:rPr>
      </w:pPr>
      <w:r>
        <w:rPr>
          <w:rFonts w:ascii="Times New Roman" w:hAnsi="Times New Roman"/>
          <w:sz w:val="20"/>
        </w:rPr>
        <w:t xml:space="preserve">In addition, Nasdaq Stock Market Rule 5250(d)(1) requires each issuer to distribute to shareholders copies of an annual report containing audited financial statements of our Company and its subsidiaries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www.melco-resorts.com. Nasdaq Stock Market Rule 5635 also requires each issuer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w:t>
      </w:r>
    </w:p>
    <w:p>
      <w:pPr>
        <w:pStyle w:val="TextBody"/>
        <w:spacing w:before="240" w:after="0"/>
        <w:jc w:val="left"/>
        <w:rPr>
          <w:rFonts w:ascii="Times New Roman" w:hAnsi="Times New Roman"/>
          <w:sz w:val="20"/>
        </w:rPr>
      </w:pPr>
      <w:r>
        <w:rPr>
          <w:rFonts w:ascii="Times New Roman" w:hAnsi="Times New Roman"/>
          <w:sz w:val="20"/>
        </w:rPr>
        <w:t xml:space="preserve">Furthermore, Nasdaq Stock Market Rule 5635(b) requires shareholder approval prior to the issuance of securities when a share option plan is to be established pursuant to which shares may be acquired by officers, directors, employees or consultants. We did not obtain such shareholder approval for our 2021 Share Incentive Plan. </w:t>
      </w:r>
    </w:p>
    <w:p>
      <w:pPr>
        <w:pStyle w:val="TextBody"/>
        <w:spacing w:before="240" w:after="0"/>
        <w:jc w:val="left"/>
        <w:rPr>
          <w:rFonts w:ascii="Times New Roman" w:hAnsi="Times New Roman"/>
          <w:sz w:val="20"/>
        </w:rPr>
      </w:pPr>
      <w:r>
        <w:rPr>
          <w:rFonts w:ascii="Times New Roman" w:hAnsi="Times New Roman"/>
          <w:sz w:val="20"/>
        </w:rPr>
        <w:t xml:space="preserve">Walkers (Hong Kong), our Cayman Islands counsel, has provided letters to Nasdaq certifying that under the Companies Act (as amended) of the Cayman Islands, we are not required to: (i) have a majority of independent directors serving on our board; (ii) deliver annual reports to our shareholders prior to an annual general meeting; (iii) obtain shareholders’ approval prior to any issuance of our ordinary shares; or (iv) obtain shareholders’ approval in connection with the adoption of our 2021 Share Incentive Plan. The foregoing is subject to our memorandum and articles of association, as amended and restated from time to time. </w:t>
      </w:r>
    </w:p>
    <w:p>
      <w:pPr>
        <w:pStyle w:val="TextBody"/>
        <w:spacing w:before="0" w:after="0"/>
        <w:jc w:val="left"/>
        <w:rPr/>
      </w:pPr>
      <w:r>
        <w:rPr/>
        <w:t> </w:t>
      </w:r>
    </w:p>
    <w:tbl>
      <w:tblPr>
        <w:tblW w:w="3925" w:type="dxa"/>
        <w:jc w:val="left"/>
        <w:tblInd w:w="0" w:type="dxa"/>
        <w:tblCellMar>
          <w:top w:w="0" w:type="dxa"/>
          <w:left w:w="0" w:type="dxa"/>
          <w:bottom w:w="0" w:type="dxa"/>
          <w:right w:w="0" w:type="dxa"/>
        </w:tblCellMar>
      </w:tblPr>
      <w:tblGrid>
        <w:gridCol w:w="1220"/>
        <w:gridCol w:w="2705"/>
      </w:tblGrid>
      <w:tr>
        <w:trPr/>
        <w:tc>
          <w:tcPr>
            <w:tcW w:w="1220" w:type="dxa"/>
            <w:tcBorders/>
            <w:shd w:fill="auto" w:val="clear"/>
            <w:vAlign w:val="center"/>
          </w:tcPr>
          <w:p>
            <w:pPr>
              <w:pStyle w:val="TableContents"/>
              <w:spacing w:before="0" w:after="283"/>
              <w:jc w:val="left"/>
              <w:rPr>
                <w:b/>
              </w:rPr>
            </w:pPr>
            <w:bookmarkStart w:id="77" w:name="rom396630_74"/>
            <w:bookmarkEnd w:id="77"/>
            <w:r>
              <w:rPr>
                <w:b/>
              </w:rPr>
              <w:t>ITEM 16H.</w:t>
            </w:r>
          </w:p>
        </w:tc>
        <w:tc>
          <w:tcPr>
            <w:tcW w:w="27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MINE SAFETY DISCLOSURE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9100" w:type="dxa"/>
        <w:jc w:val="left"/>
        <w:tblInd w:w="0" w:type="dxa"/>
        <w:tblCellMar>
          <w:top w:w="0" w:type="dxa"/>
          <w:left w:w="0" w:type="dxa"/>
          <w:bottom w:w="0" w:type="dxa"/>
          <w:right w:w="0" w:type="dxa"/>
        </w:tblCellMar>
      </w:tblPr>
      <w:tblGrid>
        <w:gridCol w:w="1130"/>
        <w:gridCol w:w="7970"/>
      </w:tblGrid>
      <w:tr>
        <w:trPr/>
        <w:tc>
          <w:tcPr>
            <w:tcW w:w="1130" w:type="dxa"/>
            <w:tcBorders/>
            <w:shd w:fill="auto" w:val="clear"/>
            <w:vAlign w:val="center"/>
          </w:tcPr>
          <w:p>
            <w:pPr>
              <w:pStyle w:val="TableContents"/>
              <w:spacing w:before="0" w:after="283"/>
              <w:jc w:val="left"/>
              <w:rPr>
                <w:b/>
              </w:rPr>
            </w:pPr>
            <w:bookmarkStart w:id="78" w:name="rom396630_75"/>
            <w:bookmarkEnd w:id="78"/>
            <w:r>
              <w:rPr>
                <w:b/>
              </w:rPr>
              <w:t>ITEM 16I.</w:t>
            </w:r>
          </w:p>
        </w:tc>
        <w:tc>
          <w:tcPr>
            <w:tcW w:w="79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DISCLOSURE REGARDING FOREIGN JURISDICTIONS THAT PREVENT INSPECTIONS </w:t>
            </w:r>
          </w:p>
        </w:tc>
      </w:tr>
    </w:tbl>
    <w:p>
      <w:pPr>
        <w:pStyle w:val="TextBody"/>
        <w:spacing w:before="120" w:after="0"/>
        <w:jc w:val="left"/>
        <w:rPr>
          <w:rFonts w:ascii="Times New Roman" w:hAnsi="Times New Roman"/>
          <w:sz w:val="20"/>
        </w:rPr>
      </w:pPr>
      <w:r>
        <w:rPr>
          <w:rFonts w:ascii="Times New Roman" w:hAnsi="Times New Roman"/>
          <w:sz w:val="20"/>
        </w:rPr>
        <w:t xml:space="preserve">(a) </w:t>
      </w:r>
    </w:p>
    <w:p>
      <w:pPr>
        <w:pStyle w:val="TextBody"/>
        <w:spacing w:before="240" w:after="0"/>
        <w:jc w:val="left"/>
        <w:rPr>
          <w:rFonts w:ascii="Times New Roman" w:hAnsi="Times New Roman"/>
          <w:sz w:val="20"/>
        </w:rPr>
      </w:pPr>
      <w:r>
        <w:rPr>
          <w:rFonts w:ascii="Times New Roman" w:hAnsi="Times New Roman"/>
          <w:sz w:val="20"/>
        </w:rPr>
        <w:t xml:space="preserve">As disclosed under Item 4.C., Item 6.E. and Item 7.A., a majority of our voting securities are held of record by Melco Leisure, which is wholly owned by Melco International. A majority of Melco International’s voting securities are beneficially owned by our founder, Chairman and Chief Executive Officer, Mr. Lawrence Ho through the interests of the companies which are owned or controlled by the persons and/or trusts associated with him, the interest of his spouse and the interest of a trust in which he is one of the beneficiaries and is taken to have interest under the Securities and Futures Ordinance (Chapter 571, the Laws of Hong Kong). Neither Mr. Ho, nor any of our other directors, are members of the Chinese Communist Party. </w:t>
      </w:r>
    </w:p>
    <w:p>
      <w:pPr>
        <w:pStyle w:val="TextBody"/>
        <w:spacing w:before="240" w:after="0"/>
        <w:jc w:val="left"/>
        <w:rPr>
          <w:rFonts w:ascii="Times New Roman" w:hAnsi="Times New Roman"/>
          <w:sz w:val="20"/>
        </w:rPr>
      </w:pPr>
      <w:r>
        <w:rPr>
          <w:rFonts w:ascii="Times New Roman" w:hAnsi="Times New Roman"/>
          <w:sz w:val="20"/>
        </w:rPr>
        <w:t xml:space="preserve">A significant portion of our voting securities, and those of Melco International, are publicly held. Based on a review of the stockholder lists of our Company and Melco International, we are not aware of any governmental entities in mainland China or Hong Kong that are beneficial or record holders of any shares of Melco or Melco International. In addition, no such governmental entities have made any disclosures on Schedule 13D, Schedule 13G or under Part XV of the Hong Kong Securities and Futures Ordinance indicating that they own any shares of Melco or Melco International. </w:t>
      </w:r>
    </w:p>
    <w:p>
      <w:pPr>
        <w:pStyle w:val="TextBody"/>
        <w:spacing w:before="240" w:after="0"/>
        <w:jc w:val="left"/>
        <w:rPr>
          <w:rFonts w:ascii="Times New Roman" w:hAnsi="Times New Roman"/>
          <w:sz w:val="20"/>
        </w:rPr>
      </w:pPr>
      <w:r>
        <w:rPr>
          <w:rFonts w:ascii="Times New Roman" w:hAnsi="Times New Roman"/>
          <w:sz w:val="20"/>
        </w:rPr>
        <w:t xml:space="preserve">Based on the above, we believe that our Company is not owned or controlled by any governmental entities in mainland China or Hong Kong as of the date of filing of this Form 20-F. </w:t>
      </w:r>
    </w:p>
    <w:p>
      <w:pPr>
        <w:pStyle w:val="TextBody"/>
        <w:spacing w:before="120" w:after="0"/>
        <w:jc w:val="left"/>
        <w:rPr>
          <w:rFonts w:ascii="Times New Roman" w:hAnsi="Times New Roman"/>
          <w:sz w:val="20"/>
        </w:rPr>
      </w:pPr>
      <w:r>
        <w:rPr>
          <w:rFonts w:ascii="Times New Roman" w:hAnsi="Times New Roman"/>
          <w:sz w:val="20"/>
        </w:rPr>
        <w:t xml:space="preserve">(b) </w:t>
      </w:r>
    </w:p>
    <w:p>
      <w:pPr>
        <w:pStyle w:val="TextBody"/>
        <w:spacing w:before="240" w:after="0"/>
        <w:jc w:val="left"/>
        <w:rPr>
          <w:rFonts w:ascii="Times New Roman" w:hAnsi="Times New Roman"/>
          <w:sz w:val="20"/>
        </w:rPr>
      </w:pPr>
      <w:r>
        <w:rPr>
          <w:rFonts w:ascii="Times New Roman" w:hAnsi="Times New Roman"/>
          <w:sz w:val="20"/>
        </w:rPr>
        <w:t xml:space="preserve">(1) For the fiscal year ended December 31, 2021, Ernst &amp; Young, located in Hong Kong, Special Administrative Region of the PRC, (“EY HK”) issued an audit report for our Company. On December 16, 2021, the U.S. Public Company Accounting Oversight Board (“PCAOB”) determined that it was unable to inspect or investigate completely PCAOB-registered public accounting firms headquartered in mainland China and in Hong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Kong (including EY HK) because of positions taken by authorities in the PRC and Hong Kong. On December 15, 2022, the PCAOB vacated its December 16, 2021 determination, and announced that it had secured complete access to inspect and investigate registered public accounting firms headquartered in mainland China and Hong Kong (including EY HK). </w:t>
      </w:r>
    </w:p>
    <w:p>
      <w:pPr>
        <w:pStyle w:val="TextBody"/>
        <w:spacing w:before="240" w:after="0"/>
        <w:jc w:val="left"/>
        <w:rPr>
          <w:rFonts w:ascii="Times New Roman" w:hAnsi="Times New Roman"/>
          <w:sz w:val="20"/>
        </w:rPr>
      </w:pPr>
      <w:r>
        <w:rPr>
          <w:rFonts w:ascii="Times New Roman" w:hAnsi="Times New Roman"/>
          <w:sz w:val="20"/>
        </w:rPr>
        <w:t xml:space="preserve">(2) Based on a review of the stockholder lists of our Company and Melco International, we are not aware of any governmental entities in mainland China, Hong Kong or the Cayman Islands (where we are incorporated) that are beneficial or record owners of any shares of our Company or Melco International. In addition, no such governmental entities have made any disclosures on Schedule 13D, Schedule 13G or under Part XV of the Hong Kong Securities and Futures Ordinance indicating that they own any shares of our Company or Melco International. Based on the above, we believe that none of our ordinary shares or ADSs are owned beneficially or of record by any governmental entities in either mainland China, Hong Kong or the Cayman Islands. However, a significant, but minority, portion of the shares of our Company and Melco International are publicly held by intermediaries on behalf of beneficial owners who are not known to us. None of these unknown beneficial owners has ever asserted any control or influence over us. </w:t>
      </w:r>
    </w:p>
    <w:p>
      <w:pPr>
        <w:pStyle w:val="TextBody"/>
        <w:spacing w:before="240" w:after="0"/>
        <w:jc w:val="left"/>
        <w:rPr>
          <w:rFonts w:ascii="Times New Roman" w:hAnsi="Times New Roman"/>
          <w:sz w:val="20"/>
        </w:rPr>
      </w:pPr>
      <w:r>
        <w:rPr>
          <w:rFonts w:ascii="Times New Roman" w:hAnsi="Times New Roman"/>
          <w:sz w:val="20"/>
        </w:rPr>
        <w:t xml:space="preserve">(3) No governmental entities in mainland China or Hong Kong have a controlling financial interest in our Company as of the date of filing of this Form 20-F. </w:t>
      </w:r>
    </w:p>
    <w:p>
      <w:pPr>
        <w:pStyle w:val="TextBody"/>
        <w:spacing w:before="240" w:after="0"/>
        <w:jc w:val="left"/>
        <w:rPr>
          <w:rFonts w:ascii="Times New Roman" w:hAnsi="Times New Roman"/>
          <w:sz w:val="20"/>
        </w:rPr>
      </w:pPr>
      <w:r>
        <w:rPr>
          <w:rFonts w:ascii="Times New Roman" w:hAnsi="Times New Roman"/>
          <w:sz w:val="20"/>
        </w:rPr>
        <w:t xml:space="preserve">(4) No members of our board or any of our subsidiaries is an official of the Chinese Communist Party. </w:t>
      </w:r>
    </w:p>
    <w:p>
      <w:pPr>
        <w:pStyle w:val="TextBody"/>
        <w:spacing w:before="240" w:after="0"/>
        <w:jc w:val="left"/>
        <w:rPr>
          <w:rFonts w:ascii="Times New Roman" w:hAnsi="Times New Roman"/>
          <w:sz w:val="20"/>
        </w:rPr>
      </w:pPr>
      <w:r>
        <w:rPr>
          <w:rFonts w:ascii="Times New Roman" w:hAnsi="Times New Roman"/>
          <w:sz w:val="20"/>
        </w:rPr>
        <w:t xml:space="preserve">(5) Our Company’s memorandum and articles of association do not contain any portion of the charter of the Chinese Communist Party. </w:t>
      </w:r>
    </w:p>
    <w:p>
      <w:pPr>
        <w:pStyle w:val="TextBody"/>
        <w:spacing w:before="480" w:after="0"/>
        <w:jc w:val="center"/>
        <w:rPr>
          <w:rFonts w:ascii="Times New Roman" w:hAnsi="Times New Roman"/>
          <w:b/>
          <w:sz w:val="20"/>
        </w:rPr>
      </w:pPr>
      <w:bookmarkStart w:id="79" w:name="rom396630_76"/>
      <w:bookmarkEnd w:id="79"/>
      <w:r>
        <w:rPr>
          <w:rFonts w:ascii="Times New Roman" w:hAnsi="Times New Roman"/>
          <w:b/>
          <w:sz w:val="20"/>
        </w:rPr>
        <w:t xml:space="preserve">PART III </w:t>
      </w:r>
    </w:p>
    <w:p>
      <w:pPr>
        <w:pStyle w:val="TextBody"/>
        <w:spacing w:before="0" w:after="0"/>
        <w:jc w:val="left"/>
        <w:rPr/>
      </w:pPr>
      <w:r>
        <w:rPr/>
        <w:t> </w:t>
      </w:r>
    </w:p>
    <w:tbl>
      <w:tblPr>
        <w:tblW w:w="3580" w:type="dxa"/>
        <w:jc w:val="left"/>
        <w:tblInd w:w="0" w:type="dxa"/>
        <w:tblCellMar>
          <w:top w:w="0" w:type="dxa"/>
          <w:left w:w="0" w:type="dxa"/>
          <w:bottom w:w="0" w:type="dxa"/>
          <w:right w:w="0" w:type="dxa"/>
        </w:tblCellMar>
      </w:tblPr>
      <w:tblGrid>
        <w:gridCol w:w="1040"/>
        <w:gridCol w:w="2540"/>
      </w:tblGrid>
      <w:tr>
        <w:trPr/>
        <w:tc>
          <w:tcPr>
            <w:tcW w:w="1040" w:type="dxa"/>
            <w:tcBorders/>
            <w:shd w:fill="auto" w:val="clear"/>
            <w:vAlign w:val="center"/>
          </w:tcPr>
          <w:p>
            <w:pPr>
              <w:pStyle w:val="TableContents"/>
              <w:spacing w:before="0" w:after="283"/>
              <w:jc w:val="left"/>
              <w:rPr>
                <w:b/>
              </w:rPr>
            </w:pPr>
            <w:bookmarkStart w:id="80" w:name="rom396630_77"/>
            <w:bookmarkEnd w:id="80"/>
            <w:r>
              <w:rPr>
                <w:b/>
              </w:rPr>
              <w:t>ITEM 17.</w:t>
            </w:r>
          </w:p>
        </w:tc>
        <w:tc>
          <w:tcPr>
            <w:tcW w:w="25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spacing w:before="120" w:after="0"/>
        <w:jc w:val="left"/>
        <w:rPr>
          <w:rFonts w:ascii="Times New Roman" w:hAnsi="Times New Roman"/>
          <w:sz w:val="20"/>
        </w:rPr>
      </w:pPr>
      <w:r>
        <w:rPr>
          <w:rFonts w:ascii="Times New Roman" w:hAnsi="Times New Roman"/>
          <w:sz w:val="20"/>
        </w:rPr>
        <w:t xml:space="preserve">We have elected to provide financial statements pursuant to Item 18. </w:t>
      </w:r>
    </w:p>
    <w:p>
      <w:pPr>
        <w:pStyle w:val="TextBody"/>
        <w:spacing w:before="0" w:after="0"/>
        <w:jc w:val="left"/>
        <w:rPr/>
      </w:pPr>
      <w:r>
        <w:rPr/>
        <w:t> </w:t>
      </w:r>
    </w:p>
    <w:tbl>
      <w:tblPr>
        <w:tblW w:w="3580" w:type="dxa"/>
        <w:jc w:val="left"/>
        <w:tblInd w:w="0" w:type="dxa"/>
        <w:tblCellMar>
          <w:top w:w="0" w:type="dxa"/>
          <w:left w:w="0" w:type="dxa"/>
          <w:bottom w:w="0" w:type="dxa"/>
          <w:right w:w="0" w:type="dxa"/>
        </w:tblCellMar>
      </w:tblPr>
      <w:tblGrid>
        <w:gridCol w:w="1040"/>
        <w:gridCol w:w="2540"/>
      </w:tblGrid>
      <w:tr>
        <w:trPr/>
        <w:tc>
          <w:tcPr>
            <w:tcW w:w="1040" w:type="dxa"/>
            <w:tcBorders/>
            <w:shd w:fill="auto" w:val="clear"/>
            <w:vAlign w:val="center"/>
          </w:tcPr>
          <w:p>
            <w:pPr>
              <w:pStyle w:val="TableContents"/>
              <w:spacing w:before="0" w:after="283"/>
              <w:jc w:val="left"/>
              <w:rPr>
                <w:b/>
              </w:rPr>
            </w:pPr>
            <w:bookmarkStart w:id="81" w:name="rom396630_78"/>
            <w:bookmarkEnd w:id="81"/>
            <w:r>
              <w:rPr>
                <w:b/>
              </w:rPr>
              <w:t>ITEM 18.</w:t>
            </w:r>
          </w:p>
        </w:tc>
        <w:tc>
          <w:tcPr>
            <w:tcW w:w="25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spacing w:before="120" w:after="0"/>
        <w:jc w:val="left"/>
        <w:rPr>
          <w:rFonts w:ascii="Times New Roman" w:hAnsi="Times New Roman"/>
          <w:sz w:val="20"/>
        </w:rPr>
      </w:pPr>
      <w:r>
        <w:rPr>
          <w:rFonts w:ascii="Times New Roman" w:hAnsi="Times New Roman"/>
          <w:sz w:val="20"/>
        </w:rPr>
        <w:t xml:space="preserve">The consolidated financial statements of Melco Resorts &amp; Entertainment Limited and its subsidiaries are included at the end of this annual report.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rPr/>
      </w:pPr>
      <w:r>
        <w:rPr/>
      </w:r>
    </w:p>
    <w:p>
      <w:pPr>
        <w:pStyle w:val="Heading5"/>
        <w:rPr/>
      </w:pPr>
      <w:hyperlink w:anchor="toc">
        <w:r>
          <w:rPr>
            <w:rStyle w:val="InternetLink"/>
          </w:rPr>
          <w:t>Table of Contents</w:t>
        </w:r>
      </w:hyperlink>
    </w:p>
    <w:tbl>
      <w:tblPr>
        <w:tblW w:w="2065" w:type="dxa"/>
        <w:jc w:val="left"/>
        <w:tblInd w:w="0" w:type="dxa"/>
        <w:tblCellMar>
          <w:top w:w="0" w:type="dxa"/>
          <w:left w:w="0" w:type="dxa"/>
          <w:bottom w:w="0" w:type="dxa"/>
          <w:right w:w="0" w:type="dxa"/>
        </w:tblCellMar>
      </w:tblPr>
      <w:tblGrid>
        <w:gridCol w:w="1040"/>
        <w:gridCol w:w="1025"/>
      </w:tblGrid>
      <w:tr>
        <w:trPr/>
        <w:tc>
          <w:tcPr>
            <w:tcW w:w="1040" w:type="dxa"/>
            <w:tcBorders/>
            <w:shd w:fill="auto" w:val="clear"/>
            <w:vAlign w:val="center"/>
          </w:tcPr>
          <w:p>
            <w:pPr>
              <w:pStyle w:val="TableContents"/>
              <w:spacing w:before="0" w:after="283"/>
              <w:jc w:val="left"/>
              <w:rPr>
                <w:b/>
              </w:rPr>
            </w:pPr>
            <w:bookmarkStart w:id="82" w:name="rom396630_79"/>
            <w:bookmarkEnd w:id="82"/>
            <w:r>
              <w:rPr>
                <w:b/>
              </w:rPr>
              <w:t>ITEM 19.</w:t>
            </w:r>
          </w:p>
        </w:tc>
        <w:tc>
          <w:tcPr>
            <w:tcW w:w="1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695"/>
        <w:gridCol w:w="120"/>
        <w:gridCol w:w="9390"/>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1.1</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3">
              <w:r>
                <w:rPr>
                  <w:rStyle w:val="InternetLink"/>
                </w:rPr>
                <w:t xml:space="preserve">Amended and Restated Memorandum and Articles of Association adopted on March 29, 2017 (incorporated by reference to Exhibit 1.1 from our annual report on Form 20-F for the fiscal year ended December 31, 2016 (File No. 001-33178), filed with the SEC on April 11, 2017)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2.1</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4">
              <w:r>
                <w:rPr>
                  <w:rStyle w:val="InternetLink"/>
                </w:rPr>
                <w:t xml:space="preserve">Form of Registrant’s American Depositary Receipt (included in Exhibit 2.3)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2.2</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5">
              <w:r>
                <w:rPr>
                  <w:rStyle w:val="InternetLink"/>
                </w:rPr>
                <w:t xml:space="preserve">Registrant’s Specimen Certificate for Ordinary Shares (incorporated by reference to Exhibit 4.2 from our registration statement on Form F-1 registration statement (File No. 333-139088), as amended, initially filed with the SEC on December 1, 2006)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2.3</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6">
              <w:r>
                <w:rPr>
                  <w:rStyle w:val="InternetLink"/>
                </w:rPr>
                <w:t xml:space="preserve">Form of Deposit Agreement among the Company, the depositary and the holders and beneficial owners of the American depositary shares issued thereunder (incorporated by reference to Exhibit (a) from Amendment No. 1 to our registration statement on Form F-6 (File No. 333-139159) filed with the SEC on November 29, 2011)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2.4</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7">
              <w:r>
                <w:rPr>
                  <w:rStyle w:val="InternetLink"/>
                </w:rPr>
                <w:t xml:space="preserve">Deed of Variation and Amendment dated July 27, 2007 between our Company, Melco Leisure and Entertainment Group Limited, Melco International Development Limited, PBL Asia Investments Limited, Publishing and Broadcasting Limited and Crown Limited (incorporated by reference to Exhibit 4.11 from our registration statement on Form F-1 (File No. 333-146780), as amended, initially filed with the SEC on October 18, 2007)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2.5</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8">
              <w:r>
                <w:rPr>
                  <w:rStyle w:val="InternetLink"/>
                </w:rPr>
                <w:t xml:space="preserve">Form of Registration Rights Agreement among our Company, Melco Leisure and Entertainment Group Limited and PBL (incorporated by reference to Exhibit 4.10 from our registration statement on Form F-1 (File No. 333-139088), as amended, initially filed with the SEC on December 1, 2006)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2.6</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9">
              <w:r>
                <w:rPr>
                  <w:rStyle w:val="InternetLink"/>
                </w:rPr>
                <w:t xml:space="preserve">Amendment No. 1 and Joinder to Registration Rights Agreement among our Company, Crown Asia Investments Pty Ltd, Crown Resorts Limited, Melco Leisure and Entertainment Group Limited and Melco International Development Limited, dated as of February 9, 2017 (incorporated by reference to Exhibit 2.19 from our annual report on Form 20-F for the fiscal year ended December 31, 2016 (File No. 001-33178), filed with the SEC on April 11, 2017)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2.7</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10">
              <w:r>
                <w:rPr>
                  <w:rStyle w:val="InternetLink"/>
                </w:rPr>
                <w:t xml:space="preserve">Amendment No. 2 to Registration Rights Agreement among our Company, Crown Asia Investments Pty Ltd, Crown Resorts Limited, Melco Leisure and Entertainment Group Limited and Melco International Development Limited, dated as of May 15, 2017 (incorporated by reference to Exhibit 2.24 from our annual report on Form 20-F for the fiscal year ended December 31, 2017 (File No. 001-33178), filed with the SEC on April 12, 2018) </w:t>
              </w:r>
            </w:hyperlink>
          </w:p>
        </w:tc>
      </w:tr>
      <w:tr>
        <w:trPr/>
        <w:tc>
          <w:tcPr>
            <w:tcW w:w="695" w:type="dxa"/>
            <w:tcBorders/>
            <w:shd w:fill="auto" w:val="clear"/>
            <w:vAlign w:val="center"/>
          </w:tcPr>
          <w:p>
            <w:pPr>
              <w:pStyle w:val="TableContents"/>
              <w:spacing w:before="0" w:after="283"/>
              <w:rPr>
                <w:sz w:val="4"/>
                <w:szCs w:val="4"/>
              </w:rPr>
            </w:pPr>
            <w:r>
              <w:rPr>
                <w:sz w:val="4"/>
                <w:szCs w:val="4"/>
              </w:rPr>
            </w:r>
          </w:p>
        </w:tc>
        <w:tc>
          <w:tcPr>
            <w:tcW w:w="9510" w:type="dxa"/>
            <w:gridSpan w:val="2"/>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283"/>
              <w:rPr/>
            </w:pPr>
            <w:r>
              <w:rPr/>
              <w:t>      </w:t>
            </w:r>
            <w:r>
              <w:rPr/>
              <w:t>2.8</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11">
              <w:r>
                <w:rPr>
                  <w:rStyle w:val="InternetLink"/>
                </w:rPr>
                <w:t xml:space="preserve">Senior Term Loan and Revolving Facilities Agreement, dated January 28, 2013, among Studio City Investments Limited, Studio City Company Limited, certain guarantors as specified therein, Australia and New Zealand Banking Group Limited, Bank of America, N.A., Bank of China Limited, Macau Branch, Citigroup Global Markets Asia Limited, Credit Agricole Corporate and Investment Bank, Deutsche Bank AG, Hong Kong Branch, Industrial and Commercial Bank of China (Macau) Limited and UBS AG Hong Kong Branch as bookrunner mandated lead arrangers, certain other entities as specified therein as mandated lead arranger, lead arrangers, arranger, senior managers and managers, certain financial institutions as lenders, Deutsche Bank AG, Hong Kong Branch as facility agent, Industrial and Commercial Bank of China (Macau) Limited as agent and security trustee, disbursement agent and agent for the agent and security trustee and Bank of China Limited, Macau Branch as issuing bank (incorporated by reference to Exhibit 2.16 from our annual report on Form 20-F for the fiscal year ended December 31, 2012 (File No. 001-33178), filed with the SEC on April 18, 2013)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34"/>
        <w:gridCol w:w="120"/>
        <w:gridCol w:w="9251"/>
      </w:tblGrid>
      <w:tr>
        <w:trPr/>
        <w:tc>
          <w:tcPr>
            <w:tcW w:w="83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51" w:type="dxa"/>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2.9</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2">
              <w:r>
                <w:rPr>
                  <w:rStyle w:val="InternetLink"/>
                </w:rPr>
                <w:t xml:space="preserve">Amendment Agreement, dated March 1, 2013, between Studio City Investments Limited and Deutsche Bank AG, Hong Kong Branch as facility agent, relating to a senior facilities agreement dated January 28, 2013 (incorporated by reference to Exhibit 2.18 from our annual report on Form 20-F for the fiscal year ended December 31, 2012 (File No. 001-33178), filed with the SEC on April 18, 2013)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2.10</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3">
              <w:r>
                <w:rPr>
                  <w:rStyle w:val="InternetLink"/>
                </w:rPr>
                <w:t xml:space="preserve">Indenture dated June 6, 2017 relating to Melco Resorts Finance Limited’s 4.875% 2025 Senior Notes (incorporated by reference to Exhibit 2.25 from our annual report on Form 20-F for the fiscal year ended December 31, 2017 (File No. 001-33178), filed with the SEC on April 12, 2018)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2.11</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4">
              <w:r>
                <w:rPr>
                  <w:rStyle w:val="InternetLink"/>
                </w:rPr>
                <w:t xml:space="preserve">Indenture dated April 26, 2019 relating to Melco Resorts Finance Limited’s 5.250% 2026 Senior Notes (incorporated by reference to Exhibit 2.28 from our annual report on Form 20-F for the fiscal year ended December 31, 2019 (File No. 001-33178), filed with the SEC on March 31, 2020)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2.12</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5">
              <w:r>
                <w:rPr>
                  <w:rStyle w:val="InternetLink"/>
                </w:rPr>
                <w:t xml:space="preserve">Indenture dated July 17, 2019 relating to Melco Resorts Finance Limited’s 5.625% 2027 Senior Notes (incorporated by reference to Exhibit 2.29 from our annual report on Form 20-F for the fiscal year ended December 31, 2019 (File No. 001-33178), filed with the SEC on March 31, 2020)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2.13</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6">
              <w:r>
                <w:rPr>
                  <w:rStyle w:val="InternetLink"/>
                </w:rPr>
                <w:t xml:space="preserve">Indenture dated December 4, 2019 relating to Melco Resorts Finance Limited’s 5.375% 2029 Senior Notes (incorporated by reference to Exhibit 2.30 from our annual report on Form 20-F for the fiscal year ended December 31, 2019 (File No. 001-33178), filed with the SEC on March 31, 2020)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2.14</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7">
              <w:r>
                <w:rPr>
                  <w:rStyle w:val="InternetLink"/>
                </w:rPr>
                <w:t xml:space="preserve">Indenture dated July 15, 2020 relating to Studio City Finance Limited’s 6.000% 2025 Studio City Notes (incorporated by reference to Exhibit 2.32 from our annual report on Form 20-F for the fiscal year ended December 31, 2020 (File No. 001-33178), filed with the SEC on March 31, 2021)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2.15</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8">
              <w:r>
                <w:rPr>
                  <w:rStyle w:val="InternetLink"/>
                </w:rPr>
                <w:t xml:space="preserve">Indenture dated July 15, 2020 relating to Studio City Finance Limited’s 6.500% 2028 Studio City Notes (incorporated by reference to Exhibit 2.33 from our annual report on Form 20-F for the fiscal year ended December 31, 2020 (File No. 001-33178), filed with the SEC on March 31, 2021)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2.16</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19">
              <w:r>
                <w:rPr>
                  <w:rStyle w:val="InternetLink"/>
                </w:rPr>
                <w:t xml:space="preserve">Indenture dated July 21, 2020 relating to Melco Resorts Finance Limited’s 5.750% 2028 Senior Notes (incorporated by reference to Exhibit 2.34 from our annual report on Form 20-F for the fiscal year ended December 31, 2020 (File No. 001-33178), filed with the SEC on March 31, 2021)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2.17</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20">
              <w:r>
                <w:rPr>
                  <w:rStyle w:val="InternetLink"/>
                </w:rPr>
                <w:t xml:space="preserve">Indenture dated January 14, 2021 relating to Studio City Finance Limited’s 5.000% 2029 Studio City Notes (incorporated by reference to Exhibit 2.35 from our annual report on Form 20-F for the fiscal year ended December 31, 2020 (File No. 001-33178), filed with the SEC on March 31, 2021)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2.18</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21">
              <w:r>
                <w:rPr>
                  <w:rStyle w:val="InternetLink"/>
                </w:rPr>
                <w:t xml:space="preserve">Amended and Restated Credit Agreement relating to HK$233 million revolving credit facility and HK$1 million term loan facility dated March 15, 2021, among Studio City Company Limited and certain of its subsidiaries and affiliates with Bank of China Limited, Macau Branch, among others (incorporated by reference to Exhibit 2.36 from our annual report on Form 20-F for the fiscal year ended December 31, 2020 (File No. 001-33178), filed with the SEC on March 31, 2021)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2.19</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22">
              <w:r>
                <w:rPr>
                  <w:rStyle w:val="InternetLink"/>
                </w:rPr>
                <w:t xml:space="preserve">Senior Facilities Agreement, dated April 29, 2020, entered into between, among others, MCO Nominee One Limited, as borrower, and Bank of China Limited, Macau Branch, Bank of Communications Co., Ltd. Macau Branch and Morgan Stanley Senior Funding, Inc., as joint global coordinators regarding the 2020 Credit Facilities (incorporated by reference to Exhibit 2.37 from our annual report on Form 20-F for the fiscal year ended December 31, 2020 (File No. 001-33178), filed with the SEC on March 31, 2021)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2.20*</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w:anchor="d396630dex220.htm">
              <w:r>
                <w:rPr>
                  <w:rStyle w:val="InternetLink"/>
                </w:rPr>
                <w:t xml:space="preserve">Description of Registrant’s Securities </w:t>
              </w:r>
            </w:hyperlink>
          </w:p>
        </w:tc>
      </w:tr>
      <w:tr>
        <w:trPr/>
        <w:tc>
          <w:tcPr>
            <w:tcW w:w="834" w:type="dxa"/>
            <w:tcBorders/>
            <w:shd w:fill="auto" w:val="clear"/>
            <w:vAlign w:val="center"/>
          </w:tcPr>
          <w:p>
            <w:pPr>
              <w:pStyle w:val="TableContents"/>
              <w:spacing w:before="0" w:after="283"/>
              <w:rPr>
                <w:sz w:val="4"/>
                <w:szCs w:val="4"/>
              </w:rPr>
            </w:pPr>
            <w:r>
              <w:rPr>
                <w:sz w:val="4"/>
                <w:szCs w:val="4"/>
              </w:rPr>
            </w:r>
          </w:p>
        </w:tc>
        <w:tc>
          <w:tcPr>
            <w:tcW w:w="9371" w:type="dxa"/>
            <w:gridSpan w:val="2"/>
            <w:tcBorders/>
            <w:shd w:fill="auto" w:val="clear"/>
            <w:vAlign w:val="center"/>
          </w:tcPr>
          <w:p>
            <w:pPr>
              <w:pStyle w:val="TableContents"/>
              <w:spacing w:before="0" w:after="283"/>
              <w:rPr>
                <w:sz w:val="4"/>
                <w:szCs w:val="4"/>
              </w:rPr>
            </w:pPr>
            <w:r>
              <w:rPr>
                <w:sz w:val="4"/>
                <w:szCs w:val="4"/>
              </w:rPr>
            </w:r>
          </w:p>
        </w:tc>
      </w:tr>
      <w:tr>
        <w:trPr/>
        <w:tc>
          <w:tcPr>
            <w:tcW w:w="834" w:type="dxa"/>
            <w:tcBorders/>
            <w:shd w:fill="auto" w:val="clear"/>
            <w:vAlign w:val="center"/>
          </w:tcPr>
          <w:p>
            <w:pPr>
              <w:pStyle w:val="TableContents"/>
              <w:spacing w:before="0" w:after="283"/>
              <w:rPr/>
            </w:pPr>
            <w:r>
              <w:rPr/>
              <w:t>      </w:t>
            </w:r>
            <w:r>
              <w:rPr/>
              <w:t>2.21</w:t>
            </w:r>
          </w:p>
        </w:tc>
        <w:tc>
          <w:tcPr>
            <w:tcW w:w="120" w:type="dxa"/>
            <w:tcBorders/>
            <w:shd w:fill="auto" w:val="clear"/>
            <w:vAlign w:val="center"/>
          </w:tcPr>
          <w:p>
            <w:pPr>
              <w:pStyle w:val="TableContents"/>
              <w:spacing w:before="0" w:after="283"/>
              <w:rPr/>
            </w:pPr>
            <w:r>
              <w:rPr/>
              <w:t>  </w:t>
            </w:r>
          </w:p>
        </w:tc>
        <w:tc>
          <w:tcPr>
            <w:tcW w:w="9251" w:type="dxa"/>
            <w:tcBorders/>
            <w:shd w:fill="auto" w:val="clear"/>
            <w:vAlign w:val="center"/>
          </w:tcPr>
          <w:p>
            <w:pPr>
              <w:pStyle w:val="TableContents"/>
              <w:spacing w:before="0" w:after="283"/>
              <w:rPr/>
            </w:pPr>
            <w:hyperlink r:id="rId23">
              <w:r>
                <w:rPr>
                  <w:rStyle w:val="InternetLink"/>
                </w:rPr>
                <w:t xml:space="preserve">Indenture relating to 7.000% senior notes due 2027 and dated February 16, 2022, among Studio City Company Limited, as issuer, the guarantors parties thereto, and Deutsche Bank Trust Company Americas, as trustee (incorporated by reference to Exhibit 2.24 from our annual report on Form 20-F for the fiscal year ended December 31, 2021 (File No. 001-33178), filed with the SEC on March 31, 2022)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15"/>
        <w:gridCol w:w="120"/>
        <w:gridCol w:w="9270"/>
      </w:tblGrid>
      <w:tr>
        <w:trPr/>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7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2.22</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4">
              <w:r>
                <w:rPr>
                  <w:rStyle w:val="InternetLink"/>
                </w:rPr>
                <w:t xml:space="preserve">Supplemental Indenture relating to 7.000% senior notes due 2027 and dated February 16, 2022, among Studio City Company Limited, Industrial and Commercial Bank of China (Macau) Limited, as the security agent, DB Trustees (Hong Kong) Limited, as the intercreditor agent, and Deutsche Bank Trust Company Americas, as the trustee (incorporated by reference to Exhibit 2.25 from our annual report on Form 20-F for the fiscal year ended December 31, 2021 (File No. 001-33178), filed with the SEC on March 31, 2022)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2.23</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5">
              <w:r>
                <w:rPr>
                  <w:rStyle w:val="InternetLink"/>
                </w:rPr>
                <w:t xml:space="preserve">Amendment and Restatement dated February 7, 2022 (in respect of the Intercreditor Agreement originally dated December 1, 2016) among Studio City Company Limited, the guarantors of the 7.000% senior secured notes due 2027, the lenders and agent for Studio City Company Limited’s HK$233 million revolving credit facility and HK$1 million term loan facility, the security agent and intercreditor agent named therein, among others (incorporated by reference to Exhibit 2.26 from our annual report on Form 20-F for the fiscal year ended December 31, 2021 (File No. 001-33178), filed with the SEC on March 31, 2022)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6">
              <w:r>
                <w:rPr>
                  <w:rStyle w:val="InternetLink"/>
                </w:rPr>
                <w:t xml:space="preserve">Form of Indemnification Agreement with our directors and executive officers (incorporated by reference to Exhibit 10.1 from our registration statement on Form F-1 (File No. 333-139088), as amended, initially filed with the SEC on December 1, 2006)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7">
              <w:r>
                <w:rPr>
                  <w:rStyle w:val="InternetLink"/>
                </w:rPr>
                <w:t xml:space="preserve">Form of Directors’ Agreement (incorporated by reference to Exhibit 10.2 from our registration statement on Form F-1 (File No. 333-139088), as amended, initially filed with the SEC on December 1, 2006)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4.3*</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w:anchor="d396630dex43.htm">
              <w:r>
                <w:rPr>
                  <w:rStyle w:val="InternetLink"/>
                </w:rPr>
                <w:t xml:space="preserve">Form of Employment Agreement between our Company and an executive officer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4.4</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8">
              <w:r>
                <w:rPr>
                  <w:rStyle w:val="InternetLink"/>
                </w:rPr>
                <w:t>English Translation of Order of the Secretary for Public Works and Transportation published in Macau Official Gazette no. 9 of March 1, 2006 (incorporated by reference to Exhibit 10.13 from our registration statement on Form F-1 (File No. 333-139088), as amended, initially filed with the SEC on December 1, 2006)</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4.5</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29">
              <w:r>
                <w:rPr>
                  <w:rStyle w:val="InternetLink"/>
                </w:rPr>
                <w:t>English Translation of the amended Order of Secretary for Public Works and Transportation published in Macau Official Gazette No. 25/2008 in relation to the City of Dreams Land Concession (incorporated by reference to Exhibit 4.30 from our annual report on Form 20-F for the fiscal year ended December 31, 2010 (File No. 001-33178) filed with the SEC on April 1, 2011)</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4.6</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0">
              <w:r>
                <w:rPr>
                  <w:rStyle w:val="InternetLink"/>
                </w:rPr>
                <w:t xml:space="preserve">Cooperation Agreement, dated October 25, 2012, among SM Investments Corporation, SM Land, Inc., SM Hotels Corporation, SM Commercial Properties, Inc., Belle Corporation, PremiumLeisure and Amusement, Inc., Melco Resorts Leisure, MPHIL Holdings No. 1 Corporation and MPHIL Holdings No. 2 Corporation (incorporated by reference to Exhibit 4.36 from our annual report on Form 20-F for the fiscal year ended December 31, 2012 (File No. 001-33178), filed with the SEC on April 18, 2013)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4.7</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1">
              <w:r>
                <w:rPr>
                  <w:rStyle w:val="InternetLink"/>
                </w:rPr>
                <w:t xml:space="preserve">Contract of Lease, dated October 25, 2012, between Belle Corporation and Melco Resorts Leisure (incorporated by reference to Exhibit 4.37 from our annual report on Form 20-F for the fiscal year ended December 31, 2012 (File No. 001-33178), filed with the SEC on April 18, 2013)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4.8</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2">
              <w:r>
                <w:rPr>
                  <w:rStyle w:val="InternetLink"/>
                </w:rPr>
                <w:t xml:space="preserve">Closing Arrangement Agreement, dated October 25, 2012, among SM Investments Corporation, SM Land, Inc., SM Hotels Corporation, SM Commercial Properties, Inc., SM Development Corporation, Belle Corporation, PremiumLeisure and Amusement, Inc., Melco Resorts Leisure, MPHIL Holdings No. 1 Corporation, MPHIL Holdings No. 2 Corporation, MCO Projects Limited and Melco Property Development Limited (incorporated by reference to Exhibit 4.38 from our annual report on Form 20-F for the fiscal year ended December 31, 2012 (File No. 001-33178), filed with the SEC on April 18, 2013)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4.9</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3">
              <w:r>
                <w:rPr>
                  <w:rStyle w:val="InternetLink"/>
                </w:rPr>
                <w:t xml:space="preserve">Operating Agreement, dated March 13, 2013, among Belle Corporation, SM Investments Corporation, PremiumLeisure and Amusement, Inc., MPHIL Holdings No. 2 Corporation, MPHIL Holdings No. 1 Corporation and Melco Resorts Leisure (incorporated by reference to Exhibit 4.42 from our annual report on Form 20-F for the fiscal year ended December 31, 2012 (File No. 001-33178), filed with the SEC on April 18, 2013)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15"/>
        <w:gridCol w:w="120"/>
        <w:gridCol w:w="9270"/>
      </w:tblGrid>
      <w:tr>
        <w:trPr/>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7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4.10</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4">
              <w:r>
                <w:rPr>
                  <w:rStyle w:val="InternetLink"/>
                </w:rPr>
                <w:t xml:space="preserve">2011 Share Incentive Plan, as amended, approved at the extraordinary general meeting on December 7, 2016 (incorporated by reference to Exhibit 4.25 from our annual report on Form 20-F for the fiscal year ended December 31, 2016 (File No. 001-33178), filed with the SEC on April 11, 2017)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4.11</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5">
              <w:r>
                <w:rPr>
                  <w:rStyle w:val="InternetLink"/>
                </w:rPr>
                <w:t xml:space="preserve">Seventh Amendment in Respect of the Senior Facilities Agreement, dated June 19, 2015, between Melco Resorts Macau, Deutsche Bank AG, Hong Kong Branch as agent and DB Trustees (Hong Kong) Limited as security agent (incorporated by reference to Exhibit 4.45 from our annual report on Form 20-F for the fiscal year ended December 31, 2015 (File No. 001-33178), filed with the SEC on April 12, 2016)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4.12</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6">
              <w:r>
                <w:rPr>
                  <w:rStyle w:val="InternetLink"/>
                </w:rPr>
                <w:t xml:space="preserve">Amendments, Waivers and Consent Request Letter, dated October 26, 2015, in connection with the Senior Term Loan and Revolving Facilities Agreement dated January 28, 2013 issued by Studio City Investments Limited and Studio City Company Limited, to Deutsche Bank AG, Hong Kong Branch as facility agent (incorporated by reference to Exhibit 4.46 from our annual report on Form 20-F for the fiscal year ended December 31, 2015 (File No. 001-33178), filed with the SEC on April 12, 2016)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4.13</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7">
              <w:r>
                <w:rPr>
                  <w:rStyle w:val="InternetLink"/>
                </w:rPr>
                <w:t xml:space="preserve">Supplemental Amendments, Waivers and Consent Request Letter, dated November 16, 2015, in connection with the Senior Term Loan and Revolving Facilities Agreement dated January 28, 2013 issued by Studio City Investments Limited and Studio City Company Limited, to Deutsche Bank AG, Hong Kong Branch as facility agent (incorporated by reference to Exhibit 4.47 from our annual report on Form 20-F for the fiscal year ended December 31, 2015 (File No. 001-33178), filed with the SEC on April 12, 2016)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4.14</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8">
              <w:r>
                <w:rPr>
                  <w:rStyle w:val="InternetLink"/>
                </w:rPr>
                <w:t xml:space="preserve">Amended and Restated Credit Agreement relating to Studio City Company Limited’s HK$233 million revolving credit facility and HK$1 million term loan facility (incorporated by reference to Exhibit 99.7 from our registration statement on Form F-3 (File No. 333-215500), filed with the SEC on December 14, 2016)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4.15</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39">
              <w:r>
                <w:rPr>
                  <w:rStyle w:val="InternetLink"/>
                </w:rPr>
                <w:t xml:space="preserve">Purchase Agreement among Studio City Company Limited, as issuer, Studio City Investments Limited as parent guarantor, and subsidiary guarantors as specified therein regarding the 5.875% Senior Secured Notes due 2019 and the 7.250% Senior Secured Notes due 2021 (incorporated by reference to Exhibit 99.10 from our registration statement on Form F-3 (File No. 333-215500), filed with the SEC on December 14, 2016)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4.16</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0">
              <w:r>
                <w:rPr>
                  <w:rStyle w:val="InternetLink"/>
                </w:rPr>
                <w:t xml:space="preserve">Purchase Agreement, dated May 25, 2017, among Melco Resorts Finance Limited, Australia and New Zealand Banking Group Limited, Merrill Lynch International, BOCI Asia Limited, Industrial and Commercial Bank of China (Asia) Limited and Industrial and Commercial Bank of China (Macau) Limited regarding the 4.875% 2025 Senior Notes (incorporated by reference to Exhibit 4.35 from our annual report on Form 20-F for the fiscal year ended December 31, 2017 (File No. 001-33178), filed with the SEC on April 12,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4.17</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1">
              <w:r>
                <w:rPr>
                  <w:rStyle w:val="InternetLink"/>
                </w:rPr>
                <w:t xml:space="preserve">Purchase Agreement, dated June 27, 2017, among Melco Resorts Finance Limited, Australia and New Zealand Banking Group Limited, Deutsche Bank AG Singapore Branch, BOCI Asia Limited, Industrial and Commercial Bank of China (Asia) Limited and Industrial and Commercial Bank of China (Macau) Limited regarding the 4.875% 2025 Senior Notes (incorporated by reference to Exhibit 4.36 from our annual report on Form 20-F for the fiscal year ended December 31, 2017 (File No. 001-33178), filed with the SEC on April 12, 2018)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4.18</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2">
              <w:r>
                <w:rPr>
                  <w:rStyle w:val="InternetLink"/>
                </w:rPr>
                <w:t xml:space="preserve">Amended and Restated Shareholders’ Agreement, entered into among MCO Cotai Investments Limited, New Cotai, LLC, the Company and SCI in relation to SCI (incorporated by reference to Exhibit 4.25 from our annual report on Form 20-F for the fiscal year ended December 31, 2018 (File No.001-33178), filed with the SEC on March 29, 2019)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815"/>
        <w:gridCol w:w="120"/>
        <w:gridCol w:w="9270"/>
      </w:tblGrid>
      <w:tr>
        <w:trPr/>
        <w:tc>
          <w:tcPr>
            <w:tcW w:w="8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7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4.19</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3">
              <w:r>
                <w:rPr>
                  <w:rStyle w:val="InternetLink"/>
                </w:rPr>
                <w:t xml:space="preserve">Purchase Agreement, dated April 17, 2019 among Melco Resorts Finance Limited, Deutsche Bank AG, Singapore Branch, Australia and New Zealand Banking Group Limited, Bank of Communications Co., Ltd Macau Branch, BOCI Asia Limited, Industrial and Commercial Bank of China (Macau) Limited and Mizuho Securities Asia Limited regarding the 5.250% 2026 Senior Notes (incorporated by reference to Exhibit 4.27 from our annual report on Form 20-F for the fiscal year ended December 31, 2019 (File No.001-33178), filed with the SEC on March 31, 2020)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4.20</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4">
              <w:r>
                <w:rPr>
                  <w:rStyle w:val="InternetLink"/>
                </w:rPr>
                <w:t xml:space="preserve">Purchase Agreement, dated June 24, 2019, between Melco Resorts &amp; Entertainment Limited and Melco International Development Limited regarding the acquisition of 75% equity interest in ICR Cyprus Holdings Limited from Melco International Development Limited (incorporated by reference to Exhibit 4.29 from our annual report on Form 20-F for the fiscal year ended December 31, 2019 (File No.001-33178), filed with the SEC on March 31, 2020)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4.21</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5">
              <w:r>
                <w:rPr>
                  <w:rStyle w:val="InternetLink"/>
                </w:rPr>
                <w:t xml:space="preserve">Purchase Agreement, dated July 10, 2019 among Melco Resorts Finance Limited, Deutsche Bank AG, Singapore Branch, Australia and New Zealand Banking Group Limited, Bank of Communications Co., Ltd Macau Branch, BOCI Asia Limited, Industrial and Commercial Bank of China (Macau) Limited, Mizuho Securities Asia Limited and Morgan Stanley &amp; Co. LLC regarding the 5.625% 2027 Senior Notes (incorporated by reference to Exhibit 4.30 from our annual report on Form 20-F for the fiscal year ended December 31, 2019 (File No.001-33178), filed with the SEC on March 31, 2020)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4.22</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6">
              <w:r>
                <w:rPr>
                  <w:rStyle w:val="InternetLink"/>
                </w:rPr>
                <w:t xml:space="preserve">Shareholders’ Agreement, dated July 31, 2019, between The Cyprus Phassouri (Zakaki) Limited, MCO Europe Holdings (NL) B.V., ICR Cyprus Holdings Limited and Melco Resorts &amp; Entertainment Limited relating to ICR Cyprus Holdings Limited (incorporated by reference to Exhibit 4.31 from our annual report on Form 20-F for the fiscal year ended December 31, 2019 (File No.001-33178), filed with the SEC on March 31, 2020)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4.23</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7">
              <w:r>
                <w:rPr>
                  <w:rStyle w:val="InternetLink"/>
                </w:rPr>
                <w:t xml:space="preserve">Purchase Agreement, dated November 26, 2019 among Melco Resorts Finance Limited, Deutsche Bank AG, Singapore Branch, Morgan Stanley &amp; Co. LLC, Australia and New Zealand Banking Group Limited, Bank of Communications Co., Ltd Macau Branch, BOCI Asia Limited, Industrial and Commercial Bank of China (Macau) Limited and Mizuho Securities Asia Limited and regarding the 5.375% 2029 Senior Notes (incorporated by reference to Exhibit 4.33 from our annual report on Form 20-F for the fiscal year ended December 31, 2019 (File No.001-33178), filed with the SEC on March 31, 2020)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4.24</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8">
              <w:r>
                <w:rPr>
                  <w:rStyle w:val="InternetLink"/>
                </w:rPr>
                <w:t xml:space="preserve">Supplemental Agreement, dated March 22, 2021, to the Operating Agreement, dated March 13, 2013, among Belle Corporation, SM Investments Corporation, PremiumLeisure and Amusement, Inc., MPHIL Holdings No. 2 Corporation, MPHIL Holdings No. 1 Corporation and Melco Resorts Leisure (incorporated by reference to Exhibit 4.35 from our annual report on Form 20-F for the fiscal year ended December 31, 2020 (File No.001-33178), filed with the SEC on March 31, 2021)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4.25</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49">
              <w:r>
                <w:rPr>
                  <w:rStyle w:val="InternetLink"/>
                </w:rPr>
                <w:t xml:space="preserve">Supplemental Agreement, dated March 22, 2021, to the Contract of Lease, dated October 25, 2012, between Belle Corporation and Melco Resorts Leisure (incorporated by reference to Exhibit 4.36 from our annual report on Form 20-F for the fiscal year ended December 31, 2020 (File No.001-33178), filed with the SEC on March 31, 2021) </w:t>
              </w:r>
            </w:hyperlink>
          </w:p>
        </w:tc>
      </w:tr>
      <w:tr>
        <w:trPr/>
        <w:tc>
          <w:tcPr>
            <w:tcW w:w="815" w:type="dxa"/>
            <w:tcBorders/>
            <w:shd w:fill="auto" w:val="clear"/>
            <w:vAlign w:val="center"/>
          </w:tcPr>
          <w:p>
            <w:pPr>
              <w:pStyle w:val="TableContents"/>
              <w:spacing w:before="0" w:after="283"/>
              <w:rPr>
                <w:sz w:val="4"/>
                <w:szCs w:val="4"/>
              </w:rPr>
            </w:pPr>
            <w:r>
              <w:rPr>
                <w:sz w:val="4"/>
                <w:szCs w:val="4"/>
              </w:rPr>
            </w:r>
          </w:p>
        </w:tc>
        <w:tc>
          <w:tcPr>
            <w:tcW w:w="9390" w:type="dxa"/>
            <w:gridSpan w:val="2"/>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center"/>
          </w:tcPr>
          <w:p>
            <w:pPr>
              <w:pStyle w:val="TableContents"/>
              <w:spacing w:before="0" w:after="283"/>
              <w:rPr/>
            </w:pPr>
            <w:r>
              <w:rPr/>
              <w:t>      </w:t>
            </w:r>
            <w:r>
              <w:rPr/>
              <w:t>4.26</w:t>
            </w:r>
          </w:p>
        </w:tc>
        <w:tc>
          <w:tcPr>
            <w:tcW w:w="120" w:type="dxa"/>
            <w:tcBorders/>
            <w:shd w:fill="auto" w:val="clear"/>
            <w:vAlign w:val="center"/>
          </w:tcPr>
          <w:p>
            <w:pPr>
              <w:pStyle w:val="TableContents"/>
              <w:spacing w:before="0" w:after="283"/>
              <w:rPr/>
            </w:pPr>
            <w:r>
              <w:rPr/>
              <w:t>  </w:t>
            </w:r>
          </w:p>
        </w:tc>
        <w:tc>
          <w:tcPr>
            <w:tcW w:w="9270" w:type="dxa"/>
            <w:tcBorders/>
            <w:shd w:fill="auto" w:val="clear"/>
            <w:vAlign w:val="center"/>
          </w:tcPr>
          <w:p>
            <w:pPr>
              <w:pStyle w:val="TableContents"/>
              <w:spacing w:before="0" w:after="283"/>
              <w:rPr/>
            </w:pPr>
            <w:hyperlink r:id="rId50">
              <w:r>
                <w:rPr>
                  <w:rStyle w:val="InternetLink"/>
                </w:rPr>
                <w:t xml:space="preserve">2021 Share Incentive Plan (incorporated by reference to Exhibit 4.5 from our registration statement on Form S-8 (File No. 333-261554), filed with the SEC on December 9, 2021) </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916"/>
        <w:gridCol w:w="120"/>
        <w:gridCol w:w="9169"/>
      </w:tblGrid>
      <w:tr>
        <w:trPr/>
        <w:tc>
          <w:tcPr>
            <w:tcW w:w="9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69" w:type="dxa"/>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Description of Document</w:t>
            </w:r>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4.27</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r:id="rId51">
              <w:r>
                <w:rPr>
                  <w:rStyle w:val="InternetLink"/>
                </w:rPr>
                <w:t xml:space="preserve">English Translation of the Provisions of the Concession Contract (incorporated by reference to Exhibit 99.3 from our Current Report on Form 6-K (File No. 001-33178), furnished with the SEC on December 19, 2022)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8.1*</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81.htm">
              <w:r>
                <w:rPr>
                  <w:rStyle w:val="InternetLink"/>
                </w:rPr>
                <w:t xml:space="preserve">List of Significant Subsidiaries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12.1*</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121.htm">
              <w:r>
                <w:rPr>
                  <w:rStyle w:val="InternetLink"/>
                </w:rPr>
                <w:t xml:space="preserve">CEO Certification Pursuant to Section 302 of the Sarbanes-Oxley Act of 2002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12.2*</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122.htm">
              <w:r>
                <w:rPr>
                  <w:rStyle w:val="InternetLink"/>
                </w:rPr>
                <w:t xml:space="preserve">CFO Certification Pursuant to Section 302 of the Sarbanes-Oxley Act of 2002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13.1*</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131.htm">
              <w:r>
                <w:rPr>
                  <w:rStyle w:val="InternetLink"/>
                </w:rPr>
                <w:t xml:space="preserve">CEO Certification Pursuant to Section 906 of the Sarbanes-Oxley Act of 2002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13.2*</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132.htm">
              <w:r>
                <w:rPr>
                  <w:rStyle w:val="InternetLink"/>
                </w:rPr>
                <w:t xml:space="preserve">CFO Certification Pursuant to Section 906 of the Sarbanes-Oxley Act of 2002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15.1*</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151.htm">
              <w:r>
                <w:rPr>
                  <w:rStyle w:val="InternetLink"/>
                </w:rPr>
                <w:t xml:space="preserve">Consent of Walkers (Hong Kong)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15.2*</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152.htm">
              <w:r>
                <w:rPr>
                  <w:rStyle w:val="InternetLink"/>
                </w:rPr>
                <w:t xml:space="preserve">Consent of Ernst &amp; Young, Hong Kong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    </w:t>
            </w:r>
            <w:r>
              <w:rPr/>
              <w:t>15.3*</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hyperlink w:anchor="d396630dex153.htm">
              <w:r>
                <w:rPr>
                  <w:rStyle w:val="InternetLink"/>
                </w:rPr>
                <w:t xml:space="preserve">Consent of Ernst &amp; Young LLP, Singapore </w:t>
              </w:r>
            </w:hyperlink>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r>
              <w:rPr/>
              <w:t>Inline XBRL Instance Document</w:t>
            </w:r>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r>
              <w:rPr/>
              <w:t>Inline XBRL Taxonomy Extension Schema Document</w:t>
            </w:r>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r>
              <w:rPr/>
              <w:t>Inline XBRL Taxonomy Extension Calculation Linkbase Document</w:t>
            </w:r>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r>
              <w:rPr/>
              <w:t>Inline XBRL Taxonomy Extension Definition Linkbase Document</w:t>
            </w:r>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r>
              <w:rPr/>
              <w:t>Inline XBRL Taxonomy Extension Label Linkbase Document</w:t>
            </w:r>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101.PRE*</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r>
              <w:rPr/>
              <w:t>Inline XBRL Taxonomy Extension Presentation Linkbase Document</w:t>
            </w:r>
          </w:p>
        </w:tc>
      </w:tr>
      <w:tr>
        <w:trPr/>
        <w:tc>
          <w:tcPr>
            <w:tcW w:w="916" w:type="dxa"/>
            <w:tcBorders/>
            <w:shd w:fill="auto" w:val="clear"/>
            <w:vAlign w:val="center"/>
          </w:tcPr>
          <w:p>
            <w:pPr>
              <w:pStyle w:val="TableContents"/>
              <w:spacing w:before="0" w:after="283"/>
              <w:rPr>
                <w:sz w:val="4"/>
                <w:szCs w:val="4"/>
              </w:rPr>
            </w:pPr>
            <w:r>
              <w:rPr>
                <w:sz w:val="4"/>
                <w:szCs w:val="4"/>
              </w:rPr>
            </w:r>
          </w:p>
        </w:tc>
        <w:tc>
          <w:tcPr>
            <w:tcW w:w="9289" w:type="dxa"/>
            <w:gridSpan w:val="2"/>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169"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pPr>
      <w:r>
        <w:rPr/>
        <w:t> </w:t>
      </w:r>
    </w:p>
    <w:tbl>
      <w:tblPr>
        <w:tblW w:w="3670" w:type="dxa"/>
        <w:jc w:val="left"/>
        <w:tblInd w:w="0" w:type="dxa"/>
        <w:tblCellMar>
          <w:top w:w="0" w:type="dxa"/>
          <w:left w:w="0" w:type="dxa"/>
          <w:bottom w:w="0" w:type="dxa"/>
          <w:right w:w="0" w:type="dxa"/>
        </w:tblCellMar>
      </w:tblPr>
      <w:tblGrid>
        <w:gridCol w:w="155"/>
        <w:gridCol w:w="3515"/>
      </w:tblGrid>
      <w:tr>
        <w:trPr/>
        <w:tc>
          <w:tcPr>
            <w:tcW w:w="155" w:type="dxa"/>
            <w:tcBorders/>
            <w:shd w:fill="auto" w:val="clear"/>
            <w:vAlign w:val="center"/>
          </w:tcPr>
          <w:p>
            <w:pPr>
              <w:pStyle w:val="TableContents"/>
              <w:spacing w:before="0" w:after="283"/>
              <w:jc w:val="left"/>
              <w:rPr/>
            </w:pPr>
            <w:r>
              <w:rPr/>
              <w:t>*</w:t>
            </w:r>
          </w:p>
        </w:tc>
        <w:tc>
          <w:tcPr>
            <w:tcW w:w="35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Filed with this annual report on Form 20-F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283"/>
              <w:jc w:val="left"/>
              <w:rPr/>
            </w:pPr>
            <w:r>
              <w:rPr/>
              <w:t>**</w:t>
            </w:r>
          </w:p>
        </w:tc>
        <w:tc>
          <w:tcPr>
            <w:tcW w:w="998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Certain portions of this exhibit have been redacted pursuant to Item 601(b)(10)(iv) of Regulation S-K. The omitted information is (i) not material and (ii) would likely cause competitive harm to the Company if publicly disclosed.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3" w:name="rom396630_80"/>
      <w:bookmarkEnd w:id="83"/>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The registrant hereby certifies that it meets all of the requirements for filing on Form 20-F and that it has duly caused and authorized the undersigned to sign this annual report on its behalf. </w:t>
      </w:r>
    </w:p>
    <w:p>
      <w:pPr>
        <w:pStyle w:val="TextBody"/>
        <w:spacing w:before="0" w:after="0"/>
        <w:jc w:val="left"/>
        <w:rPr/>
      </w:pPr>
      <w:r>
        <w:rPr/>
        <w:t> </w:t>
      </w:r>
    </w:p>
    <w:tbl>
      <w:tblPr>
        <w:tblW w:w="7774" w:type="dxa"/>
        <w:jc w:val="left"/>
        <w:tblInd w:w="0" w:type="dxa"/>
        <w:tblCellMar>
          <w:top w:w="0" w:type="dxa"/>
          <w:left w:w="0" w:type="dxa"/>
          <w:bottom w:w="0" w:type="dxa"/>
          <w:right w:w="0" w:type="dxa"/>
        </w:tblCellMar>
      </w:tblPr>
      <w:tblGrid>
        <w:gridCol w:w="1805"/>
        <w:gridCol w:w="60"/>
        <w:gridCol w:w="23"/>
        <w:gridCol w:w="60"/>
        <w:gridCol w:w="1317"/>
        <w:gridCol w:w="259"/>
        <w:gridCol w:w="4250"/>
      </w:tblGrid>
      <w:tr>
        <w:trPr/>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250" w:type="dxa"/>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826" w:type="dxa"/>
            <w:gridSpan w:val="3"/>
            <w:tcBorders/>
            <w:shd w:fill="auto" w:val="clear"/>
            <w:vAlign w:val="center"/>
          </w:tcPr>
          <w:p>
            <w:pPr>
              <w:pStyle w:val="TableContents"/>
              <w:spacing w:before="0" w:after="283"/>
              <w:rPr>
                <w:b/>
              </w:rPr>
            </w:pPr>
            <w:r>
              <w:rPr>
                <w:b/>
              </w:rPr>
              <w:t>MELCO RESORTS &amp; ENTERTAINMENT LIMITED</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1377" w:type="dxa"/>
            <w:gridSpan w:val="2"/>
            <w:tcBorders/>
            <w:shd w:fill="auto" w:val="clear"/>
            <w:vAlign w:val="center"/>
          </w:tcPr>
          <w:p>
            <w:pPr>
              <w:pStyle w:val="TableContents"/>
              <w:spacing w:before="0" w:after="283"/>
              <w:rPr>
                <w:sz w:val="4"/>
                <w:szCs w:val="4"/>
              </w:rPr>
            </w:pPr>
            <w:r>
              <w:rPr>
                <w:sz w:val="4"/>
                <w:szCs w:val="4"/>
              </w:rPr>
            </w:r>
          </w:p>
        </w:tc>
        <w:tc>
          <w:tcPr>
            <w:tcW w:w="4509" w:type="dxa"/>
            <w:gridSpan w:val="2"/>
            <w:tcBorders/>
            <w:shd w:fill="auto" w:val="clear"/>
            <w:vAlign w:val="center"/>
          </w:tcPr>
          <w:p>
            <w:pPr>
              <w:pStyle w:val="TableContents"/>
              <w:spacing w:before="0" w:after="283"/>
              <w:rPr>
                <w:sz w:val="4"/>
                <w:szCs w:val="4"/>
              </w:rPr>
            </w:pPr>
            <w:r>
              <w:rPr>
                <w:sz w:val="4"/>
                <w:szCs w:val="4"/>
              </w:rPr>
            </w:r>
          </w:p>
        </w:tc>
      </w:tr>
      <w:tr>
        <w:trPr/>
        <w:tc>
          <w:tcPr>
            <w:tcW w:w="18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Date: March 31, 2023</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17" w:type="dxa"/>
            <w:tcBorders/>
            <w:shd w:fill="auto" w:val="clear"/>
            <w:vAlign w:val="center"/>
          </w:tcPr>
          <w:p>
            <w:pPr>
              <w:pStyle w:val="TableContents"/>
              <w:spacing w:before="0" w:after="283"/>
              <w:rPr/>
            </w:pPr>
            <w:r>
              <w:rPr/>
              <w:t>By:</w:t>
            </w:r>
          </w:p>
        </w:tc>
        <w:tc>
          <w:tcPr>
            <w:tcW w:w="259"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Lawrence Yau Lung Ho</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1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rPr/>
            </w:pPr>
            <w:r>
              <w:rPr/>
              <w:t>Name: Lawrence Yau Lung Ho</w:t>
            </w:r>
          </w:p>
        </w:tc>
      </w:tr>
      <w:tr>
        <w:trPr/>
        <w:tc>
          <w:tcPr>
            <w:tcW w:w="1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17"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pPr>
            <w:r>
              <w:rPr/>
              <w:t> </w:t>
            </w:r>
          </w:p>
        </w:tc>
        <w:tc>
          <w:tcPr>
            <w:tcW w:w="4250" w:type="dxa"/>
            <w:tcBorders/>
            <w:shd w:fill="auto" w:val="clear"/>
            <w:vAlign w:val="center"/>
          </w:tcPr>
          <w:p>
            <w:pPr>
              <w:pStyle w:val="TableContents"/>
              <w:spacing w:before="0" w:after="283"/>
              <w:rPr/>
            </w:pPr>
            <w:r>
              <w:rPr/>
              <w:t>Title: Chairman and Chief Executive Officer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rPr/>
      </w:pPr>
      <w:r>
        <w:rPr/>
      </w:r>
    </w:p>
    <w:p>
      <w:pPr>
        <w:pStyle w:val="Heading5"/>
        <w:rPr/>
      </w:pPr>
      <w:hyperlink w:anchor="toc">
        <w:r>
          <w:rPr>
            <w:rStyle w:val="InternetLink"/>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INDEX TO CONSOLIDATED FINANCIAL STATEMENTS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FOR THE YEARS ENDED DECEMBER 31, 2022, 2021 AND 2020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9495"/>
        <w:gridCol w:w="120"/>
        <w:gridCol w:w="106"/>
        <w:gridCol w:w="409"/>
        <w:gridCol w:w="75"/>
      </w:tblGrid>
      <w:tr>
        <w:trPr/>
        <w:tc>
          <w:tcPr>
            <w:tcW w:w="9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15" w:type="dxa"/>
            <w:gridSpan w:val="2"/>
            <w:tcBorders/>
            <w:shd w:fill="auto" w:val="cle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0"/>
              <w:rPr/>
            </w:pPr>
            <w:hyperlink w:anchor="fin396630_1">
              <w:r>
                <w:rPr>
                  <w:rStyle w:val="InternetLink"/>
                  <w:rFonts w:ascii="Times New Roman" w:hAnsi="Times New Roman"/>
                  <w:spacing w:val="0"/>
                  <w:sz w:val="20"/>
                </w:rPr>
                <w:t>Reports of Independent Registered Public Accounting Firm (PCAOB ID: 1247 and 1409)</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F-2</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fin396630_2">
              <w:r>
                <w:rPr>
                  <w:rStyle w:val="InternetLink"/>
                  <w:rFonts w:ascii="Times New Roman" w:hAnsi="Times New Roman"/>
                  <w:spacing w:val="0"/>
                  <w:sz w:val="20"/>
                </w:rPr>
                <w:t>Consolidated Balance Sheets as of December 31, 2022 and 2021</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8</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fin396630_3">
              <w:r>
                <w:rPr>
                  <w:rStyle w:val="InternetLink"/>
                  <w:rFonts w:ascii="Times New Roman" w:hAnsi="Times New Roman"/>
                  <w:spacing w:val="0"/>
                  <w:sz w:val="20"/>
                </w:rPr>
                <w:t>Consolidated Statements of Operations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0</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fin396630_4">
              <w:r>
                <w:rPr>
                  <w:rStyle w:val="InternetLink"/>
                  <w:rFonts w:ascii="Times New Roman" w:hAnsi="Times New Roman"/>
                  <w:spacing w:val="0"/>
                  <w:sz w:val="20"/>
                </w:rPr>
                <w:t>Consolidated Statements of Comprehensive Loss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2</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ind w:left="0" w:right="0" w:hanging="0"/>
              <w:rPr/>
            </w:pPr>
            <w:hyperlink w:anchor="fin396630_5">
              <w:r>
                <w:rPr>
                  <w:rStyle w:val="InternetLink"/>
                  <w:rFonts w:ascii="Times New Roman" w:hAnsi="Times New Roman"/>
                  <w:spacing w:val="0"/>
                  <w:sz w:val="20"/>
                </w:rPr>
                <w:t>Consolidated Statements of (Deficit) Equity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3</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fin396630_6">
              <w:r>
                <w:rPr>
                  <w:rStyle w:val="InternetLink"/>
                  <w:rFonts w:ascii="Times New Roman" w:hAnsi="Times New Roman"/>
                  <w:spacing w:val="0"/>
                  <w:sz w:val="20"/>
                </w:rPr>
                <w:t>Consolidated Statements of Cash Flows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F-1</w:t>
            </w:r>
          </w:p>
          <w:p>
            <w:pPr>
              <w:pStyle w:val="TableContents"/>
              <w:spacing w:before="0" w:after="0"/>
              <w:jc w:val="right"/>
              <w:rPr>
                <w:spacing w:val="0"/>
              </w:rPr>
            </w:pPr>
            <w:r>
              <w:rPr>
                <w:spacing w:val="0"/>
              </w:rPr>
              <w:t>4</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fin396630_7">
              <w:r>
                <w:rPr>
                  <w:rStyle w:val="InternetLink"/>
                  <w:rFonts w:ascii="Times New Roman" w:hAnsi="Times New Roman"/>
                  <w:spacing w:val="0"/>
                  <w:sz w:val="20"/>
                </w:rPr>
                <w:t>Notes to Consolidated Financial Statements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1</w:t>
            </w:r>
          </w:p>
          <w:p>
            <w:pPr>
              <w:pStyle w:val="TableContents"/>
              <w:spacing w:before="0" w:after="0"/>
              <w:jc w:val="right"/>
              <w:rPr>
                <w:spacing w:val="0"/>
              </w:rPr>
            </w:pPr>
            <w:r>
              <w:rPr>
                <w:spacing w:val="0"/>
              </w:rPr>
              <w:t>6</w:t>
            </w:r>
          </w:p>
        </w:tc>
        <w:tc>
          <w:tcPr>
            <w:tcW w:w="75" w:type="dxa"/>
            <w:tcBorders/>
            <w:shd w:fill="auto" w:val="clear"/>
            <w:vAlign w:val="center"/>
          </w:tcPr>
          <w:p>
            <w:pPr>
              <w:pStyle w:val="TableContents"/>
              <w:spacing w:before="0" w:after="0"/>
              <w:rPr>
                <w:spacing w:val="0"/>
              </w:rPr>
            </w:pPr>
            <w:r>
              <w:rPr>
                <w:spacing w:val="0"/>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fin396630_8">
              <w:r>
                <w:rPr>
                  <w:rStyle w:val="InternetLink"/>
                  <w:rFonts w:ascii="Times New Roman" w:hAnsi="Times New Roman"/>
                  <w:spacing w:val="0"/>
                  <w:sz w:val="20"/>
                </w:rPr>
                <w:t>Schedule 1 – Melco Resorts &amp; Entertainment Limited Condensed Financial Statements as of December 31, 2022 and 2021 and for the Years Ended December 31, 2022, 2021 and 2020</w:t>
              </w:r>
            </w:hyperlink>
          </w:p>
        </w:tc>
        <w:tc>
          <w:tcPr>
            <w:tcW w:w="120" w:type="dxa"/>
            <w:tcBorders/>
            <w:shd w:fill="auto" w:val="clear"/>
            <w:vAlign w:val="center"/>
          </w:tcPr>
          <w:p>
            <w:pPr>
              <w:pStyle w:val="TableContents"/>
              <w:spacing w:before="0" w:after="0"/>
              <w:rPr>
                <w:spacing w:val="0"/>
              </w:rPr>
            </w:pPr>
            <w:r>
              <w:rPr>
                <w:spacing w:val="0"/>
              </w:rPr>
              <w:t>  </w:t>
            </w:r>
          </w:p>
        </w:tc>
        <w:tc>
          <w:tcPr>
            <w:tcW w:w="106" w:type="dxa"/>
            <w:tcBorders/>
            <w:shd w:fill="auto" w:val="clear"/>
            <w:vAlign w:val="center"/>
          </w:tcPr>
          <w:p>
            <w:pPr>
              <w:pStyle w:val="TableContents"/>
              <w:spacing w:before="0" w:after="0"/>
              <w:rPr>
                <w:spacing w:val="0"/>
              </w:rPr>
            </w:pPr>
            <w:r>
              <w:rPr>
                <w:spacing w:val="0"/>
              </w:rPr>
              <w:t> </w:t>
            </w:r>
          </w:p>
        </w:tc>
        <w:tc>
          <w:tcPr>
            <w:tcW w:w="409" w:type="dxa"/>
            <w:tcBorders/>
            <w:shd w:fill="auto" w:val="clear"/>
            <w:vAlign w:val="center"/>
          </w:tcPr>
          <w:p>
            <w:pPr>
              <w:pStyle w:val="TableContents"/>
              <w:spacing w:before="0" w:after="0"/>
              <w:jc w:val="right"/>
              <w:rPr>
                <w:spacing w:val="0"/>
              </w:rPr>
            </w:pPr>
            <w:r>
              <w:rPr>
                <w:spacing w:val="0"/>
              </w:rPr>
              <w:t>F-</w:t>
            </w:r>
          </w:p>
          <w:p>
            <w:pPr>
              <w:pStyle w:val="TableContents"/>
              <w:spacing w:before="0" w:after="0"/>
              <w:jc w:val="right"/>
              <w:rPr>
                <w:spacing w:val="0"/>
              </w:rPr>
            </w:pPr>
            <w:r>
              <w:rPr>
                <w:spacing w:val="0"/>
              </w:rPr>
              <w:t>8</w:t>
            </w:r>
          </w:p>
          <w:p>
            <w:pPr>
              <w:pStyle w:val="TableContents"/>
              <w:spacing w:before="0" w:after="0"/>
              <w:jc w:val="right"/>
              <w:rPr>
                <w:spacing w:val="0"/>
              </w:rPr>
            </w:pPr>
            <w:r>
              <w:rPr>
                <w:spacing w:val="0"/>
              </w:rPr>
              <w:t>8</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F-1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Shareholders and the Board of Directors of Melco Resorts &amp; Entertainment Limited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 of Melco Resorts &amp; Entertainment Limited (the Company) as of December 31, 2022, the related consolidated statements of operations, comprehensive loss, (deficit) equity and cash flows for the year ended December 31, 2022,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ended December 31, 2022, in conformity with U.S. generally accepted accounting principles.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31, 2023 expressed an unqualified opinion thereon.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Critical Audit Matters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1486"/>
        <w:gridCol w:w="120"/>
        <w:gridCol w:w="8599"/>
      </w:tblGrid>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99"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0"/>
              <w:rPr>
                <w:b/>
                <w:i/>
                <w:caps w:val="false"/>
                <w:smallCaps w:val="false"/>
                <w:spacing w:val="0"/>
              </w:rPr>
            </w:pPr>
            <w:r>
              <w:rPr>
                <w:b/>
                <w:i/>
                <w:caps w:val="false"/>
                <w:smallCaps w:val="false"/>
                <w:spacing w:val="0"/>
              </w:rPr>
              <w:t>Impairment assessment of long-lived assets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0"/>
              <w:rPr>
                <w:i/>
                <w:caps w:val="false"/>
                <w:smallCaps w:val="false"/>
                <w:spacing w:val="0"/>
              </w:rPr>
            </w:pPr>
            <w:r>
              <w:rPr>
                <w:i/>
                <w:caps w:val="false"/>
                <w:smallCaps w:val="false"/>
                <w:spacing w:val="0"/>
              </w:rPr>
              <w:t>Description of the Matter</w:t>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At December 31, 2022, the Company’s long-lived asset groups to be held an</w:t>
            </w:r>
          </w:p>
          <w:p>
            <w:pPr>
              <w:pStyle w:val="TableContents"/>
              <w:spacing w:before="0" w:after="0"/>
              <w:rPr>
                <w:rFonts w:ascii="Times New Roman" w:hAnsi="Times New Roman"/>
                <w:spacing w:val="0"/>
                <w:sz w:val="20"/>
              </w:rPr>
            </w:pPr>
            <w:r>
              <w:rPr>
                <w:rFonts w:ascii="Times New Roman" w:hAnsi="Times New Roman"/>
                <w:spacing w:val="0"/>
                <w:sz w:val="20"/>
              </w:rPr>
              <w:t>d used c</w:t>
            </w:r>
          </w:p>
          <w:p>
            <w:pPr>
              <w:pStyle w:val="TableContents"/>
              <w:spacing w:before="0" w:after="0"/>
              <w:rPr>
                <w:rFonts w:ascii="Times New Roman" w:hAnsi="Times New Roman"/>
                <w:spacing w:val="0"/>
                <w:sz w:val="20"/>
              </w:rPr>
            </w:pPr>
            <w:r>
              <w:rPr>
                <w:rFonts w:ascii="Times New Roman" w:hAnsi="Times New Roman"/>
                <w:spacing w:val="0"/>
                <w:sz w:val="20"/>
              </w:rPr>
              <w:t>omprised of property and equipment, other finite-lived intangible assets, land use rights and operating lease right-of-use assets, were $6.64 billion. As described in Note 2(p) to the consolidated financial statements, long-lived assets (asset groups) with finite lives to be held and used are evaluated for impairment whenever indicators of impairment exist. As the Company generated operating losses due to the severe decline in overall market conditions resulting from the continuing impact of COVID-19 during 2022, the Company evaluated its asset groups for recoverability as of December 31, 2022 and concluded no impairment existed at that date.</w:t>
            </w:r>
          </w:p>
          <w:p>
            <w:pPr>
              <w:pStyle w:val="TableContents"/>
              <w:spacing w:before="0" w:after="0"/>
              <w:rPr>
                <w:spacing w:val="0"/>
              </w:rPr>
            </w:pPr>
            <w:r>
              <w:rPr>
                <w:spacing w:val="0"/>
              </w:rPr>
              <w:t> </w:t>
            </w:r>
          </w:p>
          <w:p>
            <w:pPr>
              <w:pStyle w:val="TableContents"/>
              <w:spacing w:before="0" w:after="20"/>
              <w:rPr>
                <w:rFonts w:ascii="Times New Roman" w:hAnsi="Times New Roman"/>
                <w:spacing w:val="0"/>
                <w:sz w:val="20"/>
              </w:rPr>
            </w:pPr>
            <w:r>
              <w:rPr>
                <w:rFonts w:ascii="Times New Roman" w:hAnsi="Times New Roman"/>
                <w:spacing w:val="0"/>
                <w:sz w:val="20"/>
              </w:rPr>
              <w:t>Auditing management’s impairment assessments involved a high degree of subjectivity due to the significant estimations required to determine the projected future undiscounted cash flows of the asset groups. In particular, these estimates are sensitive to significant assumptions including future revenue growth rates and gross margins, which can be affected by expectations about future market and economic conditions, including the continuing impact of COVID-19.</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0"/>
              <w:rPr>
                <w:i/>
                <w:caps w:val="false"/>
                <w:smallCaps w:val="false"/>
                <w:spacing w:val="0"/>
              </w:rPr>
            </w:pPr>
            <w:r>
              <w:rPr>
                <w:i/>
                <w:caps w:val="false"/>
                <w:smallCaps w:val="false"/>
                <w:spacing w:val="0"/>
              </w:rPr>
              <w:t>How We Addressed the Matter in Our Audit</w:t>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 obtained an understanding, evaluated the design and tested the operating effectiveness of controls over the Company’s impairment assessment process. For example, we tested the controls over management’s identification of impairment indicators as well as management’s review of the significant assumptions described above used to develop the undiscounted cash flow projections of the asset groups.</w:t>
            </w:r>
          </w:p>
          <w:p>
            <w:pPr>
              <w:pStyle w:val="TableContents"/>
              <w:spacing w:before="0" w:after="0"/>
              <w:rPr>
                <w:spacing w:val="0"/>
              </w:rPr>
            </w:pPr>
            <w:r>
              <w:rPr>
                <w:spacing w:val="0"/>
              </w:rPr>
              <w:t> </w:t>
            </w:r>
          </w:p>
          <w:p>
            <w:pPr>
              <w:pStyle w:val="TableContents"/>
              <w:spacing w:before="0" w:after="20"/>
              <w:rPr>
                <w:rFonts w:ascii="Times New Roman" w:hAnsi="Times New Roman"/>
                <w:spacing w:val="0"/>
                <w:sz w:val="20"/>
              </w:rPr>
            </w:pPr>
            <w:r>
              <w:rPr>
                <w:rFonts w:ascii="Times New Roman" w:hAnsi="Times New Roman"/>
                <w:spacing w:val="0"/>
                <w:sz w:val="20"/>
              </w:rPr>
              <w:t>To test the Company’s impairment assessments of the asset groups, our audit procedures included, among others, evaluating the significant assumptions used to develop the projected future cash flows of the asset groups and testing the completeness and accuracy of the underlying data used by the Company. We compared the significant assumptions, including future revenue growth rates and gross margins, to current industry and economic trends, including the impact of COVID-19, as well as to changes in the Company’s strategic plans. We assessed the historical accuracy of the Company’s cash flow projections by comparing them with actual operating results. We performed sensitivity analyses of the significant assumptions, to evaluate the changes in the future cash flows that could result from changes in the assumptions.</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0"/>
              <w:rPr>
                <w:b/>
                <w:i/>
                <w:caps w:val="false"/>
                <w:smallCaps w:val="false"/>
                <w:spacing w:val="0"/>
              </w:rPr>
            </w:pPr>
            <w:r>
              <w:rPr>
                <w:b/>
                <w:i/>
                <w:caps w:val="false"/>
                <w:smallCaps w:val="false"/>
                <w:spacing w:val="0"/>
              </w:rPr>
              <w:t>Impairment assessment of goodwill</w:t>
            </w:r>
          </w:p>
        </w:tc>
      </w:tr>
      <w:tr>
        <w:trPr/>
        <w:tc>
          <w:tcPr>
            <w:tcW w:w="14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0"/>
              <w:rPr>
                <w:i/>
                <w:caps w:val="false"/>
                <w:smallCaps w:val="false"/>
                <w:spacing w:val="0"/>
              </w:rPr>
            </w:pPr>
            <w:r>
              <w:rPr>
                <w:i/>
                <w:caps w:val="false"/>
                <w:smallCaps w:val="false"/>
                <w:spacing w:val="0"/>
              </w:rPr>
              <w:t>Description of the Matter</w:t>
            </w:r>
          </w:p>
        </w:tc>
        <w:tc>
          <w:tcPr>
            <w:tcW w:w="120" w:type="dxa"/>
            <w:tcBorders/>
            <w:shd w:fill="auto" w:val="clear"/>
            <w:vAlign w:val="center"/>
          </w:tcPr>
          <w:p>
            <w:pPr>
              <w:pStyle w:val="TableContents"/>
              <w:spacing w:before="0" w:after="0"/>
              <w:rPr>
                <w:spacing w:val="0"/>
              </w:rPr>
            </w:pPr>
            <w:r>
              <w:rPr>
                <w:spacing w:val="0"/>
              </w:rPr>
              <w:t>  </w:t>
            </w:r>
          </w:p>
        </w:tc>
        <w:tc>
          <w:tcPr>
            <w:tcW w:w="8599"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As described in Notes 2(o) and 9 to the consolidated financial statements, the balance of goodwill was $81.6 million as of December 31, 2022. Goodwill is assessed at least annually for impairment, or when circumstances indicate that the carrying value of goodwill may not be recoverable. The Company performed a quantitative assessment of the reporting unit by estimating its fair value based on an income approach and concluded no impairment existed.</w:t>
            </w:r>
          </w:p>
          <w:p>
            <w:pPr>
              <w:pStyle w:val="TableContents"/>
              <w:spacing w:before="0" w:after="0"/>
              <w:rPr>
                <w:spacing w:val="0"/>
              </w:rPr>
            </w:pPr>
            <w:r>
              <w:rPr>
                <w:spacing w:val="0"/>
              </w:rPr>
              <w:t> </w:t>
            </w:r>
          </w:p>
          <w:p>
            <w:pPr>
              <w:pStyle w:val="TableContents"/>
              <w:spacing w:before="0" w:after="20"/>
              <w:rPr>
                <w:rFonts w:ascii="Times New Roman" w:hAnsi="Times New Roman"/>
                <w:spacing w:val="0"/>
                <w:sz w:val="20"/>
              </w:rPr>
            </w:pPr>
            <w:r>
              <w:rPr>
                <w:rFonts w:ascii="Times New Roman" w:hAnsi="Times New Roman"/>
                <w:spacing w:val="0"/>
                <w:sz w:val="20"/>
              </w:rPr>
              <w:t>Auditing management’s impairment assessment of goodwill involved subjectivity due to the significant estimation required to determine the fair value of the reporting unit. In particular, the fair value estimate is sensitive to significant assumptions, including future revenue growth rates, gross margin, the terminal growth rate and the discount rate, which can be affected by expectations about future market and economic conditions, including the impact of COVID-19.</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1284"/>
        <w:gridCol w:w="120"/>
        <w:gridCol w:w="8801"/>
      </w:tblGrid>
      <w:tr>
        <w:trPr/>
        <w:tc>
          <w:tcPr>
            <w:tcW w:w="12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801" w:type="dxa"/>
            <w:tcBorders/>
            <w:shd w:fill="auto" w:val="clear"/>
            <w:vAlign w:val="center"/>
          </w:tcPr>
          <w:p>
            <w:pPr>
              <w:pStyle w:val="TableContents"/>
              <w:spacing w:before="0" w:after="283"/>
              <w:rPr>
                <w:sz w:val="4"/>
                <w:szCs w:val="4"/>
              </w:rPr>
            </w:pPr>
            <w:r>
              <w:rPr>
                <w:sz w:val="4"/>
                <w:szCs w:val="4"/>
              </w:rPr>
            </w:r>
          </w:p>
        </w:tc>
      </w:tr>
      <w:tr>
        <w:trPr/>
        <w:tc>
          <w:tcPr>
            <w:tcW w:w="1284" w:type="dxa"/>
            <w:tcBorders/>
            <w:shd w:fill="auto" w:val="clear"/>
            <w:vAlign w:val="center"/>
          </w:tcPr>
          <w:p>
            <w:pPr>
              <w:pStyle w:val="TableContents"/>
              <w:spacing w:before="0" w:after="0"/>
              <w:rPr>
                <w:i/>
                <w:caps w:val="false"/>
                <w:smallCaps w:val="false"/>
                <w:spacing w:val="0"/>
              </w:rPr>
            </w:pPr>
            <w:r>
              <w:rPr>
                <w:i/>
                <w:caps w:val="false"/>
                <w:smallCaps w:val="false"/>
                <w:spacing w:val="0"/>
              </w:rPr>
              <w:t>How We Addressed the Matter in Our Audit</w:t>
            </w:r>
          </w:p>
        </w:tc>
        <w:tc>
          <w:tcPr>
            <w:tcW w:w="120" w:type="dxa"/>
            <w:tcBorders/>
            <w:shd w:fill="auto" w:val="clear"/>
            <w:vAlign w:val="center"/>
          </w:tcPr>
          <w:p>
            <w:pPr>
              <w:pStyle w:val="TableContents"/>
              <w:spacing w:before="0" w:after="0"/>
              <w:rPr>
                <w:spacing w:val="0"/>
              </w:rPr>
            </w:pPr>
            <w:r>
              <w:rPr>
                <w:spacing w:val="0"/>
              </w:rPr>
              <w:t>  </w:t>
            </w:r>
          </w:p>
        </w:tc>
        <w:tc>
          <w:tcPr>
            <w:tcW w:w="8801"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 obtained an understanding, evaluated the design and tested the operating effectiveness of controls over the Company’s impairment assessment of goodwill process, including management’s review of the significant assumptions described above used in estimating the fair value of the reporting unit.</w:t>
            </w:r>
          </w:p>
          <w:p>
            <w:pPr>
              <w:pStyle w:val="TableContents"/>
              <w:spacing w:before="0" w:after="0"/>
              <w:rPr>
                <w:spacing w:val="0"/>
              </w:rPr>
            </w:pPr>
            <w:r>
              <w:rPr>
                <w:spacing w:val="0"/>
              </w:rPr>
              <w:t> </w:t>
            </w:r>
          </w:p>
          <w:p>
            <w:pPr>
              <w:pStyle w:val="TableContents"/>
              <w:spacing w:before="0" w:after="20"/>
              <w:rPr>
                <w:rFonts w:ascii="Times New Roman" w:hAnsi="Times New Roman"/>
                <w:spacing w:val="0"/>
                <w:sz w:val="20"/>
              </w:rPr>
            </w:pPr>
            <w:r>
              <w:rPr>
                <w:rFonts w:ascii="Times New Roman" w:hAnsi="Times New Roman"/>
                <w:spacing w:val="0"/>
                <w:sz w:val="20"/>
              </w:rPr>
              <w:t>To test the goodwill impairment assessment, our audit procedures included, among others, evaluating the significant assumptions used to estimate fair value and testing the completeness and accuracy of the underlying data used in the discounted cash flow model by the Company. We compared the significant assumptions to current industry and economic trends, including the impact of COVID-19, as well as to changes in the Company’s strategic plans. We assessed the historical accuracy of the Company’s estimated cash flow forecasts by comparing them with actual operating results. We involved our valuation specialists to assist in assessing the Company’s valuation methodology and evaluating the discount rate by comparing it to discount rates that were independently developed using observable market information. We recalculated the fair value of the reporting unit based on management’s significant assumptions and compared it to their carrying value. Furthermore, we performed sensitivity analyses of the significant assumptions to evaluate the changes in the fair value of the reporting unit that could result from changes in the assumptions.</w:t>
            </w:r>
          </w:p>
        </w:tc>
      </w:tr>
    </w:tbl>
    <w:p>
      <w:pPr>
        <w:pStyle w:val="TextBody"/>
        <w:spacing w:before="360" w:after="0"/>
        <w:ind w:left="0" w:right="0" w:hanging="0"/>
        <w:jc w:val="left"/>
        <w:rPr>
          <w:rFonts w:ascii="Times New Roman" w:hAnsi="Times New Roman"/>
          <w:spacing w:val="0"/>
          <w:sz w:val="20"/>
        </w:rPr>
      </w:pPr>
      <w:r>
        <w:rPr>
          <w:rFonts w:ascii="Times New Roman" w:hAnsi="Times New Roman"/>
          <w:spacing w:val="0"/>
          <w:sz w:val="20"/>
        </w:rPr>
        <w:t xml:space="preserve">/s/ Ernst &amp; Young LLP </w:t>
      </w:r>
    </w:p>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2022.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Singapore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March 31, 2023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Shareholders and the Board of Directors of Melco Resorts &amp; Entertainment Limited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audited the accompanying consolidated balance sheet of Melco Resorts &amp; Entertainment Limited (the Company) as of December 31, 2021, the related consolidated statements of operations, comprehensive loss, equity and cash flows for each of the two years in the period ended December 31, 2021, and the related notes and the financial statement schedule included in Schedule 1 (collectively referred to as the “consolidated financial statements”). In our opinion, the consolidated financial statements present fairly, in all material respects, the financial position of the Company at December 31, 2021, and the results of its operations and its cash flows for each of the two years in the period ended December 31, 2021, in conformity with U.S. generally accepted accounting principles.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/s/ Ernst &amp; Young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served as the Company’s auditor from 2017 to 2022. </w:t>
      </w:r>
    </w:p>
    <w:p>
      <w:pPr>
        <w:pStyle w:val="TextBody"/>
        <w:spacing w:before="360" w:after="0"/>
        <w:jc w:val="left"/>
        <w:rPr>
          <w:rFonts w:ascii="Times New Roman" w:hAnsi="Times New Roman"/>
          <w:spacing w:val="0"/>
          <w:sz w:val="20"/>
        </w:rPr>
      </w:pPr>
      <w:r>
        <w:rPr>
          <w:rFonts w:ascii="Times New Roman" w:hAnsi="Times New Roman"/>
          <w:spacing w:val="0"/>
          <w:sz w:val="20"/>
        </w:rPr>
        <w:t xml:space="preserve">Hong Kong, the People’s Republic of China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March 31, 2022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Shareholders and the Board of Directors of Melco Resorts &amp; Entertainment Limited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Opinion on Internal Control Over Financial Reporting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We have audited Melco Resorts &amp; Entertainment Limited’s internal control over financial reporting as of December 31, 2022, based on criteria established in Internal Control - Integrated Framework issued by the Committee of Sponsoring Organizations of the Treadway Commission (2013 framework) (the COSO criteria). In our opinion, Melco Resorts &amp; Entertainment Limited (the Company) maintained, in all material respects, effective internal control over financial reporting as of December 31, 2022, based on the COSO criteria. </w:t>
      </w:r>
    </w:p>
    <w:p>
      <w:pPr>
        <w:pStyle w:val="TextBody"/>
        <w:spacing w:before="240" w:after="0"/>
        <w:ind w:left="0" w:right="0" w:hanging="0"/>
        <w:jc w:val="left"/>
        <w:rPr>
          <w:rFonts w:ascii="Times New Roman" w:hAnsi="Times New Roman"/>
          <w:spacing w:val="0"/>
          <w:sz w:val="20"/>
        </w:rPr>
      </w:pPr>
      <w:r>
        <w:rPr>
          <w:rFonts w:ascii="Times New Roman" w:hAnsi="Times New Roman"/>
          <w:spacing w:val="0"/>
          <w:sz w:val="20"/>
        </w:rPr>
        <w:t xml:space="preserve">We also have audited, in accordance with the standards of the Public Company Accounting Oversight Board (United States) (PCAOB), the consolidated balance sheet of the Company as of December 31, 2022, the related consolidated statements of operations, comprehensive loss, (deficit) equity, and cash flows for the year ended December 31, 2022, and the related notes and the financial statement schedule included in Schedule 1, and our report dated March 31, 2023 expressed an unqualified opinion thereon.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Definition and Limitations of Internal Control Over Financial Reporting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360" w:after="0"/>
        <w:ind w:left="0" w:right="0" w:hanging="0"/>
        <w:jc w:val="left"/>
        <w:rPr>
          <w:rFonts w:ascii="Times New Roman" w:hAnsi="Times New Roman"/>
          <w:spacing w:val="0"/>
          <w:sz w:val="20"/>
        </w:rPr>
      </w:pPr>
      <w:r>
        <w:rPr>
          <w:rFonts w:ascii="Times New Roman" w:hAnsi="Times New Roman"/>
          <w:spacing w:val="0"/>
          <w:sz w:val="20"/>
        </w:rPr>
        <w:t xml:space="preserve">/s/ </w:t>
      </w:r>
    </w:p>
    <w:p>
      <w:pPr>
        <w:pStyle w:val="TextBody"/>
        <w:spacing w:before="360" w:after="0"/>
        <w:jc w:val="left"/>
        <w:rPr>
          <w:rFonts w:ascii="Times New Roman" w:hAnsi="Times New Roman"/>
          <w:spacing w:val="0"/>
          <w:sz w:val="20"/>
        </w:rPr>
      </w:pPr>
      <w:r>
        <w:rPr>
          <w:rFonts w:ascii="Times New Roman" w:hAnsi="Times New Roman"/>
          <w:spacing w:val="0"/>
          <w:sz w:val="20"/>
        </w:rPr>
        <w:t>Ernst &amp; Young LLP</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Singapore </w:t>
      </w:r>
    </w:p>
    <w:p>
      <w:pPr>
        <w:pStyle w:val="TextBody"/>
        <w:spacing w:before="0" w:after="0"/>
        <w:jc w:val="left"/>
        <w:rPr>
          <w:rFonts w:ascii="Times New Roman" w:hAnsi="Times New Roman"/>
          <w:spacing w:val="0"/>
          <w:sz w:val="20"/>
        </w:rPr>
      </w:pPr>
      <w:r>
        <w:rPr>
          <w:rFonts w:ascii="Times New Roman" w:hAnsi="Times New Roman"/>
          <w:spacing w:val="0"/>
          <w:sz w:val="20"/>
        </w:rPr>
        <w:t>March 31, 2023</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p>
      <w:pPr>
        <w:pStyle w:val="TextBody"/>
        <w:spacing w:before="0" w:after="0"/>
        <w:jc w:val="left"/>
        <w:rPr>
          <w:sz w:val="24"/>
        </w:rPr>
      </w:pPr>
      <w:r>
        <w:rPr>
          <w:sz w:val="24"/>
        </w:rPr>
      </w:r>
    </w:p>
    <w:tbl>
      <w:tblPr>
        <w:tblW w:w="10205" w:type="dxa"/>
        <w:jc w:val="left"/>
        <w:tblInd w:w="0" w:type="dxa"/>
        <w:tblCellMar>
          <w:top w:w="0" w:type="dxa"/>
          <w:left w:w="0" w:type="dxa"/>
          <w:bottom w:w="0" w:type="dxa"/>
          <w:right w:w="0" w:type="dxa"/>
        </w:tblCellMar>
      </w:tblPr>
      <w:tblGrid>
        <w:gridCol w:w="7590"/>
        <w:gridCol w:w="120"/>
        <w:gridCol w:w="140"/>
        <w:gridCol w:w="980"/>
        <w:gridCol w:w="60"/>
        <w:gridCol w:w="120"/>
        <w:gridCol w:w="140"/>
        <w:gridCol w:w="980"/>
        <w:gridCol w:w="75"/>
      </w:tblGrid>
      <w:tr>
        <w:trPr/>
        <w:tc>
          <w:tcPr>
            <w:tcW w:w="75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5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20" w:type="dxa"/>
            <w:gridSpan w:val="6"/>
            <w:tcBorders/>
            <w:shd w:fill="auto" w:val="clear"/>
            <w:vAlign w:val="center"/>
          </w:tcPr>
          <w:p>
            <w:pPr>
              <w:pStyle w:val="TableContents"/>
              <w:spacing w:before="0" w:after="283"/>
              <w:jc w:val="center"/>
              <w:rPr/>
            </w:pPr>
            <w:r>
              <w:rPr/>
              <w:t>December 31,</w:t>
            </w:r>
          </w:p>
        </w:tc>
        <w:tc>
          <w:tcPr>
            <w:tcW w:w="75" w:type="dxa"/>
            <w:tcBorders/>
            <w:shd w:fill="auto" w:val="clear"/>
            <w:vAlign w:val="center"/>
          </w:tcPr>
          <w:p>
            <w:pPr>
              <w:pStyle w:val="TableContents"/>
              <w:spacing w:before="0" w:after="283"/>
              <w:rPr/>
            </w:pPr>
            <w:r>
              <w:rPr/>
              <w:t> </w:t>
            </w:r>
          </w:p>
        </w:tc>
      </w:tr>
      <w:tr>
        <w:trPr/>
        <w:tc>
          <w:tcPr>
            <w:tcW w:w="75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pPr>
            <w:r>
              <w:rPr/>
              <w:t>2021</w:t>
            </w:r>
          </w:p>
        </w:tc>
        <w:tc>
          <w:tcPr>
            <w:tcW w:w="75" w:type="dxa"/>
            <w:tcBorders/>
            <w:shd w:fill="auto"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1,812,729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1,652,890</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cash</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50,992</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285</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receivable, net of allowances for credit losses of $202,278 and $253,424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55,992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54,491</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Receivables from affiliated companies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630</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384</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Inventories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26,416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29,589</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119,410</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109,330</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Assets held for sale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8,503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21,777</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assets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2,074,672</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1,868,746</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5,870,905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5,910,684</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Gaming subconcession, net</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 xml:space="preserve">—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27,065</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Intangible assets,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43,610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51,547</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Goodwill</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81,606</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81,721</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prepayments, deposits and other assets, net of allowances for credit losses of $14,966 and $14,989</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159,697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177,142</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Receivables from an affiliated company</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216,333</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lineRule="atLeast" w:line="141" w:before="0" w:after="0"/>
              <w:rPr>
                <w:spacing w:val="0"/>
              </w:rPr>
            </w:pPr>
            <w:r>
              <w:rPr>
                <w:spacing w:val="0"/>
              </w:rPr>
              <w:t> </w:t>
            </w:r>
          </w:p>
        </w:tc>
        <w:tc>
          <w:tcPr>
            <w:tcW w:w="120" w:type="dxa"/>
            <w:tcBorders/>
            <w:shd w:fill="FFFFFF" w:val="clear"/>
            <w:vAlign w:val="center"/>
          </w:tcPr>
          <w:p>
            <w:pPr>
              <w:pStyle w:val="TableContents"/>
              <w:spacing w:lineRule="atLeast" w:line="141" w:before="0" w:after="0"/>
              <w:rPr>
                <w:spacing w:val="0"/>
              </w:rPr>
            </w:pPr>
            <w:r>
              <w:rPr>
                <w:spacing w:val="0"/>
              </w:rPr>
              <w:t> </w:t>
            </w:r>
          </w:p>
        </w:tc>
        <w:tc>
          <w:tcPr>
            <w:tcW w:w="140" w:type="dxa"/>
            <w:tcBorders/>
            <w:shd w:fill="FFFFFF" w:val="clear"/>
            <w:vAlign w:val="center"/>
          </w:tcPr>
          <w:p>
            <w:pPr>
              <w:pStyle w:val="TableContents"/>
              <w:spacing w:lineRule="atLeast" w:line="141" w:before="0" w:after="0"/>
              <w:rPr>
                <w:spacing w:val="0"/>
              </w:rPr>
            </w:pPr>
            <w:r>
              <w:rPr>
                <w:spacing w:val="0"/>
              </w:rPr>
              <w:t> </w:t>
            </w:r>
          </w:p>
        </w:tc>
        <w:tc>
          <w:tcPr>
            <w:tcW w:w="980" w:type="dxa"/>
            <w:tcBorders/>
            <w:shd w:fill="FFFFFF" w:val="clear"/>
            <w:vAlign w:val="center"/>
          </w:tcPr>
          <w:p>
            <w:pPr>
              <w:pStyle w:val="TableContents"/>
              <w:spacing w:lineRule="atLeast" w:line="141" w:before="0" w:after="0"/>
              <w:rPr>
                <w:spacing w:val="0"/>
              </w:rPr>
            </w:pPr>
            <w:r>
              <w:rPr>
                <w:spacing w:val="0"/>
              </w:rPr>
              <w:t> </w:t>
            </w:r>
          </w:p>
        </w:tc>
        <w:tc>
          <w:tcPr>
            <w:tcW w:w="60" w:type="dxa"/>
            <w:tcBorders/>
            <w:shd w:fill="FFFFFF" w:val="clear"/>
            <w:vAlign w:val="center"/>
          </w:tcPr>
          <w:p>
            <w:pPr>
              <w:pStyle w:val="TableContents"/>
              <w:spacing w:lineRule="atLeast" w:line="141" w:before="0" w:after="0"/>
              <w:rPr>
                <w:spacing w:val="0"/>
              </w:rPr>
            </w:pPr>
            <w:r>
              <w:rPr>
                <w:spacing w:val="0"/>
              </w:rPr>
              <w:t> </w:t>
            </w:r>
          </w:p>
        </w:tc>
        <w:tc>
          <w:tcPr>
            <w:tcW w:w="120" w:type="dxa"/>
            <w:tcBorders/>
            <w:shd w:fill="FFFFFF" w:val="clear"/>
            <w:vAlign w:val="center"/>
          </w:tcPr>
          <w:p>
            <w:pPr>
              <w:pStyle w:val="TableContents"/>
              <w:spacing w:lineRule="atLeast" w:line="141" w:before="0" w:after="0"/>
              <w:rPr>
                <w:spacing w:val="0"/>
              </w:rPr>
            </w:pPr>
            <w:r>
              <w:rPr>
                <w:spacing w:val="0"/>
              </w:rPr>
              <w:t> </w:t>
            </w:r>
          </w:p>
        </w:tc>
        <w:tc>
          <w:tcPr>
            <w:tcW w:w="140" w:type="dxa"/>
            <w:tcBorders/>
            <w:shd w:fill="FFFFFF" w:val="clear"/>
            <w:vAlign w:val="center"/>
          </w:tcPr>
          <w:p>
            <w:pPr>
              <w:pStyle w:val="TableContents"/>
              <w:spacing w:lineRule="atLeast" w:line="141" w:before="0" w:after="0"/>
              <w:rPr>
                <w:spacing w:val="0"/>
              </w:rPr>
            </w:pPr>
            <w:r>
              <w:rPr>
                <w:spacing w:val="0"/>
              </w:rPr>
              <w:t> </w:t>
            </w:r>
          </w:p>
        </w:tc>
        <w:tc>
          <w:tcPr>
            <w:tcW w:w="980" w:type="dxa"/>
            <w:tcBorders/>
            <w:shd w:fill="FFFFFF" w:val="clear"/>
            <w:vAlign w:val="center"/>
          </w:tcPr>
          <w:p>
            <w:pPr>
              <w:pStyle w:val="TableContents"/>
              <w:spacing w:lineRule="atLeast" w:line="141" w:before="0" w:after="0"/>
              <w:rPr>
                <w:spacing w:val="0"/>
              </w:rPr>
            </w:pPr>
            <w:r>
              <w:rPr>
                <w:spacing w:val="0"/>
              </w:rPr>
              <w:t> </w:t>
            </w:r>
          </w:p>
        </w:tc>
        <w:tc>
          <w:tcPr>
            <w:tcW w:w="75" w:type="dxa"/>
            <w:tcBorders/>
            <w:shd w:fill="FFFFFF" w:val="clear"/>
            <w:vAlign w:val="center"/>
          </w:tcPr>
          <w:p>
            <w:pPr>
              <w:pStyle w:val="TableContents"/>
              <w:spacing w:lineRule="atLeast" w:line="141" w:before="0" w:after="0"/>
              <w:rPr>
                <w:spacing w:val="0"/>
              </w:rPr>
            </w:pPr>
            <w:r>
              <w:rPr>
                <w:spacing w:val="0"/>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Restricted cash</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124,736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140</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assets, net</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638</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4,029</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Operating lease </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58,715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68,034</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Land use rights, net</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670,872</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694,582</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9,301,784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8,883,690</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LIABILITIES AND (DEFICIT) EQUITY</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rPr/>
            </w:pPr>
            <w:r>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6,730</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5,992</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809,305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935,483</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payable</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11,610</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11,913</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liabilities, current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12,761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16,771</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Finance lease liabilities, current</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34,959</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48,551</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long-term debt,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322,500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128</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Payables to affiliated companies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761</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1,548</w:t>
            </w:r>
          </w:p>
        </w:tc>
        <w:tc>
          <w:tcPr>
            <w:tcW w:w="75" w:type="dxa"/>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Liabilities related to assets held for sale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1,497</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liabilities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1,198,626</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1,021,883</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debt,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8,090,008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6,559,854</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long-term liabilities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33,712</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30,520</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liabilities,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39,677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41,030</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 xml:space="preserve">Operating lease liabilities,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55,832</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62,889</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Finance lease liabilities, </w:t>
            </w:r>
          </w:p>
          <w:p>
            <w:pPr>
              <w:pStyle w:val="TableContents"/>
              <w:spacing w:before="0" w:after="0"/>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198,291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347,629</w:t>
            </w:r>
          </w:p>
        </w:tc>
        <w:tc>
          <w:tcPr>
            <w:tcW w:w="75" w:type="dxa"/>
            <w:tcBorders/>
            <w:shd w:fill="CCEE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liabilities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9,616,146</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8,063,805</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7590" w:type="dxa"/>
            <w:tcBorders/>
            <w:shd w:fill="FFFFFF" w:val="clear"/>
            <w:vAlign w:val="center"/>
          </w:tcPr>
          <w:p>
            <w:pPr>
              <w:pStyle w:val="TableContents"/>
              <w:spacing w:before="0" w:after="283"/>
              <w:rPr/>
            </w:pPr>
            <w:r>
              <w:rPr/>
              <w:t> </w:t>
            </w:r>
          </w:p>
        </w:tc>
        <w:tc>
          <w:tcPr>
            <w:tcW w:w="1300" w:type="dxa"/>
            <w:gridSpan w:val="4"/>
            <w:tcBorders/>
            <w:shd w:fill="FFFFFF" w:val="clear"/>
            <w:vAlign w:val="center"/>
          </w:tcPr>
          <w:p>
            <w:pPr>
              <w:pStyle w:val="TableContents"/>
              <w:spacing w:before="0" w:after="283"/>
              <w:rPr/>
            </w:pPr>
            <w:r>
              <w:rPr/>
              <w:t> </w:t>
            </w:r>
          </w:p>
        </w:tc>
        <w:tc>
          <w:tcPr>
            <w:tcW w:w="1315" w:type="dxa"/>
            <w:gridSpan w:val="4"/>
            <w:tcBorders/>
            <w:shd w:fill="FFFFFF" w:val="clear"/>
            <w:vAlign w:val="center"/>
          </w:tcPr>
          <w:p>
            <w:pPr>
              <w:pStyle w:val="TableContents"/>
              <w:spacing w:before="0" w:after="283"/>
              <w:rPr/>
            </w:pPr>
            <w:r>
              <w:rPr/>
              <w:t> </w:t>
            </w:r>
          </w:p>
        </w:tc>
      </w:tr>
      <w:tr>
        <w:trPr/>
        <w:tc>
          <w:tcPr>
            <w:tcW w:w="75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Commitments and contingencies (Note 23)</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CONSOLIDATED BALANCE SHEETS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z w:val="24"/>
        </w:rPr>
      </w:pPr>
      <w:r>
        <w:rPr>
          <w:sz w:val="24"/>
        </w:rPr>
      </w:r>
    </w:p>
    <w:tbl>
      <w:tblPr>
        <w:tblW w:w="10205" w:type="dxa"/>
        <w:jc w:val="left"/>
        <w:tblInd w:w="0" w:type="dxa"/>
        <w:tblCellMar>
          <w:top w:w="0" w:type="dxa"/>
          <w:left w:w="0" w:type="dxa"/>
          <w:bottom w:w="0" w:type="dxa"/>
          <w:right w:w="0" w:type="dxa"/>
        </w:tblCellMar>
      </w:tblPr>
      <w:tblGrid>
        <w:gridCol w:w="7310"/>
        <w:gridCol w:w="120"/>
        <w:gridCol w:w="140"/>
        <w:gridCol w:w="1055"/>
        <w:gridCol w:w="95"/>
        <w:gridCol w:w="120"/>
        <w:gridCol w:w="140"/>
        <w:gridCol w:w="1055"/>
        <w:gridCol w:w="170"/>
      </w:tblGrid>
      <w:tr>
        <w:trPr/>
        <w:tc>
          <w:tcPr>
            <w:tcW w:w="7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3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605" w:type="dxa"/>
            <w:gridSpan w:val="6"/>
            <w:tcBorders/>
            <w:shd w:fill="auto" w:val="cle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73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95" w:type="dxa"/>
            <w:gridSpan w:val="2"/>
            <w:tcBorders/>
            <w:shd w:fill="auto" w:val="cle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95" w:type="dxa"/>
            <w:gridSpan w:val="2"/>
            <w:tcBorders/>
            <w:shd w:fill="auto" w:val="cle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7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(Deficit)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Ordinary shares, par value $0.01; 7,300,000,000 shares authorized; 1,445,052,143 and 1,456,547,942 shares issued; 1,335,307,327 and 1,423,370,314 shares outstanding,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14,451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14,565</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Treasury shares, at cost; 109,744,816 and 33,177,628 shares,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(241,750</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(132,856</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3,218,895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3,238,600</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other comprehensive losses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(111,969</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(76,008</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losses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(3,729,952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(2,799,555</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Melco Resorts &amp; Entertainment Limited shareholders’ (deficit)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(850,325</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244,746</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Noncontrolling interests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535,963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575,139</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(deficit)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(314,362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819,885</w:t>
            </w:r>
          </w:p>
        </w:tc>
        <w:tc>
          <w:tcPr>
            <w:tcW w:w="170" w:type="dxa"/>
            <w:tcBorders/>
            <w:shd w:fill="CCEEFF"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liabilities and (deficit)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9,301,784</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8,883,690</w:t>
            </w:r>
          </w:p>
        </w:tc>
        <w:tc>
          <w:tcPr>
            <w:tcW w:w="170" w:type="dxa"/>
            <w:tcBorders/>
            <w:shd w:fill="auto" w:val="clear"/>
            <w:vAlign w:val="center"/>
          </w:tcPr>
          <w:p>
            <w:pPr>
              <w:pStyle w:val="TableContents"/>
              <w:spacing w:before="0" w:after="283"/>
              <w:rPr/>
            </w:pPr>
            <w:r>
              <w:rPr/>
              <w:t> </w:t>
            </w:r>
          </w:p>
        </w:tc>
      </w:tr>
      <w:tr>
        <w:trPr/>
        <w:tc>
          <w:tcPr>
            <w:tcW w:w="73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724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9</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OPERATIONS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center"/>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5105"/>
        <w:gridCol w:w="120"/>
        <w:gridCol w:w="140"/>
        <w:gridCol w:w="1320"/>
        <w:gridCol w:w="95"/>
        <w:gridCol w:w="120"/>
        <w:gridCol w:w="140"/>
        <w:gridCol w:w="1320"/>
        <w:gridCol w:w="155"/>
        <w:gridCol w:w="60"/>
        <w:gridCol w:w="140"/>
        <w:gridCol w:w="1320"/>
        <w:gridCol w:w="170"/>
      </w:tblGrid>
      <w:tr>
        <w:trPr/>
        <w:tc>
          <w:tcPr>
            <w:tcW w:w="5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10" w:type="dxa"/>
            <w:gridSpan w:val="10"/>
            <w:tcBorders/>
            <w:shd w:fill="auto" w:val="clear"/>
            <w:vAlign w:val="center"/>
          </w:tcPr>
          <w:p>
            <w:pPr>
              <w:pStyle w:val="TableContents"/>
              <w:spacing w:before="0" w:after="283"/>
              <w:jc w:val="center"/>
              <w:rPr/>
            </w:pPr>
            <w:r>
              <w:rPr/>
              <w:t>Year Ended December 31,</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jc w:val="center"/>
              <w:rPr/>
            </w:pPr>
            <w:r>
              <w:rPr/>
              <w:t>2022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jc w:val="center"/>
              <w:rPr/>
            </w:pPr>
            <w:r>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jc w:val="center"/>
              <w:rPr/>
            </w:pPr>
            <w:r>
              <w:rPr/>
              <w:t>2020</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Casino</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320" w:type="dxa"/>
            <w:tcBorders/>
            <w:shd w:fill="auto" w:val="clear"/>
            <w:vAlign w:val="center"/>
          </w:tcPr>
          <w:p>
            <w:pPr>
              <w:pStyle w:val="TableContents"/>
              <w:spacing w:before="0" w:after="283"/>
              <w:jc w:val="right"/>
              <w:rPr/>
            </w:pPr>
            <w:r>
              <w:rPr/>
              <w:t>1,076,398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320" w:type="dxa"/>
            <w:tcBorders/>
            <w:shd w:fill="auto" w:val="clear"/>
            <w:vAlign w:val="center"/>
          </w:tcPr>
          <w:p>
            <w:pPr>
              <w:pStyle w:val="TableContents"/>
              <w:spacing w:before="0" w:after="283"/>
              <w:jc w:val="right"/>
              <w:rPr/>
            </w:pPr>
            <w:r>
              <w:rPr/>
              <w:t>1,676,263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320" w:type="dxa"/>
            <w:tcBorders/>
            <w:shd w:fill="auto" w:val="clear"/>
            <w:vAlign w:val="center"/>
          </w:tcPr>
          <w:p>
            <w:pPr>
              <w:pStyle w:val="TableContents"/>
              <w:spacing w:before="0" w:after="283"/>
              <w:jc w:val="right"/>
              <w:rPr/>
            </w:pPr>
            <w:r>
              <w:rPr/>
              <w:t>1,471,356</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Rooms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116,552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157,501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108,593</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Food and beverage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85,518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97,665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74,528</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Entertainment, retail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71,509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80,927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73,446</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revenues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1,349,977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2,012,356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1,727,923</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costs and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Casino</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(912,839</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(1,320,882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(1,350,210</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Rooms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(46,199</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(49,895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(46,690</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Food and beverage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(82,000</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(91,533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(86,123</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Entertainment, retail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(22,419</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(29,463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(55,379</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(423,225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(426,407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(424,398</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Payments to the Philippine Parties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(28,894</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(26,371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(12,989</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(15,585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(4,157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(1,322</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Development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(30,677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(25,616</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gaming subconcession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(32,785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(57,276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(57,411</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land use rights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(22,662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(22,832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(22,886</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(466,492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(499,739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(538,233</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charges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(39,982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(30,575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(47,223</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(2,093,082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(2,589,807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(2,668,480</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(743,105</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(577,451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(940,557</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rFonts w:ascii="Times New Roman" w:hAnsi="Times New Roman"/>
                <w:sz w:val="20"/>
              </w:rPr>
            </w:pPr>
            <w:r>
              <w:rPr>
                <w:rFonts w:ascii="Times New Roman" w:hAnsi="Times New Roman"/>
                <w:sz w:val="20"/>
              </w:rPr>
              <w:t>income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26,458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6,618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5,134</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expenses, net of amounts capitalized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(376,722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(350,544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(340,839</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financing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(6,396</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(11,033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(7,955</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 exchange gains (losses),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3,904</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4,566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(2,079</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(expenses),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3,930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3,082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(150,969</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extinguishment of debt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(28,817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(19,952</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Costs associated with debt modification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(310</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Total </w:t>
            </w:r>
          </w:p>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rFonts w:ascii="Times New Roman" w:hAnsi="Times New Roman"/>
                <w:sz w:val="20"/>
              </w:rPr>
            </w:pPr>
            <w:r>
              <w:rPr>
                <w:rFonts w:ascii="Times New Roman" w:hAnsi="Times New Roman"/>
                <w:sz w:val="20"/>
              </w:rPr>
              <w:t>expenses,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(348,826</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(376,128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(516,970</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before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(1,091,931</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(953,579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(1,457,527</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Income tax (expense) benefit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(5,236</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(2,885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2,913</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(1,097,167</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(956,464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(1,454,614</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noncontrolling interests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166,641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144,713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191,122</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Melco Resorts &amp; Entertainment Limited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(930,526</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(811,751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(1,263,492</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Melco Resorts &amp; Entertainment Limited per share: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(0.669</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(0.566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320" w:type="dxa"/>
            <w:tcBorders/>
            <w:shd w:fill="CCEEFF" w:val="clear"/>
            <w:vAlign w:val="center"/>
          </w:tcPr>
          <w:p>
            <w:pPr>
              <w:pStyle w:val="TableContents"/>
              <w:spacing w:before="0" w:after="283"/>
              <w:jc w:val="right"/>
              <w:rPr/>
            </w:pPr>
            <w:r>
              <w:rPr/>
              <w:t>(0.882</w:t>
            </w:r>
          </w:p>
        </w:tc>
        <w:tc>
          <w:tcPr>
            <w:tcW w:w="17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320" w:type="dxa"/>
            <w:tcBorders/>
            <w:shd w:fill="auto" w:val="clear"/>
            <w:vAlign w:val="center"/>
          </w:tcPr>
          <w:p>
            <w:pPr>
              <w:pStyle w:val="TableContents"/>
              <w:spacing w:before="0" w:after="283"/>
              <w:jc w:val="right"/>
              <w:rPr/>
            </w:pPr>
            <w:r>
              <w:rPr/>
              <w:t>(0.669</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320" w:type="dxa"/>
            <w:tcBorders/>
            <w:shd w:fill="auto" w:val="clear"/>
            <w:vAlign w:val="center"/>
          </w:tcPr>
          <w:p>
            <w:pPr>
              <w:pStyle w:val="TableContents"/>
              <w:spacing w:before="0" w:after="283"/>
              <w:jc w:val="right"/>
              <w:rPr/>
            </w:pPr>
            <w:r>
              <w:rPr/>
              <w:t>(0.566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320" w:type="dxa"/>
            <w:tcBorders/>
            <w:shd w:fill="auto" w:val="clear"/>
            <w:vAlign w:val="center"/>
          </w:tcPr>
          <w:p>
            <w:pPr>
              <w:pStyle w:val="TableContents"/>
              <w:spacing w:before="0" w:after="283"/>
              <w:jc w:val="right"/>
              <w:rPr/>
            </w:pPr>
            <w:r>
              <w:rPr/>
              <w:t>(0.884</w:t>
            </w:r>
          </w:p>
        </w:tc>
        <w:tc>
          <w:tcPr>
            <w:tcW w:w="17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F-1</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CONSOLIDATED STATEMENTS OF OPERATIONS</w:t>
      </w:r>
    </w:p>
    <w:p>
      <w:pPr>
        <w:pStyle w:val="TextBody"/>
        <w:spacing w:before="240" w:after="0"/>
        <w:jc w:val="center"/>
        <w:rPr/>
      </w:pPr>
      <w:r>
        <w:rPr/>
        <w:t> </w:t>
      </w:r>
      <w:r>
        <w:rPr>
          <w:rFonts w:ascii="Times New Roman" w:hAnsi="Times New Roman"/>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p>
      <w:pPr>
        <w:pStyle w:val="TextBody"/>
        <w:spacing w:before="0" w:after="0"/>
        <w:jc w:val="left"/>
        <w:rPr>
          <w:sz w:val="24"/>
        </w:rPr>
      </w:pPr>
      <w:r>
        <w:rPr>
          <w:sz w:val="24"/>
        </w:rPr>
      </w:r>
    </w:p>
    <w:tbl>
      <w:tblPr>
        <w:tblW w:w="10205" w:type="dxa"/>
        <w:jc w:val="left"/>
        <w:tblInd w:w="0" w:type="dxa"/>
        <w:tblCellMar>
          <w:top w:w="0" w:type="dxa"/>
          <w:left w:w="0" w:type="dxa"/>
          <w:bottom w:w="0" w:type="dxa"/>
          <w:right w:w="0" w:type="dxa"/>
        </w:tblCellMar>
      </w:tblPr>
      <w:tblGrid>
        <w:gridCol w:w="5270"/>
        <w:gridCol w:w="120"/>
        <w:gridCol w:w="60"/>
        <w:gridCol w:w="1400"/>
        <w:gridCol w:w="60"/>
        <w:gridCol w:w="120"/>
        <w:gridCol w:w="60"/>
        <w:gridCol w:w="1400"/>
        <w:gridCol w:w="60"/>
        <w:gridCol w:w="120"/>
        <w:gridCol w:w="60"/>
        <w:gridCol w:w="1400"/>
        <w:gridCol w:w="75"/>
      </w:tblGrid>
      <w:tr>
        <w:trPr/>
        <w:tc>
          <w:tcPr>
            <w:tcW w:w="5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740" w:type="dxa"/>
            <w:gridSpan w:val="10"/>
            <w:tcBorders/>
            <w:shd w:fill="auto" w:val="clear"/>
            <w:vAlign w:val="center"/>
          </w:tcPr>
          <w:p>
            <w:pPr>
              <w:pStyle w:val="TableContents"/>
              <w:spacing w:before="0" w:after="283"/>
              <w:jc w:val="center"/>
              <w:rPr/>
            </w:pPr>
            <w:r>
              <w:rPr/>
              <w:t>Year Ended December 31,</w:t>
            </w:r>
          </w:p>
        </w:tc>
        <w:tc>
          <w:tcPr>
            <w:tcW w:w="75" w:type="dxa"/>
            <w:tcBorders/>
            <w:shd w:fill="auto"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shd w:fill="auto" w:val="cle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5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outstanding used in net loss attributable to Melco Resorts &amp; Entertainment Limited per share calculation: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1,391,154,836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1,434,087,641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1,432,052,735</w:t>
            </w:r>
          </w:p>
        </w:tc>
        <w:tc>
          <w:tcPr>
            <w:tcW w:w="75" w:type="dxa"/>
            <w:tcBorders/>
            <w:shd w:fill="auto"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5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1,391,154,836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1,434,087,641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1,432,052,735</w:t>
            </w:r>
          </w:p>
        </w:tc>
        <w:tc>
          <w:tcPr>
            <w:tcW w:w="75" w:type="dxa"/>
            <w:tcBorders/>
            <w:shd w:fill="CCEEFF"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240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F-1</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COMPREHENSIVE LOSS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w:t>
      </w:r>
    </w:p>
    <w:p>
      <w:pPr>
        <w:pStyle w:val="TextBody"/>
        <w:spacing w:before="0" w:after="0"/>
        <w:jc w:val="left"/>
        <w:rPr>
          <w:spacing w:val="0"/>
        </w:rPr>
      </w:pPr>
      <w:r>
        <w:rPr>
          <w:spacing w:val="0"/>
        </w:rPr>
        <w:t> </w:t>
      </w:r>
    </w:p>
    <w:p>
      <w:pPr>
        <w:pStyle w:val="TextBody"/>
        <w:spacing w:before="0" w:after="0"/>
        <w:jc w:val="left"/>
        <w:rPr>
          <w:sz w:val="24"/>
        </w:rPr>
      </w:pPr>
      <w:r>
        <w:rPr>
          <w:sz w:val="24"/>
        </w:rPr>
      </w:r>
    </w:p>
    <w:tbl>
      <w:tblPr>
        <w:tblW w:w="10205" w:type="dxa"/>
        <w:jc w:val="left"/>
        <w:tblInd w:w="0" w:type="dxa"/>
        <w:tblCellMar>
          <w:top w:w="0" w:type="dxa"/>
          <w:left w:w="0" w:type="dxa"/>
          <w:bottom w:w="0" w:type="dxa"/>
          <w:right w:w="0" w:type="dxa"/>
        </w:tblCellMar>
      </w:tblPr>
      <w:tblGrid>
        <w:gridCol w:w="5465"/>
        <w:gridCol w:w="120"/>
        <w:gridCol w:w="140"/>
        <w:gridCol w:w="1200"/>
        <w:gridCol w:w="95"/>
        <w:gridCol w:w="120"/>
        <w:gridCol w:w="140"/>
        <w:gridCol w:w="1200"/>
        <w:gridCol w:w="155"/>
        <w:gridCol w:w="60"/>
        <w:gridCol w:w="140"/>
        <w:gridCol w:w="1200"/>
        <w:gridCol w:w="170"/>
      </w:tblGrid>
      <w:tr>
        <w:trPr/>
        <w:tc>
          <w:tcPr>
            <w:tcW w:w="54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450" w:type="dxa"/>
            <w:gridSpan w:val="10"/>
            <w:tcBorders/>
            <w:shd w:fill="auto" w:val="clear"/>
            <w:vAlign w:val="center"/>
          </w:tcPr>
          <w:p>
            <w:pPr>
              <w:pStyle w:val="TableContents"/>
              <w:spacing w:before="0" w:after="283"/>
              <w:jc w:val="center"/>
              <w:rPr/>
            </w:pPr>
            <w:r>
              <w:rPr/>
              <w:t>Year Ended December 31,</w:t>
            </w:r>
          </w:p>
        </w:tc>
        <w:tc>
          <w:tcPr>
            <w:tcW w:w="170" w:type="dxa"/>
            <w:tcBorders/>
            <w:shd w:fill="auto" w:val="clear"/>
            <w:vAlign w:val="center"/>
          </w:tcPr>
          <w:p>
            <w:pPr>
              <w:pStyle w:val="TableContents"/>
              <w:spacing w:before="0" w:after="283"/>
              <w:rPr/>
            </w:pPr>
            <w:r>
              <w:rPr/>
              <w:t> </w:t>
            </w:r>
          </w:p>
        </w:tc>
      </w:tr>
      <w:tr>
        <w:trPr/>
        <w:tc>
          <w:tcPr>
            <w:tcW w:w="5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0" w:type="dxa"/>
            <w:gridSpan w:val="2"/>
            <w:tcBorders/>
            <w:shd w:fill="auto" w:val="clear"/>
            <w:vAlign w:val="center"/>
          </w:tcPr>
          <w:p>
            <w:pPr>
              <w:pStyle w:val="TableContents"/>
              <w:spacing w:before="0" w:after="283"/>
              <w:jc w:val="center"/>
              <w:rPr/>
            </w:pPr>
            <w:r>
              <w:rPr/>
              <w:t>2022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0" w:type="dxa"/>
            <w:gridSpan w:val="2"/>
            <w:tcBorders/>
            <w:shd w:fill="auto" w:val="clear"/>
            <w:vAlign w:val="center"/>
          </w:tcPr>
          <w:p>
            <w:pPr>
              <w:pStyle w:val="TableContents"/>
              <w:spacing w:before="0" w:after="283"/>
              <w:jc w:val="center"/>
              <w:rPr/>
            </w:pPr>
            <w:r>
              <w:rP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shd w:fill="auto" w:val="clear"/>
            <w:vAlign w:val="center"/>
          </w:tcPr>
          <w:p>
            <w:pPr>
              <w:pStyle w:val="TableContents"/>
              <w:spacing w:before="0" w:after="283"/>
              <w:jc w:val="center"/>
              <w:rPr/>
            </w:pPr>
            <w:r>
              <w:rPr/>
              <w:t>2020</w:t>
            </w:r>
          </w:p>
        </w:tc>
        <w:tc>
          <w:tcPr>
            <w:tcW w:w="170" w:type="dxa"/>
            <w:tcBorders/>
            <w:shd w:fill="auto" w:val="cle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00" w:type="dxa"/>
            <w:tcBorders/>
            <w:shd w:fill="CCEEFF" w:val="clear"/>
            <w:vAlign w:val="center"/>
          </w:tcPr>
          <w:p>
            <w:pPr>
              <w:pStyle w:val="TableContents"/>
              <w:spacing w:before="0" w:after="283"/>
              <w:jc w:val="right"/>
              <w:rPr/>
            </w:pPr>
            <w:r>
              <w:rPr/>
              <w:t>(1,097,167</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00" w:type="dxa"/>
            <w:tcBorders/>
            <w:shd w:fill="CCEEFF" w:val="clear"/>
            <w:vAlign w:val="center"/>
          </w:tcPr>
          <w:p>
            <w:pPr>
              <w:pStyle w:val="TableContents"/>
              <w:spacing w:before="0" w:after="283"/>
              <w:jc w:val="right"/>
              <w:rPr/>
            </w:pPr>
            <w:r>
              <w:rPr/>
              <w:t>(956,464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00" w:type="dxa"/>
            <w:tcBorders/>
            <w:shd w:fill="CCEEFF" w:val="clear"/>
            <w:vAlign w:val="center"/>
          </w:tcPr>
          <w:p>
            <w:pPr>
              <w:pStyle w:val="TableContents"/>
              <w:spacing w:before="0" w:after="283"/>
              <w:jc w:val="right"/>
              <w:rPr/>
            </w:pPr>
            <w:r>
              <w:rPr/>
              <w:t>(1,454,614</w:t>
            </w:r>
          </w:p>
        </w:tc>
        <w:tc>
          <w:tcPr>
            <w:tcW w:w="170" w:type="dxa"/>
            <w:tcBorders/>
            <w:shd w:fill="CCEEFF" w:val="clear"/>
            <w:vAlign w:val="center"/>
          </w:tcPr>
          <w:p>
            <w:pPr>
              <w:pStyle w:val="TableContents"/>
              <w:spacing w:before="0" w:after="283"/>
              <w:rPr/>
            </w:pPr>
            <w:r>
              <w:rPr/>
              <w:t>) </w:t>
            </w:r>
          </w:p>
        </w:tc>
      </w:tr>
      <w:tr>
        <w:trPr/>
        <w:tc>
          <w:tcPr>
            <w:tcW w:w="54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(loss)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0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 currency translation adjustments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00" w:type="dxa"/>
            <w:tcBorders/>
            <w:shd w:fill="CCEEFF" w:val="clear"/>
            <w:vAlign w:val="center"/>
          </w:tcPr>
          <w:p>
            <w:pPr>
              <w:pStyle w:val="TableContents"/>
              <w:spacing w:before="0" w:after="283"/>
              <w:jc w:val="right"/>
              <w:rPr/>
            </w:pPr>
            <w:r>
              <w:rPr/>
              <w:t>(41,082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00" w:type="dxa"/>
            <w:tcBorders/>
            <w:shd w:fill="CCEEFF" w:val="clear"/>
            <w:vAlign w:val="center"/>
          </w:tcPr>
          <w:p>
            <w:pPr>
              <w:pStyle w:val="TableContents"/>
              <w:spacing w:before="0" w:after="283"/>
              <w:jc w:val="right"/>
              <w:rPr/>
            </w:pPr>
            <w:r>
              <w:rPr/>
              <w:t>(78,992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00" w:type="dxa"/>
            <w:tcBorders/>
            <w:shd w:fill="CCEEFF" w:val="clear"/>
            <w:vAlign w:val="center"/>
          </w:tcPr>
          <w:p>
            <w:pPr>
              <w:pStyle w:val="TableContents"/>
              <w:spacing w:before="0" w:after="283"/>
              <w:jc w:val="right"/>
              <w:rPr/>
            </w:pPr>
            <w:r>
              <w:rPr/>
              <w:t>20,394</w:t>
            </w:r>
          </w:p>
        </w:tc>
        <w:tc>
          <w:tcPr>
            <w:tcW w:w="170" w:type="dxa"/>
            <w:tcBorders/>
            <w:shd w:fill="CCEEFF" w:val="clear"/>
            <w:vAlign w:val="center"/>
          </w:tcPr>
          <w:p>
            <w:pPr>
              <w:pStyle w:val="TableContents"/>
              <w:spacing w:before="0" w:after="283"/>
              <w:rPr/>
            </w:pPr>
            <w:r>
              <w:rPr/>
              <w:t> </w:t>
            </w:r>
          </w:p>
        </w:tc>
      </w:tr>
      <w:tr>
        <w:trPr/>
        <w:tc>
          <w:tcPr>
            <w:tcW w:w="54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comprehensive (loss) income</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00" w:type="dxa"/>
            <w:tcBorders/>
            <w:shd w:fill="FFFFFF" w:val="clear"/>
            <w:vAlign w:val="center"/>
          </w:tcPr>
          <w:p>
            <w:pPr>
              <w:pStyle w:val="TableContents"/>
              <w:spacing w:before="0" w:after="283"/>
              <w:jc w:val="right"/>
              <w:rPr/>
            </w:pPr>
            <w:r>
              <w:rPr/>
              <w:t>(41,082</w:t>
            </w:r>
          </w:p>
        </w:tc>
        <w:tc>
          <w:tcPr>
            <w:tcW w:w="95" w:type="dxa"/>
            <w:tcBorders/>
            <w:shd w:fill="FFFFFF" w:val="clear"/>
            <w:vAlign w:val="center"/>
          </w:tcPr>
          <w:p>
            <w:pPr>
              <w:pStyle w:val="TableContents"/>
              <w:spacing w:before="0" w:after="0"/>
              <w:rPr/>
            </w:pPr>
            <w:r>
              <w:rPr/>
              <w:t>)</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00" w:type="dxa"/>
            <w:tcBorders/>
            <w:shd w:fill="FFFFFF" w:val="clear"/>
            <w:vAlign w:val="center"/>
          </w:tcPr>
          <w:p>
            <w:pPr>
              <w:pStyle w:val="TableContents"/>
              <w:spacing w:before="0" w:after="283"/>
              <w:jc w:val="right"/>
              <w:rPr/>
            </w:pPr>
            <w:r>
              <w:rPr/>
              <w:t>(78,992</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00" w:type="dxa"/>
            <w:tcBorders/>
            <w:shd w:fill="FFFFFF" w:val="clear"/>
            <w:vAlign w:val="center"/>
          </w:tcPr>
          <w:p>
            <w:pPr>
              <w:pStyle w:val="TableContents"/>
              <w:spacing w:before="0" w:after="283"/>
              <w:jc w:val="right"/>
              <w:rPr/>
            </w:pPr>
            <w:r>
              <w:rPr/>
              <w:t>20,394</w:t>
            </w:r>
          </w:p>
        </w:tc>
        <w:tc>
          <w:tcPr>
            <w:tcW w:w="170" w:type="dxa"/>
            <w:tcBorders/>
            <w:shd w:fill="FFFFFF" w:val="cle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comprehensive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00" w:type="dxa"/>
            <w:tcBorders/>
            <w:shd w:fill="CCEEFF" w:val="clear"/>
            <w:vAlign w:val="center"/>
          </w:tcPr>
          <w:p>
            <w:pPr>
              <w:pStyle w:val="TableContents"/>
              <w:spacing w:before="0" w:after="283"/>
              <w:jc w:val="right"/>
              <w:rPr/>
            </w:pPr>
            <w:r>
              <w:rPr/>
              <w:t>(1,138,249</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00" w:type="dxa"/>
            <w:tcBorders/>
            <w:shd w:fill="CCEEFF" w:val="clear"/>
            <w:vAlign w:val="center"/>
          </w:tcPr>
          <w:p>
            <w:pPr>
              <w:pStyle w:val="TableContents"/>
              <w:spacing w:before="0" w:after="283"/>
              <w:jc w:val="right"/>
              <w:rPr/>
            </w:pPr>
            <w:r>
              <w:rPr/>
              <w:t>(1,035,456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00" w:type="dxa"/>
            <w:tcBorders/>
            <w:shd w:fill="CCEEFF" w:val="clear"/>
            <w:vAlign w:val="center"/>
          </w:tcPr>
          <w:p>
            <w:pPr>
              <w:pStyle w:val="TableContents"/>
              <w:spacing w:before="0" w:after="283"/>
              <w:jc w:val="right"/>
              <w:rPr/>
            </w:pPr>
            <w:r>
              <w:rPr/>
              <w:t>(1,434,220</w:t>
            </w:r>
          </w:p>
        </w:tc>
        <w:tc>
          <w:tcPr>
            <w:tcW w:w="170" w:type="dxa"/>
            <w:tcBorders/>
            <w:shd w:fill="CCEEFF" w:val="cle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Comprehensive loss attributable to noncontrolling interests</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00" w:type="dxa"/>
            <w:tcBorders/>
            <w:shd w:fill="FFFFFF" w:val="clear"/>
            <w:vAlign w:val="center"/>
          </w:tcPr>
          <w:p>
            <w:pPr>
              <w:pStyle w:val="TableContents"/>
              <w:spacing w:before="0" w:after="283"/>
              <w:jc w:val="right"/>
              <w:rPr/>
            </w:pPr>
            <w:r>
              <w:rPr/>
              <w:t>171,762</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00" w:type="dxa"/>
            <w:tcBorders/>
            <w:shd w:fill="FFFFFF" w:val="clear"/>
            <w:vAlign w:val="center"/>
          </w:tcPr>
          <w:p>
            <w:pPr>
              <w:pStyle w:val="TableContents"/>
              <w:spacing w:before="0" w:after="283"/>
              <w:jc w:val="right"/>
              <w:rPr/>
            </w:pPr>
            <w:r>
              <w:rPr/>
              <w:t>159,029</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00" w:type="dxa"/>
            <w:tcBorders/>
            <w:shd w:fill="FFFFFF" w:val="clear"/>
            <w:vAlign w:val="center"/>
          </w:tcPr>
          <w:p>
            <w:pPr>
              <w:pStyle w:val="TableContents"/>
              <w:spacing w:before="0" w:after="283"/>
              <w:jc w:val="right"/>
              <w:rPr/>
            </w:pPr>
            <w:r>
              <w:rPr/>
              <w:t>178,199</w:t>
            </w:r>
          </w:p>
        </w:tc>
        <w:tc>
          <w:tcPr>
            <w:tcW w:w="170" w:type="dxa"/>
            <w:tcBorders/>
            <w:shd w:fill="FFFFFF" w:val="cle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20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CCEEFF" w:val="clear"/>
            <w:vAlign w:val="center"/>
          </w:tcPr>
          <w:p>
            <w:pPr>
              <w:pStyle w:val="TableContents"/>
              <w:spacing w:before="0" w:after="283"/>
              <w:rPr/>
            </w:pPr>
            <w:r>
              <w:rPr/>
              <w:t> </w:t>
            </w:r>
          </w:p>
        </w:tc>
      </w:tr>
      <w:tr>
        <w:trPr/>
        <w:tc>
          <w:tcPr>
            <w:tcW w:w="54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Comprehensive loss attributable to Melco Resorts &amp; Entertainment Limited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00" w:type="dxa"/>
            <w:tcBorders/>
            <w:shd w:fill="CCEEFF" w:val="clear"/>
            <w:vAlign w:val="center"/>
          </w:tcPr>
          <w:p>
            <w:pPr>
              <w:pStyle w:val="TableContents"/>
              <w:spacing w:before="0" w:after="283"/>
              <w:jc w:val="right"/>
              <w:rPr/>
            </w:pPr>
            <w:r>
              <w:rPr/>
              <w:t>(966,487</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00" w:type="dxa"/>
            <w:tcBorders/>
            <w:shd w:fill="CCEEFF" w:val="clear"/>
            <w:vAlign w:val="center"/>
          </w:tcPr>
          <w:p>
            <w:pPr>
              <w:pStyle w:val="TableContents"/>
              <w:spacing w:before="0" w:after="283"/>
              <w:jc w:val="right"/>
              <w:rPr/>
            </w:pPr>
            <w:r>
              <w:rPr/>
              <w:t>(876,427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00" w:type="dxa"/>
            <w:tcBorders/>
            <w:shd w:fill="CCEEFF" w:val="clear"/>
            <w:vAlign w:val="center"/>
          </w:tcPr>
          <w:p>
            <w:pPr>
              <w:pStyle w:val="TableContents"/>
              <w:spacing w:before="0" w:after="283"/>
              <w:jc w:val="right"/>
              <w:rPr/>
            </w:pPr>
            <w:r>
              <w:rPr/>
              <w:t>(1,256,021</w:t>
            </w:r>
          </w:p>
        </w:tc>
        <w:tc>
          <w:tcPr>
            <w:tcW w:w="170" w:type="dxa"/>
            <w:tcBorders/>
            <w:shd w:fill="CCEEFF" w:val="clear"/>
            <w:vAlign w:val="center"/>
          </w:tcPr>
          <w:p>
            <w:pPr>
              <w:pStyle w:val="TableContents"/>
              <w:spacing w:before="0" w:after="283"/>
              <w:rPr/>
            </w:pPr>
            <w:r>
              <w:rPr/>
              <w:t>) </w:t>
            </w:r>
          </w:p>
        </w:tc>
      </w:tr>
      <w:tr>
        <w:trPr/>
        <w:tc>
          <w:tcPr>
            <w:tcW w:w="546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20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20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20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FFFF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2400" w:after="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F-1</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w:t>
      </w:r>
    </w:p>
    <w:p>
      <w:pPr>
        <w:pStyle w:val="TextBody"/>
        <w:spacing w:before="240" w:after="0"/>
        <w:jc w:val="center"/>
        <w:rPr>
          <w:rFonts w:ascii="Times New Roman" w:hAnsi="Times New Roman"/>
          <w:b/>
          <w:spacing w:val="0"/>
          <w:sz w:val="20"/>
        </w:rPr>
      </w:pPr>
      <w:r>
        <w:rPr>
          <w:rFonts w:ascii="Times New Roman" w:hAnsi="Times New Roman"/>
          <w:b/>
          <w:spacing w:val="0"/>
          <w:sz w:val="20"/>
        </w:rPr>
        <w:t>(DEFICIT)</w:t>
      </w:r>
    </w:p>
    <w:p>
      <w:pPr>
        <w:pStyle w:val="TextBody"/>
        <w:spacing w:before="240" w:after="0"/>
        <w:jc w:val="center"/>
        <w:rPr>
          <w:spacing w:val="0"/>
        </w:rPr>
      </w:pPr>
      <w:r>
        <w:rPr>
          <w:spacing w:val="0"/>
        </w:rPr>
        <w:t> </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EQUITY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15265" w:type="dxa"/>
        <w:jc w:val="left"/>
        <w:tblInd w:w="0" w:type="dxa"/>
        <w:tblCellMar>
          <w:top w:w="0" w:type="dxa"/>
          <w:left w:w="0" w:type="dxa"/>
          <w:bottom w:w="0" w:type="dxa"/>
          <w:right w:w="0" w:type="dxa"/>
        </w:tblCellMar>
      </w:tblPr>
      <w:tblGrid>
        <w:gridCol w:w="935"/>
        <w:gridCol w:w="120"/>
        <w:gridCol w:w="60"/>
        <w:gridCol w:w="1400"/>
        <w:gridCol w:w="155"/>
        <w:gridCol w:w="120"/>
        <w:gridCol w:w="140"/>
        <w:gridCol w:w="1220"/>
        <w:gridCol w:w="95"/>
        <w:gridCol w:w="120"/>
        <w:gridCol w:w="60"/>
        <w:gridCol w:w="1295"/>
        <w:gridCol w:w="155"/>
        <w:gridCol w:w="60"/>
        <w:gridCol w:w="140"/>
        <w:gridCol w:w="1220"/>
        <w:gridCol w:w="155"/>
        <w:gridCol w:w="60"/>
        <w:gridCol w:w="140"/>
        <w:gridCol w:w="980"/>
        <w:gridCol w:w="155"/>
        <w:gridCol w:w="60"/>
        <w:gridCol w:w="154"/>
        <w:gridCol w:w="1351"/>
        <w:gridCol w:w="155"/>
        <w:gridCol w:w="60"/>
        <w:gridCol w:w="149"/>
        <w:gridCol w:w="1131"/>
        <w:gridCol w:w="155"/>
        <w:gridCol w:w="60"/>
        <w:gridCol w:w="150"/>
        <w:gridCol w:w="1310"/>
        <w:gridCol w:w="155"/>
        <w:gridCol w:w="60"/>
        <w:gridCol w:w="140"/>
        <w:gridCol w:w="1220"/>
        <w:gridCol w:w="170"/>
      </w:tblGrid>
      <w:tr>
        <w:trPr/>
        <w:tc>
          <w:tcPr>
            <w:tcW w:w="9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9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790" w:type="dxa"/>
            <w:gridSpan w:val="2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Melco Resorts &amp; Entertainment Limited Shareholders’ (Deficit) Equity</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460" w:type="dxa"/>
            <w:gridSpan w:val="2"/>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360" w:type="dxa"/>
            <w:gridSpan w:val="2"/>
            <w:tcBorders/>
            <w:shd w:fill="auto" w:val="clear"/>
            <w:vAlign w:val="center"/>
          </w:tcPr>
          <w:p>
            <w:pPr>
              <w:pStyle w:val="TableContents"/>
              <w:spacing w:before="0" w:after="0"/>
              <w:rPr>
                <w:spacing w:val="0"/>
              </w:rPr>
            </w:pPr>
            <w:r>
              <w:rPr>
                <w:spacing w:val="0"/>
              </w:rPr>
              <w:t> </w:t>
            </w:r>
          </w:p>
        </w:tc>
        <w:tc>
          <w:tcPr>
            <w:tcW w:w="170" w:type="dxa"/>
            <w:tcBorders/>
            <w:shd w:fill="auto" w:val="clear"/>
            <w:vAlign w:val="center"/>
          </w:tcPr>
          <w:p>
            <w:pPr>
              <w:pStyle w:val="TableContents"/>
              <w:spacing w:before="0" w:after="0"/>
              <w:rPr>
                <w:spacing w:val="0"/>
              </w:rPr>
            </w:pPr>
            <w:r>
              <w:rPr>
                <w:spacing w:val="0"/>
              </w:rPr>
              <w:t> </w:t>
            </w:r>
          </w:p>
        </w:tc>
      </w:tr>
      <w:tr>
        <w:trPr/>
        <w:tc>
          <w:tcPr>
            <w:tcW w:w="9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095"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Ordinary Shares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93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Treasury Shares</w:t>
            </w:r>
          </w:p>
        </w:tc>
        <w:tc>
          <w:tcPr>
            <w:tcW w:w="155" w:type="dxa"/>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12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Additional</w:t>
            </w:r>
          </w:p>
          <w:p>
            <w:pPr>
              <w:pStyle w:val="TableContents"/>
              <w:spacing w:before="0" w:after="0"/>
              <w:jc w:val="center"/>
              <w:rPr>
                <w:spacing w:val="0"/>
              </w:rPr>
            </w:pPr>
            <w:r>
              <w:rPr>
                <w:spacing w:val="0"/>
              </w:rPr>
              <w:t>Paid-in</w:t>
            </w:r>
          </w:p>
          <w:p>
            <w:pPr>
              <w:pStyle w:val="TableContents"/>
              <w:spacing w:before="0" w:after="0"/>
              <w:jc w:val="center"/>
              <w:rPr>
                <w:spacing w:val="0"/>
              </w:rPr>
            </w:pPr>
            <w:r>
              <w:rPr>
                <w:spacing w:val="0"/>
              </w:rPr>
              <w:br/>
              <w:t>Capital</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505"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Accumulated</w:t>
              <w:br/>
              <w:t>Other</w:t>
              <w:br/>
              <w:t>Comprehensive</w:t>
              <w:br/>
              <w:t>Losses</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28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Accumulated</w:t>
              <w:br/>
              <w:t>Losses</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46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Noncontrolling</w:t>
              <w:br/>
              <w:t>Interests</w:t>
            </w:r>
          </w:p>
        </w:tc>
        <w:tc>
          <w:tcPr>
            <w:tcW w:w="155" w:type="dxa"/>
            <w:vMerge w:val="restart"/>
            <w:tcBorders/>
            <w:shd w:fill="auto" w:val="clear"/>
            <w:vAlign w:val="center"/>
          </w:tcPr>
          <w:p>
            <w:pPr>
              <w:pStyle w:val="TableContents"/>
              <w:spacing w:before="0" w:after="0"/>
              <w:rPr>
                <w:spacing w:val="0"/>
              </w:rPr>
            </w:pPr>
            <w:r>
              <w:rPr>
                <w:spacing w:val="0"/>
              </w:rPr>
              <w:t> </w:t>
            </w:r>
          </w:p>
        </w:tc>
        <w:tc>
          <w:tcPr>
            <w:tcW w:w="60" w:type="dxa"/>
            <w:vMerge w:val="restart"/>
            <w:tcBorders/>
            <w:shd w:fill="auto" w:val="clear"/>
            <w:vAlign w:val="center"/>
          </w:tcPr>
          <w:p>
            <w:pPr>
              <w:pStyle w:val="TableContents"/>
              <w:spacing w:before="0" w:after="0"/>
              <w:rPr>
                <w:spacing w:val="0"/>
              </w:rPr>
            </w:pPr>
            <w:r>
              <w:rPr>
                <w:spacing w:val="0"/>
              </w:rPr>
              <w:t> </w:t>
            </w:r>
          </w:p>
        </w:tc>
        <w:tc>
          <w:tcPr>
            <w:tcW w:w="1360" w:type="dxa"/>
            <w:gridSpan w:val="2"/>
            <w:vMerge w:val="restart"/>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Total</w:t>
              <w:br/>
              <w:t>(Deficit)</w:t>
              <w:br/>
              <w:t>Equity</w:t>
            </w:r>
          </w:p>
        </w:tc>
        <w:tc>
          <w:tcPr>
            <w:tcW w:w="170" w:type="dxa"/>
            <w:vMerge w:val="restart"/>
            <w:tcBorders/>
            <w:shd w:fill="auto" w:val="clear"/>
            <w:vAlign w:val="center"/>
          </w:tcPr>
          <w:p>
            <w:pPr>
              <w:pStyle w:val="TableContents"/>
              <w:spacing w:before="0" w:after="0"/>
              <w:rPr>
                <w:spacing w:val="0"/>
              </w:rPr>
            </w:pPr>
            <w:r>
              <w:rPr>
                <w:spacing w:val="0"/>
              </w:rPr>
              <w:t> </w:t>
            </w:r>
          </w:p>
        </w:tc>
      </w:tr>
      <w:tr>
        <w:trPr/>
        <w:tc>
          <w:tcPr>
            <w:tcW w:w="9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Shares</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Amount</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5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Shares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3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Amount</w:t>
            </w:r>
          </w:p>
        </w:tc>
        <w:tc>
          <w:tcPr>
            <w:tcW w:w="155" w:type="dxa"/>
            <w:tcBorders/>
            <w:shd w:fill="auto" w:val="clear"/>
            <w:vAlign w:val="center"/>
          </w:tcPr>
          <w:p>
            <w:pPr>
              <w:pStyle w:val="TableContents"/>
              <w:spacing w:before="0" w:after="0"/>
              <w:rPr>
                <w:spacing w:val="0"/>
              </w:rPr>
            </w:pPr>
            <w:r>
              <w:rPr>
                <w:spacing w:val="0"/>
              </w:rPr>
              <w:t> </w:t>
            </w:r>
          </w:p>
        </w:tc>
        <w:tc>
          <w:tcPr>
            <w:tcW w:w="60" w:type="dxa"/>
            <w:vMerge w:val="continue"/>
            <w:tcBorders/>
            <w:shd w:fill="auto" w:val="clear"/>
            <w:vAlign w:val="center"/>
          </w:tcPr>
          <w:p>
            <w:pPr>
              <w:pStyle w:val="Normal"/>
              <w:rPr/>
            </w:pPr>
            <w:r>
              <w:rPr/>
            </w:r>
          </w:p>
        </w:tc>
        <w:tc>
          <w:tcPr>
            <w:tcW w:w="112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505"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28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460" w:type="dxa"/>
            <w:gridSpan w:val="2"/>
            <w:vMerge w:val="continue"/>
            <w:tcBorders>
              <w:bottom w:val="single" w:sz="8" w:space="0" w:color="000000"/>
            </w:tcBorders>
            <w:shd w:fill="auto" w:val="clear"/>
            <w:tcMar>
              <w:bottom w:w="28" w:type="dxa"/>
            </w:tcM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360" w:type="dxa"/>
            <w:gridSpan w:val="2"/>
            <w:vMerge w:val="continue"/>
            <w:tcBorders>
              <w:bottom w:val="single" w:sz="8" w:space="0" w:color="000000"/>
            </w:tcBorders>
            <w:shd w:fill="auto" w:val="clear"/>
            <w:tcMar>
              <w:bottom w:w="28" w:type="dxa"/>
            </w:tcM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Balance at January 1,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1,456,547,942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14,565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(19,219,846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(90,585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3,178,579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w:t>
            </w:r>
          </w:p>
        </w:tc>
        <w:tc>
          <w:tcPr>
            <w:tcW w:w="1351" w:type="dxa"/>
            <w:tcBorders/>
            <w:shd w:fill="CCEEFF" w:val="clear"/>
            <w:vAlign w:val="center"/>
          </w:tcPr>
          <w:p>
            <w:pPr>
              <w:pStyle w:val="TableContents"/>
              <w:spacing w:before="0" w:after="283"/>
              <w:jc w:val="right"/>
              <w:rPr/>
            </w:pPr>
            <w:r>
              <w:rPr/>
              <w:t>(18,803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w:t>
            </w:r>
          </w:p>
        </w:tc>
        <w:tc>
          <w:tcPr>
            <w:tcW w:w="1131" w:type="dxa"/>
            <w:tcBorders/>
            <w:shd w:fill="CCEEFF" w:val="clear"/>
            <w:vAlign w:val="center"/>
          </w:tcPr>
          <w:p>
            <w:pPr>
              <w:pStyle w:val="TableContents"/>
              <w:spacing w:before="0" w:after="283"/>
              <w:jc w:val="right"/>
              <w:rPr/>
            </w:pPr>
            <w:r>
              <w:rPr/>
              <w:t>(644,788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w:t>
            </w:r>
          </w:p>
        </w:tc>
        <w:tc>
          <w:tcPr>
            <w:tcW w:w="1310" w:type="dxa"/>
            <w:tcBorders/>
            <w:shd w:fill="CCEEFF" w:val="clear"/>
            <w:vAlign w:val="center"/>
          </w:tcPr>
          <w:p>
            <w:pPr>
              <w:pStyle w:val="TableContents"/>
              <w:spacing w:before="0" w:after="283"/>
              <w:jc w:val="right"/>
              <w:rPr/>
            </w:pPr>
            <w:r>
              <w:rPr/>
              <w:t>704,260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220" w:type="dxa"/>
            <w:tcBorders/>
            <w:shd w:fill="CCEEFF" w:val="clear"/>
            <w:vAlign w:val="center"/>
          </w:tcPr>
          <w:p>
            <w:pPr>
              <w:pStyle w:val="TableContents"/>
              <w:spacing w:before="0" w:after="283"/>
              <w:jc w:val="right"/>
              <w:rPr/>
            </w:pPr>
            <w:r>
              <w:rPr/>
              <w:t>3,143,228</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283"/>
              <w:rPr/>
            </w:pPr>
            <w:r>
              <w:rPr/>
              <w:t> </w:t>
            </w:r>
          </w:p>
        </w:tc>
        <w:tc>
          <w:tcPr>
            <w:tcW w:w="1735" w:type="dxa"/>
            <w:gridSpan w:val="4"/>
            <w:tcBorders/>
            <w:shd w:fill="auto" w:val="clear"/>
            <w:vAlign w:val="center"/>
          </w:tcPr>
          <w:p>
            <w:pPr>
              <w:pStyle w:val="TableContents"/>
              <w:spacing w:before="0" w:after="283"/>
              <w:rPr/>
            </w:pPr>
            <w:r>
              <w:rPr/>
              <w:t> </w:t>
            </w:r>
          </w:p>
        </w:tc>
        <w:tc>
          <w:tcPr>
            <w:tcW w:w="1575" w:type="dxa"/>
            <w:gridSpan w:val="4"/>
            <w:tcBorders/>
            <w:shd w:fill="auto" w:val="clear"/>
            <w:vAlign w:val="center"/>
          </w:tcPr>
          <w:p>
            <w:pPr>
              <w:pStyle w:val="TableContents"/>
              <w:spacing w:before="0" w:after="283"/>
              <w:rPr/>
            </w:pPr>
            <w:r>
              <w:rPr/>
              <w:t> </w:t>
            </w:r>
          </w:p>
        </w:tc>
        <w:tc>
          <w:tcPr>
            <w:tcW w:w="1630" w:type="dxa"/>
            <w:gridSpan w:val="4"/>
            <w:tcBorders/>
            <w:shd w:fill="auto" w:val="clear"/>
            <w:vAlign w:val="center"/>
          </w:tcPr>
          <w:p>
            <w:pPr>
              <w:pStyle w:val="TableContents"/>
              <w:spacing w:before="0" w:after="283"/>
              <w:rPr/>
            </w:pPr>
            <w:r>
              <w:rPr/>
              <w:t> </w:t>
            </w:r>
          </w:p>
        </w:tc>
        <w:tc>
          <w:tcPr>
            <w:tcW w:w="1575" w:type="dxa"/>
            <w:gridSpan w:val="4"/>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720" w:type="dxa"/>
            <w:gridSpan w:val="4"/>
            <w:tcBorders/>
            <w:shd w:fill="auto" w:val="clear"/>
            <w:vAlign w:val="center"/>
          </w:tcPr>
          <w:p>
            <w:pPr>
              <w:pStyle w:val="TableContents"/>
              <w:spacing w:before="0" w:after="283"/>
              <w:rPr/>
            </w:pPr>
            <w:r>
              <w:rPr/>
              <w:t> </w:t>
            </w:r>
          </w:p>
        </w:tc>
        <w:tc>
          <w:tcPr>
            <w:tcW w:w="1495" w:type="dxa"/>
            <w:gridSpan w:val="4"/>
            <w:tcBorders/>
            <w:shd w:fill="auto" w:val="clear"/>
            <w:vAlign w:val="center"/>
          </w:tcPr>
          <w:p>
            <w:pPr>
              <w:pStyle w:val="TableContents"/>
              <w:spacing w:before="0" w:after="283"/>
              <w:rPr/>
            </w:pPr>
            <w:r>
              <w:rPr/>
              <w:t> </w:t>
            </w:r>
          </w:p>
        </w:tc>
        <w:tc>
          <w:tcPr>
            <w:tcW w:w="1675" w:type="dxa"/>
            <w:gridSpan w:val="4"/>
            <w:tcBorders/>
            <w:shd w:fill="auto" w:val="clear"/>
            <w:vAlign w:val="center"/>
          </w:tcPr>
          <w:p>
            <w:pPr>
              <w:pStyle w:val="TableContents"/>
              <w:spacing w:before="0" w:after="283"/>
              <w:rPr/>
            </w:pPr>
            <w:r>
              <w:rPr/>
              <w:t> </w:t>
            </w:r>
          </w:p>
        </w:tc>
        <w:tc>
          <w:tcPr>
            <w:tcW w:w="1590" w:type="dxa"/>
            <w:gridSpan w:val="4"/>
            <w:tcBorders/>
            <w:shd w:fill="auto"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Net loss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(1,263,492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(191,122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(1,454,614</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Foreign currency translation adjustments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r>
              <w:rPr/>
              <w:t>7,471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         </w:t>
            </w:r>
            <w:r>
              <w:rPr/>
              <w:t>12,923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20,394</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Share-based compensation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42,276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42,285</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Shares repurchased by the Company</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(9,446,472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(44,977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(44,977</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Issuance of shares for restricted shares vested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2,694,507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r>
              <w:rPr/>
              <w:t>12,700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(12,750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(50</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Exercise of share options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389,181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1,834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1,061</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Changes in shareholdings of the Philippine subsidiaries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(43</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Changes in shareholdings of Studio City International</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218,104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218,146</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Dividends declared ($0.05504 per share)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(79,116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(79,116</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Dividends declared to noncontrolling interests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(8,243</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(8,243</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5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1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Balance at December 31, 2020</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1,456,547,942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r>
              <w:rPr/>
              <w:t>14,565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(25,582,630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(121,028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3,207,312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(11,332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(1,987,396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735,950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1,838,071</w:t>
            </w:r>
          </w:p>
        </w:tc>
        <w:tc>
          <w:tcPr>
            <w:tcW w:w="170" w:type="dxa"/>
            <w:tcBorders/>
            <w:shd w:fill="auto"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283"/>
              <w:rPr/>
            </w:pPr>
            <w:r>
              <w:rPr/>
              <w:t> </w:t>
            </w:r>
          </w:p>
        </w:tc>
        <w:tc>
          <w:tcPr>
            <w:tcW w:w="1735" w:type="dxa"/>
            <w:gridSpan w:val="4"/>
            <w:tcBorders/>
            <w:shd w:fill="auto" w:val="clear"/>
            <w:vAlign w:val="center"/>
          </w:tcPr>
          <w:p>
            <w:pPr>
              <w:pStyle w:val="TableContents"/>
              <w:spacing w:before="0" w:after="283"/>
              <w:rPr/>
            </w:pPr>
            <w:r>
              <w:rPr/>
              <w:t> </w:t>
            </w:r>
          </w:p>
        </w:tc>
        <w:tc>
          <w:tcPr>
            <w:tcW w:w="1575" w:type="dxa"/>
            <w:gridSpan w:val="4"/>
            <w:tcBorders/>
            <w:shd w:fill="auto" w:val="clear"/>
            <w:vAlign w:val="center"/>
          </w:tcPr>
          <w:p>
            <w:pPr>
              <w:pStyle w:val="TableContents"/>
              <w:spacing w:before="0" w:after="283"/>
              <w:rPr/>
            </w:pPr>
            <w:r>
              <w:rPr/>
              <w:t> </w:t>
            </w:r>
          </w:p>
        </w:tc>
        <w:tc>
          <w:tcPr>
            <w:tcW w:w="1630" w:type="dxa"/>
            <w:gridSpan w:val="4"/>
            <w:tcBorders/>
            <w:shd w:fill="auto" w:val="clear"/>
            <w:vAlign w:val="center"/>
          </w:tcPr>
          <w:p>
            <w:pPr>
              <w:pStyle w:val="TableContents"/>
              <w:spacing w:before="0" w:after="283"/>
              <w:rPr/>
            </w:pPr>
            <w:r>
              <w:rPr/>
              <w:t> </w:t>
            </w:r>
          </w:p>
        </w:tc>
        <w:tc>
          <w:tcPr>
            <w:tcW w:w="1575" w:type="dxa"/>
            <w:gridSpan w:val="4"/>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720" w:type="dxa"/>
            <w:gridSpan w:val="4"/>
            <w:tcBorders/>
            <w:shd w:fill="auto" w:val="clear"/>
            <w:vAlign w:val="center"/>
          </w:tcPr>
          <w:p>
            <w:pPr>
              <w:pStyle w:val="TableContents"/>
              <w:spacing w:before="0" w:after="283"/>
              <w:rPr/>
            </w:pPr>
            <w:r>
              <w:rPr/>
              <w:t> </w:t>
            </w:r>
          </w:p>
        </w:tc>
        <w:tc>
          <w:tcPr>
            <w:tcW w:w="1495" w:type="dxa"/>
            <w:gridSpan w:val="4"/>
            <w:tcBorders/>
            <w:shd w:fill="auto" w:val="clear"/>
            <w:vAlign w:val="center"/>
          </w:tcPr>
          <w:p>
            <w:pPr>
              <w:pStyle w:val="TableContents"/>
              <w:spacing w:before="0" w:after="283"/>
              <w:rPr/>
            </w:pPr>
            <w:r>
              <w:rPr/>
              <w:t> </w:t>
            </w:r>
          </w:p>
        </w:tc>
        <w:tc>
          <w:tcPr>
            <w:tcW w:w="1675" w:type="dxa"/>
            <w:gridSpan w:val="4"/>
            <w:tcBorders/>
            <w:shd w:fill="auto" w:val="clear"/>
            <w:vAlign w:val="center"/>
          </w:tcPr>
          <w:p>
            <w:pPr>
              <w:pStyle w:val="TableContents"/>
              <w:spacing w:before="0" w:after="283"/>
              <w:rPr/>
            </w:pPr>
            <w:r>
              <w:rPr/>
              <w:t> </w:t>
            </w:r>
          </w:p>
        </w:tc>
        <w:tc>
          <w:tcPr>
            <w:tcW w:w="1590" w:type="dxa"/>
            <w:gridSpan w:val="4"/>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(811,751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(144,713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(956,464</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Foreign currency translation adjustments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(64,676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(14,316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(78,992</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Share-based compensation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71,894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14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71,908</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Shares repurchased by the Company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(16,116,135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(52,026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(52,026</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Issuance of shares for restricted shares vested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6,042,543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28,516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(28,749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(233</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Exercise of share options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2,478,594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11,682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(5,314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6,368</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Changes in shareholdings of the Philippine subsidiaries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(6,951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(1,567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(8,518</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Restricted shares granted to employees of an affiliated company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(408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Dividends declared to noncontrolling interests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(229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(229</w:t>
            </w:r>
          </w:p>
        </w:tc>
        <w:tc>
          <w:tcPr>
            <w:tcW w:w="170" w:type="dxa"/>
            <w:tcBorders/>
            <w:shd w:fill="CCEEFF"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5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3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1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Balance at December 31, 2021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1,456,547,942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14,565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(33,177,628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(132,856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3,238,600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(76,008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(2,799,555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       </w:t>
            </w:r>
            <w:r>
              <w:rPr/>
              <w:t>575,139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r>
              <w:rPr/>
              <w:t>819,885</w:t>
            </w:r>
          </w:p>
        </w:tc>
        <w:tc>
          <w:tcPr>
            <w:tcW w:w="170" w:type="dxa"/>
            <w:tcBorders/>
            <w:shd w:fill="auto" w:val="clear"/>
            <w:vAlign w:val="center"/>
          </w:tcPr>
          <w:p>
            <w:pPr>
              <w:pStyle w:val="TableContents"/>
              <w:spacing w:before="0" w:after="283"/>
              <w:rPr/>
            </w:pPr>
            <w:r>
              <w:rPr/>
              <w:t> </w:t>
            </w:r>
          </w:p>
        </w:tc>
      </w:tr>
      <w:tr>
        <w:trPr/>
        <w:tc>
          <w:tcPr>
            <w:tcW w:w="935" w:type="dxa"/>
            <w:tcBorders/>
            <w:shd w:fill="auto" w:val="clear"/>
            <w:vAlign w:val="center"/>
          </w:tcPr>
          <w:p>
            <w:pPr>
              <w:pStyle w:val="TableContents"/>
              <w:spacing w:before="0" w:after="283"/>
              <w:rPr/>
            </w:pPr>
            <w:r>
              <w:rPr/>
              <w:t> </w:t>
            </w:r>
          </w:p>
        </w:tc>
        <w:tc>
          <w:tcPr>
            <w:tcW w:w="1735" w:type="dxa"/>
            <w:gridSpan w:val="4"/>
            <w:tcBorders/>
            <w:shd w:fill="auto" w:val="clear"/>
            <w:vAlign w:val="center"/>
          </w:tcPr>
          <w:p>
            <w:pPr>
              <w:pStyle w:val="TableContents"/>
              <w:spacing w:before="0" w:after="283"/>
              <w:rPr/>
            </w:pPr>
            <w:r>
              <w:rPr/>
              <w:t> </w:t>
            </w:r>
          </w:p>
        </w:tc>
        <w:tc>
          <w:tcPr>
            <w:tcW w:w="1575" w:type="dxa"/>
            <w:gridSpan w:val="4"/>
            <w:tcBorders/>
            <w:shd w:fill="auto" w:val="clear"/>
            <w:vAlign w:val="center"/>
          </w:tcPr>
          <w:p>
            <w:pPr>
              <w:pStyle w:val="TableContents"/>
              <w:spacing w:before="0" w:after="283"/>
              <w:rPr/>
            </w:pPr>
            <w:r>
              <w:rPr/>
              <w:t> </w:t>
            </w:r>
          </w:p>
        </w:tc>
        <w:tc>
          <w:tcPr>
            <w:tcW w:w="1630" w:type="dxa"/>
            <w:gridSpan w:val="4"/>
            <w:tcBorders/>
            <w:shd w:fill="auto" w:val="clear"/>
            <w:vAlign w:val="center"/>
          </w:tcPr>
          <w:p>
            <w:pPr>
              <w:pStyle w:val="TableContents"/>
              <w:spacing w:before="0" w:after="283"/>
              <w:rPr/>
            </w:pPr>
            <w:r>
              <w:rPr/>
              <w:t> </w:t>
            </w:r>
          </w:p>
        </w:tc>
        <w:tc>
          <w:tcPr>
            <w:tcW w:w="1575" w:type="dxa"/>
            <w:gridSpan w:val="4"/>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720" w:type="dxa"/>
            <w:gridSpan w:val="4"/>
            <w:tcBorders/>
            <w:shd w:fill="auto" w:val="clear"/>
            <w:vAlign w:val="center"/>
          </w:tcPr>
          <w:p>
            <w:pPr>
              <w:pStyle w:val="TableContents"/>
              <w:spacing w:before="0" w:after="283"/>
              <w:rPr/>
            </w:pPr>
            <w:r>
              <w:rPr/>
              <w:t> </w:t>
            </w:r>
          </w:p>
        </w:tc>
        <w:tc>
          <w:tcPr>
            <w:tcW w:w="1495" w:type="dxa"/>
            <w:gridSpan w:val="4"/>
            <w:tcBorders/>
            <w:shd w:fill="auto" w:val="clear"/>
            <w:vAlign w:val="center"/>
          </w:tcPr>
          <w:p>
            <w:pPr>
              <w:pStyle w:val="TableContents"/>
              <w:spacing w:before="0" w:after="283"/>
              <w:rPr/>
            </w:pPr>
            <w:r>
              <w:rPr/>
              <w:t> </w:t>
            </w:r>
          </w:p>
        </w:tc>
        <w:tc>
          <w:tcPr>
            <w:tcW w:w="1675" w:type="dxa"/>
            <w:gridSpan w:val="4"/>
            <w:tcBorders/>
            <w:shd w:fill="auto" w:val="clear"/>
            <w:vAlign w:val="center"/>
          </w:tcPr>
          <w:p>
            <w:pPr>
              <w:pStyle w:val="TableContents"/>
              <w:spacing w:before="0" w:after="283"/>
              <w:rPr/>
            </w:pPr>
            <w:r>
              <w:rPr/>
              <w:t> </w:t>
            </w:r>
          </w:p>
        </w:tc>
        <w:tc>
          <w:tcPr>
            <w:tcW w:w="1590" w:type="dxa"/>
            <w:gridSpan w:val="4"/>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Net loss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(930,526</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(166,641</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(1,097,167</w:t>
            </w:r>
          </w:p>
        </w:tc>
        <w:tc>
          <w:tcPr>
            <w:tcW w:w="170" w:type="dxa"/>
            <w:tcBorders/>
            <w:shd w:fill="CCEEFF" w:val="clear"/>
            <w:vAlign w:val="center"/>
          </w:tcPr>
          <w:p>
            <w:pPr>
              <w:pStyle w:val="TableContents"/>
              <w:spacing w:before="0" w:after="283"/>
              <w:rPr/>
            </w:pPr>
            <w:r>
              <w:rPr/>
              <w:t>)</w:t>
            </w:r>
          </w:p>
        </w:tc>
      </w:tr>
      <w:tr>
        <w:trPr/>
        <w:tc>
          <w:tcPr>
            <w:tcW w:w="935" w:type="dxa"/>
            <w:tcBorders/>
            <w:shd w:fill="auto"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Foreign currency translation adjustments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right"/>
              <w:rPr/>
            </w:pPr>
            <w:r>
              <w:rPr/>
              <w:t>(35,961</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1310" w:type="dxa"/>
            <w:tcBorders/>
            <w:shd w:fill="auto" w:val="clear"/>
            <w:vAlign w:val="center"/>
          </w:tcPr>
          <w:p>
            <w:pPr>
              <w:pStyle w:val="TableContents"/>
              <w:spacing w:before="0" w:after="283"/>
              <w:jc w:val="right"/>
              <w:rPr/>
            </w:pPr>
            <w:r>
              <w:rPr/>
              <w:t>(5,121</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(41,082</w:t>
            </w:r>
          </w:p>
        </w:tc>
        <w:tc>
          <w:tcPr>
            <w:tcW w:w="170" w:type="dxa"/>
            <w:tcBorders/>
            <w:shd w:fill="auto" w:val="clear"/>
            <w:vAlign w:val="center"/>
          </w:tcPr>
          <w:p>
            <w:pPr>
              <w:pStyle w:val="TableContents"/>
              <w:spacing w:before="0" w:after="283"/>
              <w:rPr/>
            </w:pPr>
            <w:r>
              <w:rPr/>
              <w:t>)</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Share-based compensation</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0"/>
              <w:jc w:val="right"/>
              <w:rPr>
                <w:spacing w:val="0"/>
              </w:rPr>
            </w:pPr>
            <w:r>
              <w:rPr>
                <w:spacing w:val="0"/>
              </w:rPr>
              <w:t>62,831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10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xml:space="preserve">62,841 </w:t>
            </w:r>
          </w:p>
        </w:tc>
        <w:tc>
          <w:tcPr>
            <w:tcW w:w="170" w:type="dxa"/>
            <w:tcBorders/>
            <w:shd w:fill="CCEEFF" w:val="clear"/>
            <w:vAlign w:val="center"/>
          </w:tcPr>
          <w:p>
            <w:pPr>
              <w:pStyle w:val="TableContents"/>
              <w:spacing w:before="0" w:after="283"/>
              <w:rPr/>
            </w:pPr>
            <w:r>
              <w:rPr/>
              <w:t> </w:t>
            </w:r>
          </w:p>
        </w:tc>
      </w:tr>
      <w:tr>
        <w:trPr/>
        <w:tc>
          <w:tcPr>
            <w:tcW w:w="935" w:type="dxa"/>
            <w:tcBorders/>
            <w:shd w:fill="FFFF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Shares repurchased by the Company</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0" w:type="dxa"/>
            <w:tcBorders/>
            <w:shd w:fill="FFFFFF" w:val="clear"/>
            <w:vAlign w:val="center"/>
          </w:tcPr>
          <w:p>
            <w:pPr>
              <w:pStyle w:val="TableContents"/>
              <w:spacing w:before="0" w:after="283"/>
              <w:jc w:val="right"/>
              <w:rPr/>
            </w:pPr>
            <w:r>
              <w:rPr/>
              <w:t>—</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5" w:type="dxa"/>
            <w:tcBorders/>
            <w:shd w:fill="FFFFFF" w:val="clear"/>
            <w:vAlign w:val="center"/>
          </w:tcPr>
          <w:p>
            <w:pPr>
              <w:pStyle w:val="TableContents"/>
              <w:spacing w:before="0" w:after="283"/>
              <w:jc w:val="right"/>
              <w:rPr/>
            </w:pPr>
            <w:r>
              <w:rPr/>
              <w:t>(102,783,027</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(189,161</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135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113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c>
          <w:tcPr>
            <w:tcW w:w="131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(189,161</w:t>
            </w:r>
          </w:p>
        </w:tc>
        <w:tc>
          <w:tcPr>
            <w:tcW w:w="170" w:type="dxa"/>
            <w:tcBorders/>
            <w:shd w:fill="FFFFFF" w:val="clear"/>
            <w:vAlign w:val="center"/>
          </w:tcPr>
          <w:p>
            <w:pPr>
              <w:pStyle w:val="TableContents"/>
              <w:spacing w:before="0" w:after="283"/>
              <w:rPr/>
            </w:pPr>
            <w:r>
              <w:rPr/>
              <w:t>)</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Retirement of repurchased shares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0"/>
              <w:jc w:val="right"/>
              <w:rPr>
                <w:spacing w:val="0"/>
              </w:rPr>
            </w:pPr>
            <w:r>
              <w:rPr>
                <w:spacing w:val="0"/>
              </w:rPr>
              <w:t>(11,495,799</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 </w:t>
            </w:r>
          </w:p>
        </w:tc>
        <w:tc>
          <w:tcPr>
            <w:tcW w:w="1220" w:type="dxa"/>
            <w:tcBorders/>
            <w:shd w:fill="CCEEFF" w:val="clear"/>
            <w:vAlign w:val="center"/>
          </w:tcPr>
          <w:p>
            <w:pPr>
              <w:pStyle w:val="TableContents"/>
              <w:spacing w:before="0" w:after="0"/>
              <w:jc w:val="right"/>
              <w:rPr>
                <w:spacing w:val="0"/>
              </w:rPr>
            </w:pPr>
            <w:r>
              <w:rPr>
                <w:spacing w:val="0"/>
              </w:rPr>
              <w:t>(114</w:t>
            </w:r>
          </w:p>
        </w:tc>
        <w:tc>
          <w:tcPr>
            <w:tcW w:w="95" w:type="dxa"/>
            <w:tcBorders/>
            <w:shd w:fill="CCEEFF" w:val="clear"/>
            <w:vAlign w:val="center"/>
          </w:tcPr>
          <w:p>
            <w:pPr>
              <w:pStyle w:val="TableContents"/>
              <w:spacing w:before="0" w:after="0"/>
              <w:rPr>
                <w:spacing w:val="0"/>
              </w:rPr>
            </w:pPr>
            <w:r>
              <w:rPr>
                <w:spacing w:val="0"/>
              </w:rPr>
              <w: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11,495,799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21,971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(21,857</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935" w:type="dxa"/>
            <w:tcBorders/>
            <w:shd w:fill="FFFF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Issuance of shares for restricted shares vested</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5" w:type="dxa"/>
            <w:tcBorders/>
            <w:shd w:fill="FFFFFF" w:val="clear"/>
            <w:vAlign w:val="center"/>
          </w:tcPr>
          <w:p>
            <w:pPr>
              <w:pStyle w:val="TableContents"/>
              <w:spacing w:before="0" w:after="283"/>
              <w:jc w:val="right"/>
              <w:rPr/>
            </w:pPr>
            <w:r>
              <w:rPr/>
              <w:t>14,720,040</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58,296</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(58,756</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135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113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c>
          <w:tcPr>
            <w:tcW w:w="131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(460</w:t>
            </w:r>
          </w:p>
        </w:tc>
        <w:tc>
          <w:tcPr>
            <w:tcW w:w="170" w:type="dxa"/>
            <w:tcBorders/>
            <w:shd w:fill="FFFFFF" w:val="clear"/>
            <w:vAlign w:val="center"/>
          </w:tcPr>
          <w:p>
            <w:pPr>
              <w:pStyle w:val="TableContents"/>
              <w:spacing w:before="0" w:after="283"/>
              <w:rPr/>
            </w:pPr>
            <w:r>
              <w:rPr/>
              <w:t>)</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Changes in shareholdings of the Philippine subsidiaries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(2,952</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(358</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(3,310</w:t>
            </w:r>
          </w:p>
        </w:tc>
        <w:tc>
          <w:tcPr>
            <w:tcW w:w="170" w:type="dxa"/>
            <w:tcBorders/>
            <w:shd w:fill="CCEEFF" w:val="clear"/>
            <w:vAlign w:val="center"/>
          </w:tcPr>
          <w:p>
            <w:pPr>
              <w:pStyle w:val="TableContents"/>
              <w:spacing w:before="0" w:after="283"/>
              <w:rPr/>
            </w:pPr>
            <w:r>
              <w:rPr/>
              <w:t>)</w:t>
            </w:r>
          </w:p>
        </w:tc>
      </w:tr>
      <w:tr>
        <w:trPr/>
        <w:tc>
          <w:tcPr>
            <w:tcW w:w="935" w:type="dxa"/>
            <w:tcBorders/>
            <w:shd w:fill="FFFF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Changes in shareholdings of Studio City International</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980" w:type="dxa"/>
            <w:tcBorders/>
            <w:shd w:fill="FFFFFF" w:val="clear"/>
            <w:vAlign w:val="center"/>
          </w:tcPr>
          <w:p>
            <w:pPr>
              <w:pStyle w:val="TableContents"/>
              <w:spacing w:before="0" w:after="283"/>
              <w:jc w:val="right"/>
              <w:rPr/>
            </w:pPr>
            <w:r>
              <w:rPr/>
              <w:t>879</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135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113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c>
          <w:tcPr>
            <w:tcW w:w="1310" w:type="dxa"/>
            <w:tcBorders/>
            <w:shd w:fill="FFFFFF" w:val="clear"/>
            <w:vAlign w:val="center"/>
          </w:tcPr>
          <w:p>
            <w:pPr>
              <w:pStyle w:val="TableContents"/>
              <w:spacing w:before="0" w:after="283"/>
              <w:jc w:val="right"/>
              <w:rPr/>
            </w:pPr>
            <w:r>
              <w:rPr/>
              <w:t>133,224</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134,103</w:t>
            </w:r>
          </w:p>
        </w:tc>
        <w:tc>
          <w:tcPr>
            <w:tcW w:w="170" w:type="dxa"/>
            <w:tcBorders/>
            <w:shd w:fill="FFFFFF"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z w:val="14"/>
              </w:rPr>
            </w:pPr>
            <w:r>
              <w:rPr>
                <w:rFonts w:ascii="Times New Roman" w:hAnsi="Times New Roman"/>
                <w:sz w:val="14"/>
              </w:rPr>
              <w:t>Restricted shares granted to employees of an affiliated company, net of adjustment</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(129</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129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ind w:left="0" w:right="0" w:hanging="135"/>
              <w:rPr/>
            </w:pPr>
            <w:r>
              <w:rPr/>
              <w:t> </w:t>
            </w:r>
          </w:p>
        </w:tc>
      </w:tr>
      <w:tr>
        <w:trPr/>
        <w:tc>
          <w:tcPr>
            <w:tcW w:w="935" w:type="dxa"/>
            <w:tcBorders/>
            <w:shd w:fill="FFFF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Reimbursement from an affiliated company for restricted shares</w:t>
            </w:r>
          </w:p>
          <w:p>
            <w:pPr>
              <w:pStyle w:val="TableContents"/>
              <w:spacing w:before="0" w:after="0"/>
              <w:rPr>
                <w:rFonts w:ascii="Times New Roman" w:hAnsi="Times New Roman"/>
                <w:sz w:val="14"/>
              </w:rPr>
            </w:pPr>
            <w:r>
              <w:rPr>
                <w:rFonts w:ascii="Times New Roman" w:hAnsi="Times New Roman"/>
                <w:sz w:val="14"/>
              </w:rPr>
            </w:r>
          </w:p>
          <w:p>
            <w:pPr>
              <w:pStyle w:val="TableContents"/>
              <w:spacing w:before="0" w:after="0"/>
              <w:rPr>
                <w:spacing w:val="0"/>
              </w:rPr>
            </w:pPr>
            <w:r>
              <w:rPr>
                <w:spacing w:val="0"/>
              </w:rPr>
              <w:t xml:space="preserve">  </w:t>
            </w:r>
          </w:p>
          <w:p>
            <w:pPr>
              <w:pStyle w:val="TableContents"/>
              <w:spacing w:before="0" w:after="0"/>
              <w:rPr>
                <w:spacing w:val="0"/>
              </w:rPr>
            </w:pPr>
            <w:r>
              <w:rPr>
                <w:spacing w:val="0"/>
              </w:rPr>
              <w:t> </w:t>
            </w:r>
          </w:p>
          <w:p>
            <w:pPr>
              <w:pStyle w:val="TableContents"/>
              <w:spacing w:before="0" w:after="0"/>
              <w:rPr>
                <w:spacing w:val="0"/>
              </w:rPr>
            </w:pPr>
            <w:r>
              <w:rPr>
                <w:spacing w:val="0"/>
              </w:rPr>
              <w:t> </w:t>
            </w:r>
          </w:p>
          <w:p>
            <w:pPr>
              <w:pStyle w:val="TableContents"/>
              <w:spacing w:before="0" w:after="0"/>
              <w:rPr>
                <w:rFonts w:ascii="Times New Roman" w:hAnsi="Times New Roman"/>
                <w:spacing w:val="0"/>
                <w:sz w:val="14"/>
              </w:rPr>
            </w:pPr>
            <w:r>
              <w:rPr>
                <w:rFonts w:ascii="Times New Roman" w:hAnsi="Times New Roman"/>
                <w:spacing w:val="0"/>
                <w:sz w:val="14"/>
              </w:rPr>
              <w:t>granted to its employees</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5"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22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980" w:type="dxa"/>
            <w:tcBorders/>
            <w:shd w:fill="FFFFFF" w:val="clear"/>
            <w:vAlign w:val="center"/>
          </w:tcPr>
          <w:p>
            <w:pPr>
              <w:pStyle w:val="TableContents"/>
              <w:spacing w:before="0" w:after="0"/>
              <w:jc w:val="right"/>
              <w:rPr>
                <w:spacing w:val="0"/>
              </w:rPr>
            </w:pPr>
            <w:r>
              <w:rPr>
                <w:spacing w:val="0"/>
              </w:rPr>
              <w:t>279</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135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 </w:t>
            </w:r>
          </w:p>
        </w:tc>
        <w:tc>
          <w:tcPr>
            <w:tcW w:w="1131"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 </w:t>
            </w:r>
          </w:p>
        </w:tc>
        <w:tc>
          <w:tcPr>
            <w:tcW w:w="131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ind w:left="0" w:right="0" w:hanging="0"/>
              <w:rPr/>
            </w:pPr>
            <w:r>
              <w:rPr/>
              <w:t> </w:t>
            </w:r>
          </w:p>
        </w:tc>
        <w:tc>
          <w:tcPr>
            <w:tcW w:w="1220" w:type="dxa"/>
            <w:tcBorders/>
            <w:shd w:fill="FFFFFF" w:val="clear"/>
            <w:vAlign w:val="center"/>
          </w:tcPr>
          <w:p>
            <w:pPr>
              <w:pStyle w:val="TableContents"/>
              <w:spacing w:before="0" w:after="0"/>
              <w:jc w:val="right"/>
              <w:rPr>
                <w:spacing w:val="0"/>
              </w:rPr>
            </w:pPr>
            <w:r>
              <w:rPr>
                <w:spacing w:val="0"/>
              </w:rPr>
              <w:t>279</w:t>
            </w:r>
          </w:p>
          <w:p>
            <w:pPr>
              <w:pStyle w:val="TableContents"/>
              <w:spacing w:before="0" w:after="0"/>
              <w:rPr/>
            </w:pPr>
            <w:r>
              <w:rPr/>
            </w:r>
          </w:p>
        </w:tc>
        <w:tc>
          <w:tcPr>
            <w:tcW w:w="170" w:type="dxa"/>
            <w:tcBorders/>
            <w:shd w:fill="FFFFFF"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Dividends declared to noncontrolling interests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135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9" w:type="dxa"/>
            <w:tcBorders/>
            <w:shd w:fill="CCEEFF" w:val="clear"/>
            <w:vAlign w:val="center"/>
          </w:tcPr>
          <w:p>
            <w:pPr>
              <w:pStyle w:val="TableContents"/>
              <w:spacing w:before="0" w:after="283"/>
              <w:rPr/>
            </w:pPr>
            <w:r>
              <w:rPr/>
              <w:t> </w:t>
            </w:r>
          </w:p>
        </w:tc>
        <w:tc>
          <w:tcPr>
            <w:tcW w:w="1131"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1310" w:type="dxa"/>
            <w:tcBorders/>
            <w:shd w:fill="CCEEFF" w:val="clear"/>
            <w:vAlign w:val="center"/>
          </w:tcPr>
          <w:p>
            <w:pPr>
              <w:pStyle w:val="TableContents"/>
              <w:spacing w:before="0" w:after="283"/>
              <w:jc w:val="right"/>
              <w:rPr/>
            </w:pPr>
            <w:r>
              <w:rPr/>
              <w:t>(290</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right"/>
              <w:rPr/>
            </w:pPr>
            <w:r>
              <w:rPr/>
              <w:t>(290</w:t>
            </w:r>
          </w:p>
        </w:tc>
        <w:tc>
          <w:tcPr>
            <w:tcW w:w="170" w:type="dxa"/>
            <w:tcBorders/>
            <w:shd w:fill="CCEEFF" w:val="clear"/>
            <w:vAlign w:val="center"/>
          </w:tcPr>
          <w:p>
            <w:pPr>
              <w:pStyle w:val="TableContents"/>
              <w:spacing w:before="0" w:after="283"/>
              <w:rPr/>
            </w:pPr>
            <w:r>
              <w:rPr/>
              <w:t>)</w:t>
            </w:r>
          </w:p>
        </w:tc>
      </w:tr>
      <w:tr>
        <w:trPr/>
        <w:tc>
          <w:tcPr>
            <w:tcW w:w="93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40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295"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351"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131"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31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22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FFFFFF" w:val="clear"/>
            <w:vAlign w:val="center"/>
          </w:tcPr>
          <w:p>
            <w:pPr>
              <w:pStyle w:val="TableContents"/>
              <w:spacing w:before="0" w:after="283"/>
              <w:rPr/>
            </w:pPr>
            <w:r>
              <w:rPr/>
              <w:t> </w:t>
            </w:r>
          </w:p>
        </w:tc>
      </w:tr>
      <w:tr>
        <w:trPr/>
        <w:tc>
          <w:tcPr>
            <w:tcW w:w="935" w:type="dxa"/>
            <w:tcBorders/>
            <w:shd w:fill="FFFFFF" w:val="clear"/>
            <w:vAlign w:val="center"/>
          </w:tcPr>
          <w:p>
            <w:pPr>
              <w:pStyle w:val="TableContents"/>
              <w:spacing w:before="0" w:after="0"/>
              <w:rPr>
                <w:rFonts w:ascii="Times New Roman" w:hAnsi="Times New Roman"/>
                <w:spacing w:val="0"/>
                <w:sz w:val="14"/>
              </w:rPr>
            </w:pPr>
            <w:r>
              <w:rPr>
                <w:rFonts w:ascii="Times New Roman" w:hAnsi="Times New Roman"/>
                <w:spacing w:val="0"/>
                <w:sz w:val="14"/>
              </w:rPr>
              <w:t>Balance at December 31, 2022</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0" w:type="dxa"/>
            <w:tcBorders/>
            <w:shd w:fill="FFFFFF" w:val="clear"/>
            <w:vAlign w:val="center"/>
          </w:tcPr>
          <w:p>
            <w:pPr>
              <w:pStyle w:val="TableContents"/>
              <w:spacing w:before="0" w:after="283"/>
              <w:jc w:val="right"/>
              <w:rPr/>
            </w:pPr>
            <w:r>
              <w:rPr/>
              <w:t>1,445,052,143</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jc w:val="right"/>
              <w:rPr/>
            </w:pPr>
            <w:r>
              <w:rPr/>
              <w:t>14,451</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5" w:type="dxa"/>
            <w:tcBorders/>
            <w:shd w:fill="FFFFFF" w:val="clear"/>
            <w:vAlign w:val="center"/>
          </w:tcPr>
          <w:p>
            <w:pPr>
              <w:pStyle w:val="TableContents"/>
              <w:spacing w:before="0" w:after="283"/>
              <w:jc w:val="right"/>
              <w:rPr/>
            </w:pPr>
            <w:r>
              <w:rPr/>
              <w:t>(109,744,816</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jc w:val="right"/>
              <w:rPr/>
            </w:pPr>
            <w:r>
              <w:rPr/>
              <w:t>(241,750</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3,218,895</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w:t>
            </w:r>
          </w:p>
        </w:tc>
        <w:tc>
          <w:tcPr>
            <w:tcW w:w="1351" w:type="dxa"/>
            <w:tcBorders/>
            <w:shd w:fill="FFFFFF" w:val="clear"/>
            <w:vAlign w:val="center"/>
          </w:tcPr>
          <w:p>
            <w:pPr>
              <w:pStyle w:val="TableContents"/>
              <w:spacing w:before="0" w:after="283"/>
              <w:jc w:val="right"/>
              <w:rPr/>
            </w:pPr>
            <w:r>
              <w:rPr/>
              <w:t>(111,969</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283"/>
              <w:rPr/>
            </w:pPr>
            <w:r>
              <w:rPr/>
              <w:t>$</w:t>
            </w:r>
          </w:p>
        </w:tc>
        <w:tc>
          <w:tcPr>
            <w:tcW w:w="1131" w:type="dxa"/>
            <w:tcBorders/>
            <w:shd w:fill="FFFFFF" w:val="clear"/>
            <w:vAlign w:val="center"/>
          </w:tcPr>
          <w:p>
            <w:pPr>
              <w:pStyle w:val="TableContents"/>
              <w:spacing w:before="0" w:after="283"/>
              <w:jc w:val="right"/>
              <w:rPr/>
            </w:pPr>
            <w:r>
              <w:rPr/>
              <w:t>(3,729,952</w:t>
            </w:r>
          </w:p>
        </w:tc>
        <w:tc>
          <w:tcPr>
            <w:tcW w:w="155"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rPr/>
            </w:pPr>
            <w:r>
              <w:rPr/>
              <w:t>$</w:t>
            </w:r>
          </w:p>
        </w:tc>
        <w:tc>
          <w:tcPr>
            <w:tcW w:w="1310" w:type="dxa"/>
            <w:tcBorders/>
            <w:shd w:fill="FFFFFF" w:val="clear"/>
            <w:vAlign w:val="center"/>
          </w:tcPr>
          <w:p>
            <w:pPr>
              <w:pStyle w:val="TableContents"/>
              <w:spacing w:before="0" w:after="283"/>
              <w:jc w:val="right"/>
              <w:rPr/>
            </w:pPr>
            <w:r>
              <w:rPr/>
              <w:t>535,963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220" w:type="dxa"/>
            <w:tcBorders/>
            <w:shd w:fill="FFFFFF" w:val="clear"/>
            <w:vAlign w:val="center"/>
          </w:tcPr>
          <w:p>
            <w:pPr>
              <w:pStyle w:val="TableContents"/>
              <w:spacing w:before="0" w:after="283"/>
              <w:jc w:val="right"/>
              <w:rPr/>
            </w:pPr>
            <w:r>
              <w:rPr/>
              <w:t>(314,362</w:t>
            </w:r>
          </w:p>
        </w:tc>
        <w:tc>
          <w:tcPr>
            <w:tcW w:w="170" w:type="dxa"/>
            <w:tcBorders/>
            <w:shd w:fill="FFFFFF" w:val="clear"/>
            <w:vAlign w:val="center"/>
          </w:tcPr>
          <w:p>
            <w:pPr>
              <w:pStyle w:val="TableContents"/>
              <w:spacing w:before="0" w:after="283"/>
              <w:rPr/>
            </w:pPr>
            <w:r>
              <w:rPr/>
              <w:t>)</w:t>
            </w:r>
          </w:p>
        </w:tc>
      </w:tr>
      <w:tr>
        <w:trPr/>
        <w:tc>
          <w:tcPr>
            <w:tcW w:w="93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295"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351"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9"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131"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31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22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FFFFFF" w:val="clear"/>
            <w:vAlign w:val="center"/>
          </w:tcPr>
          <w:p>
            <w:pPr>
              <w:pStyle w:val="TableContents"/>
              <w:spacing w:before="0" w:after="283"/>
              <w:rPr/>
            </w:pPr>
            <w:r>
              <w:rPr/>
              <w:t> </w:t>
            </w:r>
          </w:p>
        </w:tc>
      </w:tr>
    </w:tbl>
    <w:p>
      <w:pPr>
        <w:pStyle w:val="TextBody"/>
        <w:spacing w:before="120" w:after="0"/>
        <w:ind w:left="0" w:right="0" w:hanging="0"/>
        <w:jc w:val="center"/>
        <w:rPr>
          <w:rFonts w:ascii="Times New Roman" w:hAnsi="Times New Roman"/>
          <w:spacing w:val="0"/>
          <w:sz w:val="14"/>
        </w:rPr>
      </w:pPr>
      <w:r>
        <w:rPr>
          <w:rFonts w:ascii="Times New Roman" w:hAnsi="Times New Roman"/>
          <w:spacing w:val="0"/>
          <w:sz w:val="14"/>
        </w:rPr>
        <w:t xml:space="preserve">The accompanying notes are an integral part of these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F-1</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915"/>
        <w:gridCol w:w="60"/>
        <w:gridCol w:w="140"/>
        <w:gridCol w:w="1055"/>
        <w:gridCol w:w="154"/>
        <w:gridCol w:w="60"/>
        <w:gridCol w:w="140"/>
        <w:gridCol w:w="1040"/>
        <w:gridCol w:w="155"/>
        <w:gridCol w:w="60"/>
        <w:gridCol w:w="140"/>
        <w:gridCol w:w="1055"/>
        <w:gridCol w:w="231"/>
      </w:tblGrid>
      <w:tr>
        <w:trPr/>
        <w:tc>
          <w:tcPr>
            <w:tcW w:w="59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59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3999" w:type="dxa"/>
            <w:gridSpan w:val="10"/>
            <w:tcBorders/>
            <w:shd w:fill="auto" w:val="clear"/>
            <w:vAlign w:val="center"/>
          </w:tcPr>
          <w:p>
            <w:pPr>
              <w:pStyle w:val="TableContents"/>
              <w:spacing w:before="0" w:after="0"/>
              <w:jc w:val="center"/>
              <w:rPr/>
            </w:pPr>
            <w:r>
              <w:rPr/>
              <w:t>Year Ended December 31,</w:t>
            </w:r>
          </w:p>
        </w:tc>
        <w:tc>
          <w:tcPr>
            <w:tcW w:w="231" w:type="dxa"/>
            <w:tcBorders/>
            <w:shd w:fill="auto" w:val="clear"/>
            <w:vAlign w:val="center"/>
          </w:tcPr>
          <w:p>
            <w:pPr>
              <w:pStyle w:val="TableContents"/>
              <w:spacing w:before="0" w:after="0"/>
              <w:rPr/>
            </w:pPr>
            <w:r>
              <w:rPr/>
              <w:t> </w:t>
            </w:r>
          </w:p>
        </w:tc>
      </w:tr>
      <w:tr>
        <w:trPr/>
        <w:tc>
          <w:tcPr>
            <w:tcW w:w="591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95" w:type="dxa"/>
            <w:gridSpan w:val="2"/>
            <w:tcBorders/>
            <w:shd w:fill="auto" w:val="clear"/>
            <w:vAlign w:val="center"/>
          </w:tcPr>
          <w:p>
            <w:pPr>
              <w:pStyle w:val="TableContents"/>
              <w:spacing w:before="0" w:after="0"/>
              <w:jc w:val="center"/>
              <w:rPr/>
            </w:pPr>
            <w:r>
              <w:rPr/>
              <w:t>2022</w:t>
            </w:r>
          </w:p>
        </w:tc>
        <w:tc>
          <w:tcPr>
            <w:tcW w:w="154"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80" w:type="dxa"/>
            <w:gridSpan w:val="2"/>
            <w:tcBorders/>
            <w:shd w:fill="auto" w:val="cle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95" w:type="dxa"/>
            <w:gridSpan w:val="2"/>
            <w:tcBorders/>
            <w:shd w:fill="auto" w:val="clear"/>
            <w:vAlign w:val="center"/>
          </w:tcPr>
          <w:p>
            <w:pPr>
              <w:pStyle w:val="TableContents"/>
              <w:spacing w:before="0" w:after="0"/>
              <w:jc w:val="center"/>
              <w:rPr/>
            </w:pPr>
            <w:r>
              <w:rPr/>
              <w:t>2020</w:t>
            </w:r>
          </w:p>
        </w:tc>
        <w:tc>
          <w:tcPr>
            <w:tcW w:w="231" w:type="dxa"/>
            <w:tcBorders/>
            <w:shd w:fill="auto" w:val="clear"/>
            <w:vAlign w:val="center"/>
          </w:tcPr>
          <w:p>
            <w:pPr>
              <w:pStyle w:val="TableContents"/>
              <w:spacing w:before="0" w:after="0"/>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flows from operating activities:</w:t>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5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4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231" w:type="dxa"/>
            <w:tcBorders/>
            <w:shd w:fill="CCEEFF" w:val="clear"/>
            <w:vAlign w:val="center"/>
          </w:tcPr>
          <w:p>
            <w:pPr>
              <w:pStyle w:val="TableContents"/>
              <w:spacing w:before="0" w:after="283"/>
              <w:rPr>
                <w:sz w:val="4"/>
                <w:szCs w:val="4"/>
              </w:rPr>
            </w:pPr>
            <w:r>
              <w:rPr>
                <w:sz w:val="4"/>
                <w:szCs w:val="4"/>
              </w:rPr>
            </w:r>
          </w:p>
        </w:tc>
      </w:tr>
      <w:tr>
        <w:trPr/>
        <w:tc>
          <w:tcPr>
            <w:tcW w:w="59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(1,097,167</w:t>
            </w:r>
          </w:p>
        </w:tc>
        <w:tc>
          <w:tcPr>
            <w:tcW w:w="154"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(956,464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(1,454,614</w:t>
            </w:r>
          </w:p>
        </w:tc>
        <w:tc>
          <w:tcPr>
            <w:tcW w:w="231" w:type="dxa"/>
            <w:tcBorders/>
            <w:shd w:fill="auto"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r>
      <w:tr>
        <w:trPr/>
        <w:tc>
          <w:tcPr>
            <w:tcW w:w="59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521,939</w:t>
            </w:r>
          </w:p>
        </w:tc>
        <w:tc>
          <w:tcPr>
            <w:tcW w:w="15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579,847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618,530</w:t>
            </w:r>
          </w:p>
        </w:tc>
        <w:tc>
          <w:tcPr>
            <w:tcW w:w="231" w:type="dxa"/>
            <w:tcBorders/>
            <w:shd w:fill="auto"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deferred financing costs and original issue premiums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17,056</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16,276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17,646</w:t>
            </w:r>
          </w:p>
        </w:tc>
        <w:tc>
          <w:tcPr>
            <w:tcW w:w="231" w:type="dxa"/>
            <w:tcBorders/>
            <w:shd w:fill="CCEEFF" w:val="clear"/>
            <w:vAlign w:val="center"/>
          </w:tcPr>
          <w:p>
            <w:pPr>
              <w:pStyle w:val="TableContents"/>
              <w:spacing w:before="0" w:after="283"/>
              <w:rPr/>
            </w:pPr>
            <w:r>
              <w:rPr/>
              <w:t> </w:t>
            </w:r>
          </w:p>
        </w:tc>
      </w:tr>
      <w:tr>
        <w:trPr/>
        <w:tc>
          <w:tcPr>
            <w:tcW w:w="5915"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(Payment for) interest accretion on finance lease 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(16,843</w:t>
            </w:r>
          </w:p>
        </w:tc>
        <w:tc>
          <w:tcPr>
            <w:tcW w:w="154"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17,218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30,952</w:t>
            </w:r>
          </w:p>
        </w:tc>
        <w:tc>
          <w:tcPr>
            <w:tcW w:w="231" w:type="dxa"/>
            <w:tcBorders/>
            <w:shd w:fill="auto"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Net loss on disposal of property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476</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807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987</w:t>
            </w:r>
          </w:p>
        </w:tc>
        <w:tc>
          <w:tcPr>
            <w:tcW w:w="231" w:type="dxa"/>
            <w:tcBorders/>
            <w:shd w:fill="CCEEFF" w:val="clear"/>
            <w:vAlign w:val="center"/>
          </w:tcPr>
          <w:p>
            <w:pPr>
              <w:pStyle w:val="TableContents"/>
              <w:spacing w:before="0" w:after="283"/>
              <w:rPr/>
            </w:pPr>
            <w:r>
              <w:rPr/>
              <w:t> </w:t>
            </w:r>
          </w:p>
        </w:tc>
      </w:tr>
      <w:tr>
        <w:trPr/>
        <w:tc>
          <w:tcPr>
            <w:tcW w:w="59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loss recognized on property and equipment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3,595</w:t>
            </w:r>
          </w:p>
        </w:tc>
        <w:tc>
          <w:tcPr>
            <w:tcW w:w="15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3,643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8,127</w:t>
            </w:r>
          </w:p>
        </w:tc>
        <w:tc>
          <w:tcPr>
            <w:tcW w:w="231" w:type="dxa"/>
            <w:tcBorders/>
            <w:shd w:fill="auto"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loss recognized on assets held for sale</w:t>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0"/>
              <w:rPr/>
            </w:pPr>
            <w:r>
              <w:rPr/>
              <w:t> </w:t>
            </w:r>
          </w:p>
        </w:tc>
        <w:tc>
          <w:tcPr>
            <w:tcW w:w="1055" w:type="dxa"/>
            <w:tcBorders/>
            <w:shd w:fill="CCEEFF" w:val="clear"/>
            <w:vAlign w:val="center"/>
          </w:tcPr>
          <w:p>
            <w:pPr>
              <w:pStyle w:val="TableContents"/>
              <w:spacing w:before="0" w:after="0"/>
              <w:ind w:left="0" w:right="0" w:hanging="0"/>
              <w:jc w:val="right"/>
              <w:rPr>
                <w:spacing w:val="0"/>
              </w:rPr>
            </w:pPr>
            <w:r>
              <w:rPr>
                <w:spacing w:val="0"/>
              </w:rPr>
              <w:t>6,794</w:t>
            </w:r>
          </w:p>
        </w:tc>
        <w:tc>
          <w:tcPr>
            <w:tcW w:w="154"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0"/>
              <w:rPr/>
            </w:pPr>
            <w:r>
              <w:rPr/>
              <w:t> </w:t>
            </w:r>
          </w:p>
        </w:tc>
        <w:tc>
          <w:tcPr>
            <w:tcW w:w="1040" w:type="dxa"/>
            <w:tcBorders/>
            <w:shd w:fill="CCEEFF" w:val="clear"/>
            <w:vAlign w:val="center"/>
          </w:tcPr>
          <w:p>
            <w:pPr>
              <w:pStyle w:val="TableContents"/>
              <w:spacing w:before="0" w:after="0"/>
              <w:ind w:left="0" w:right="0" w:hanging="0"/>
              <w:jc w:val="right"/>
              <w:rPr>
                <w:spacing w:val="0"/>
              </w:rPr>
            </w:pPr>
            <w:r>
              <w:rPr>
                <w:spacing w:val="0"/>
              </w:rPr>
              <w:t>—</w:t>
            </w:r>
          </w:p>
        </w:tc>
        <w:tc>
          <w:tcPr>
            <w:tcW w:w="155"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0"/>
              <w:rPr/>
            </w:pPr>
            <w:r>
              <w:rPr/>
              <w:t> </w:t>
            </w:r>
          </w:p>
        </w:tc>
        <w:tc>
          <w:tcPr>
            <w:tcW w:w="140" w:type="dxa"/>
            <w:tcBorders/>
            <w:shd w:fill="CCEEFF" w:val="clear"/>
            <w:vAlign w:val="center"/>
          </w:tcPr>
          <w:p>
            <w:pPr>
              <w:pStyle w:val="TableContents"/>
              <w:spacing w:before="0" w:after="0"/>
              <w:rPr/>
            </w:pPr>
            <w:r>
              <w:rPr/>
              <w:t> </w:t>
            </w:r>
          </w:p>
        </w:tc>
        <w:tc>
          <w:tcPr>
            <w:tcW w:w="1055" w:type="dxa"/>
            <w:tcBorders/>
            <w:shd w:fill="CCEEFF" w:val="clear"/>
            <w:vAlign w:val="center"/>
          </w:tcPr>
          <w:p>
            <w:pPr>
              <w:pStyle w:val="TableContents"/>
              <w:spacing w:before="0" w:after="0"/>
              <w:ind w:left="0" w:right="0" w:hanging="0"/>
              <w:jc w:val="right"/>
              <w:rPr>
                <w:spacing w:val="0"/>
              </w:rPr>
            </w:pPr>
            <w:r>
              <w:rPr>
                <w:spacing w:val="0"/>
              </w:rPr>
              <w:t>—</w:t>
            </w:r>
          </w:p>
        </w:tc>
        <w:tc>
          <w:tcPr>
            <w:tcW w:w="231" w:type="dxa"/>
            <w:tcBorders/>
            <w:shd w:fill="CCEEFF" w:val="clear"/>
            <w:vAlign w:val="center"/>
          </w:tcPr>
          <w:p>
            <w:pPr>
              <w:pStyle w:val="TableContents"/>
              <w:spacing w:before="0" w:after="0"/>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loss recognized on goodwill</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 xml:space="preserve">—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13,867</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on disposal of assets held for sale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xml:space="preserve">477 </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(Reversal of) provision for credit losses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(433</w:t>
            </w:r>
          </w:p>
        </w:tc>
        <w:tc>
          <w:tcPr>
            <w:tcW w:w="154"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6,450</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133,597</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input value-added tax</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5,714</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3,023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5,786</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extinguishment of debt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 xml:space="preserve">—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28,817</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19,952</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Costs associated with debt modification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xml:space="preserve">— </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310</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 xml:space="preserve">71,809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67,957</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54,392</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losses recognized on investment securities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xml:space="preserve">— </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165,440</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operating assets and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xml:space="preserve">(396 </w:t>
            </w:r>
          </w:p>
        </w:tc>
        <w:tc>
          <w:tcPr>
            <w:tcW w:w="154"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67,571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27,503</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Inventories, prepaid expenses and other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4,187</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16,134</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(2,187</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prepayments, deposits and other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(16,405</w:t>
            </w:r>
          </w:p>
        </w:tc>
        <w:tc>
          <w:tcPr>
            <w:tcW w:w="154"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61,952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(29,606</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 accrued expenses and other</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(121,288</w:t>
            </w:r>
          </w:p>
        </w:tc>
        <w:tc>
          <w:tcPr>
            <w:tcW w:w="154"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(178,853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(470,570</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long-term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1,051</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(3,152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(1,075</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231" w:type="dxa"/>
            <w:tcBorders/>
            <w:shd w:fill="FFFF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operating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(619,434</w:t>
            </w:r>
          </w:p>
        </w:tc>
        <w:tc>
          <w:tcPr>
            <w:tcW w:w="154"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(268,774</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(860,963</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CCEEFF" w:val="clear"/>
            <w:vAlign w:val="center"/>
          </w:tcPr>
          <w:p>
            <w:pPr>
              <w:pStyle w:val="TableContents"/>
              <w:spacing w:before="0" w:after="0"/>
              <w:rPr>
                <w:spacing w:val="0"/>
                <w:bdr w:val="single" w:sz="2" w:space="1" w:color="000000"/>
              </w:rPr>
            </w:pPr>
            <w:r>
              <w:rPr>
                <w:spacing w:val="0"/>
                <w:bdr w:val="single" w:sz="2" w:space="1" w:color="000000"/>
              </w:rPr>
              <w:t> </w:t>
            </w:r>
          </w:p>
        </w:tc>
        <w:tc>
          <w:tcPr>
            <w:tcW w:w="231" w:type="dxa"/>
            <w:tcBorders/>
            <w:shd w:fill="CCEE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flows from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r>
      <w:tr>
        <w:trPr/>
        <w:tc>
          <w:tcPr>
            <w:tcW w:w="591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Payments for capitalized construction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(479,883</w:t>
            </w:r>
          </w:p>
        </w:tc>
        <w:tc>
          <w:tcPr>
            <w:tcW w:w="154" w:type="dxa"/>
            <w:tcBorders/>
            <w:shd w:fill="FFFFFF" w:val="clear"/>
            <w:vAlign w:val="center"/>
          </w:tcPr>
          <w:p>
            <w:pPr>
              <w:pStyle w:val="TableContents"/>
              <w:spacing w:before="0" w:after="283"/>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(532,660</w:t>
            </w:r>
          </w:p>
        </w:tc>
        <w:tc>
          <w:tcPr>
            <w:tcW w:w="155" w:type="dxa"/>
            <w:tcBorders/>
            <w:shd w:fill="FFFFFF" w:val="clear"/>
            <w:vAlign w:val="center"/>
          </w:tcPr>
          <w:p>
            <w:pPr>
              <w:pStyle w:val="TableContents"/>
              <w:spacing w:before="0" w:after="0"/>
              <w:rPr>
                <w:spacing w:val="0"/>
              </w:rPr>
            </w:pPr>
            <w:r>
              <w:rPr>
                <w:spacing w:val="0"/>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(227,672</w:t>
            </w:r>
          </w:p>
        </w:tc>
        <w:tc>
          <w:tcPr>
            <w:tcW w:w="231" w:type="dxa"/>
            <w:tcBorders/>
            <w:shd w:fill="FFFFFF" w:val="clear"/>
            <w:vAlign w:val="center"/>
          </w:tcPr>
          <w:p>
            <w:pPr>
              <w:pStyle w:val="TableContents"/>
              <w:spacing w:before="0" w:after="0"/>
              <w:rPr>
                <w:spacing w:val="0"/>
              </w:rPr>
            </w:pPr>
            <w:r>
              <w:rPr>
                <w:spacing w:val="0"/>
              </w:rPr>
              <w:t>)</w:t>
            </w:r>
          </w:p>
        </w:tc>
      </w:tr>
      <w:tr>
        <w:trPr/>
        <w:tc>
          <w:tcPr>
            <w:tcW w:w="59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Loans to an affiliated company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(200,000</w:t>
            </w:r>
          </w:p>
        </w:tc>
        <w:tc>
          <w:tcPr>
            <w:tcW w:w="154" w:type="dxa"/>
            <w:tcBorders/>
            <w:shd w:fill="CCEEFF" w:val="clear"/>
            <w:vAlign w:val="center"/>
          </w:tcPr>
          <w:p>
            <w:pPr>
              <w:pStyle w:val="TableContents"/>
              <w:spacing w:before="0" w:after="283"/>
              <w:rPr/>
            </w:pPr>
            <w:r>
              <w:rPr/>
              <w:t xml:space="preserve">)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Acquisition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(129,731</w:t>
            </w:r>
          </w:p>
        </w:tc>
        <w:tc>
          <w:tcPr>
            <w:tcW w:w="154" w:type="dxa"/>
            <w:tcBorders/>
            <w:shd w:fill="FFFFFF" w:val="clear"/>
            <w:vAlign w:val="center"/>
          </w:tcPr>
          <w:p>
            <w:pPr>
              <w:pStyle w:val="TableContents"/>
              <w:spacing w:before="0" w:after="283"/>
              <w:rPr/>
            </w:pPr>
            <w:r>
              <w:rPr/>
              <w:t xml:space="preserve">)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(139,155</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(208,860</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Acquisition of intangible and other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(12,478</w:t>
            </w:r>
          </w:p>
        </w:tc>
        <w:tc>
          <w:tcPr>
            <w:tcW w:w="154"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(7,579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(27,335</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Proceeds from sale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 xml:space="preserve">423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4,843</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554</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Proceeds from sale of assets held for sale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15,562</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Placement of bank deposits with original maturities over three months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 xml:space="preserve">—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(298,666</w:t>
            </w:r>
          </w:p>
        </w:tc>
        <w:tc>
          <w:tcPr>
            <w:tcW w:w="155" w:type="dxa"/>
            <w:tcBorders/>
            <w:shd w:fill="FFFFFF" w:val="clear"/>
            <w:vAlign w:val="center"/>
          </w:tcPr>
          <w:p>
            <w:pPr>
              <w:pStyle w:val="TableContents"/>
              <w:spacing w:before="0" w:after="0"/>
              <w:rPr>
                <w:spacing w:val="0"/>
              </w:rPr>
            </w:pPr>
            <w:r>
              <w:rPr>
                <w:spacing w:val="0"/>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(150,000</w:t>
            </w:r>
          </w:p>
        </w:tc>
        <w:tc>
          <w:tcPr>
            <w:tcW w:w="231" w:type="dxa"/>
            <w:tcBorders/>
            <w:shd w:fill="FFFFFF" w:val="clear"/>
            <w:vAlign w:val="center"/>
          </w:tcPr>
          <w:p>
            <w:pPr>
              <w:pStyle w:val="TableContents"/>
              <w:spacing w:before="0" w:after="0"/>
              <w:rPr>
                <w:spacing w:val="0"/>
              </w:rPr>
            </w:pPr>
            <w:r>
              <w:rPr>
                <w:spacing w:val="0"/>
              </w:rPr>
              <w:t>)</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Withdrawals of bank deposits with original maturities over three months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xml:space="preserve">— </w:t>
            </w:r>
          </w:p>
        </w:tc>
        <w:tc>
          <w:tcPr>
            <w:tcW w:w="15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    </w:t>
            </w:r>
            <w:r>
              <w:rPr/>
              <w:t>298,666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150,000</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sale of investment securities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 xml:space="preserve">—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4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pPr>
            <w:r>
              <w:rPr/>
              <w:t>410,001</w:t>
            </w:r>
          </w:p>
        </w:tc>
        <w:tc>
          <w:tcPr>
            <w:tcW w:w="231" w:type="dxa"/>
            <w:tcBorders/>
            <w:shd w:fill="FFFF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231" w:type="dxa"/>
            <w:tcBorders/>
            <w:shd w:fill="FFFFFF" w:val="clear"/>
            <w:vAlign w:val="center"/>
          </w:tcPr>
          <w:p>
            <w:pPr>
              <w:pStyle w:val="TableContents"/>
              <w:spacing w:before="0" w:after="283"/>
              <w:rPr/>
            </w:pPr>
            <w:r>
              <w:rPr/>
              <w:t> </w:t>
            </w:r>
          </w:p>
        </w:tc>
      </w:tr>
      <w:tr>
        <w:trPr/>
        <w:tc>
          <w:tcPr>
            <w:tcW w:w="59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used in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(806,107</w:t>
            </w:r>
          </w:p>
        </w:tc>
        <w:tc>
          <w:tcPr>
            <w:tcW w:w="154"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(674,551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(53,312</w:t>
            </w:r>
          </w:p>
        </w:tc>
        <w:tc>
          <w:tcPr>
            <w:tcW w:w="231" w:type="dxa"/>
            <w:tcBorders/>
            <w:shd w:fill="CCEEFF" w:val="clear"/>
            <w:vAlign w:val="center"/>
          </w:tcPr>
          <w:p>
            <w:pPr>
              <w:pStyle w:val="TableContents"/>
              <w:spacing w:before="0" w:after="283"/>
              <w:rPr/>
            </w:pPr>
            <w:r>
              <w:rPr/>
              <w:t>) </w:t>
            </w:r>
          </w:p>
        </w:tc>
      </w:tr>
      <w:tr>
        <w:trPr/>
        <w:tc>
          <w:tcPr>
            <w:tcW w:w="59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FFFFFF" w:val="clear"/>
            <w:vAlign w:val="center"/>
          </w:tcPr>
          <w:p>
            <w:pPr>
              <w:pStyle w:val="TableContents"/>
              <w:spacing w:before="0" w:after="0"/>
              <w:rPr>
                <w:spacing w:val="0"/>
                <w:bdr w:val="single" w:sz="2" w:space="1" w:color="000000"/>
              </w:rPr>
            </w:pPr>
            <w:r>
              <w:rPr>
                <w:spacing w:val="0"/>
                <w:bdr w:val="single" w:sz="2" w:space="1" w:color="000000"/>
              </w:rPr>
              <w:t> </w:t>
            </w:r>
          </w:p>
        </w:tc>
        <w:tc>
          <w:tcPr>
            <w:tcW w:w="231"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sz w:val="16"/>
        </w:rPr>
      </w:pPr>
      <w:r>
        <w:rPr>
          <w:sz w:val="16"/>
        </w:rPr>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F-1</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CONSOLIDATED STATEMENTS OF CASH FLOWS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6110"/>
        <w:gridCol w:w="60"/>
        <w:gridCol w:w="140"/>
        <w:gridCol w:w="1040"/>
        <w:gridCol w:w="95"/>
        <w:gridCol w:w="60"/>
        <w:gridCol w:w="140"/>
        <w:gridCol w:w="980"/>
        <w:gridCol w:w="155"/>
        <w:gridCol w:w="60"/>
        <w:gridCol w:w="140"/>
        <w:gridCol w:w="1055"/>
        <w:gridCol w:w="170"/>
      </w:tblGrid>
      <w:tr>
        <w:trPr/>
        <w:tc>
          <w:tcPr>
            <w:tcW w:w="6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3865"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611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61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flows from financing activities:</w:t>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040"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Repurchase of shares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(189,161</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(52,026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(44,977</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Payments of deferred financing costs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(7,990</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(37,396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(84,057</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Purchase of shares of a subsidiary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(3,310</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(8,518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Dividends paid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(196</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(79,116</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proceeds from</w:t>
            </w:r>
          </w:p>
          <w:p>
            <w:pPr>
              <w:pStyle w:val="TableContents"/>
              <w:spacing w:before="0" w:after="0"/>
              <w:rPr>
                <w:spacing w:val="0"/>
              </w:rPr>
            </w:pPr>
            <w:r>
              <w:rPr>
                <w:spacing w:val="0"/>
              </w:rPr>
              <w:t> </w:t>
            </w:r>
            <w:r>
              <w:rPr>
                <w:rFonts w:ascii="Times New Roman" w:hAnsi="Times New Roman"/>
                <w:spacing w:val="0"/>
                <w:sz w:val="20"/>
              </w:rPr>
              <w:t>(payments</w:t>
            </w:r>
          </w:p>
          <w:p>
            <w:pPr>
              <w:pStyle w:val="TableContents"/>
              <w:spacing w:before="0" w:after="0"/>
              <w:rPr>
                <w:spacing w:val="0"/>
              </w:rPr>
            </w:pPr>
            <w:r>
              <w:rPr>
                <w:spacing w:val="0"/>
              </w:rPr>
              <w:t> </w:t>
            </w:r>
            <w:r>
              <w:rPr>
                <w:rFonts w:ascii="Times New Roman" w:hAnsi="Times New Roman"/>
                <w:spacing w:val="0"/>
                <w:sz w:val="20"/>
              </w:rPr>
              <w:t xml:space="preserve">for) </w:t>
            </w:r>
          </w:p>
          <w:p>
            <w:pPr>
              <w:pStyle w:val="TableContents"/>
              <w:spacing w:before="0" w:after="0"/>
              <w:rPr>
                <w:rFonts w:ascii="Times New Roman" w:hAnsi="Times New Roman"/>
                <w:spacing w:val="0"/>
                <w:sz w:val="20"/>
              </w:rPr>
            </w:pPr>
            <w:r>
              <w:rPr>
                <w:rFonts w:ascii="Times New Roman" w:hAnsi="Times New Roman"/>
                <w:spacing w:val="0"/>
                <w:sz w:val="20"/>
              </w:rPr>
              <w:t>issuance of shares of subsidiaries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134,103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(445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218,441</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Proceeds from long-term debt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1,849,839</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1,416,012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2,707,165</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Principal payments on long-term debt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(502,831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(1,454,837</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Principal payments on finance lease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(73</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Proceeds from exercise of share options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1,061</w:t>
            </w:r>
          </w:p>
        </w:tc>
        <w:tc>
          <w:tcPr>
            <w:tcW w:w="170" w:type="dxa"/>
            <w:tcBorders/>
            <w:shd w:fill="auto"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financing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1,783,285</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821,745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1,263,607</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exchange rate on cash, cash equivalents and restricted cash</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(22,602</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19,359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(26,064</w:t>
            </w:r>
          </w:p>
        </w:tc>
        <w:tc>
          <w:tcPr>
            <w:tcW w:w="170" w:type="dxa"/>
            <w:tcBorders/>
            <w:shd w:fill="auto"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Increase (decrease) in cash, cash equivalents and restricted cash, including those classified within assets </w:t>
              <w:br/>
              <w:t>held for sale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335,142</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(102,221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323,268</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cash equivalents and restricted cash at beginning of year</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1,653,315</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1,755,770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1,432,502</w:t>
            </w:r>
          </w:p>
        </w:tc>
        <w:tc>
          <w:tcPr>
            <w:tcW w:w="170" w:type="dxa"/>
            <w:tcBorders/>
            <w:shd w:fill="auto"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Cash, cash equivalents and restricted cash at end of year, including those classified within assets held for </w:t>
              <w:br/>
              <w:t>sale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1,988,457</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1,653,549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1,755,770</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cash and cash equivalents classified within assets held for sale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cash equivalents and restricted cash at end of year</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pPr>
            <w:r>
              <w:rPr/>
              <w:t>$</w:t>
            </w:r>
          </w:p>
          <w:p>
            <w:pPr>
              <w:pStyle w:val="TableContents"/>
              <w:spacing w:before="0" w:after="0"/>
              <w:rPr/>
            </w:pPr>
            <w:r>
              <w:rPr/>
              <w:t> </w:t>
            </w:r>
          </w:p>
        </w:tc>
        <w:tc>
          <w:tcPr>
            <w:tcW w:w="1040" w:type="dxa"/>
            <w:tcBorders/>
            <w:shd w:fill="CCEEFF" w:val="clear"/>
            <w:vAlign w:val="center"/>
          </w:tcPr>
          <w:p>
            <w:pPr>
              <w:pStyle w:val="TableContents"/>
              <w:spacing w:before="0" w:after="283"/>
              <w:jc w:val="right"/>
              <w:rPr/>
            </w:pPr>
            <w:r>
              <w:rPr/>
              <w:t>1,988,457</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pPr>
            <w:r>
              <w:rPr/>
              <w:t>$</w:t>
            </w:r>
          </w:p>
          <w:p>
            <w:pPr>
              <w:pStyle w:val="TableContents"/>
              <w:spacing w:before="0" w:after="0"/>
              <w:rPr/>
            </w:pPr>
            <w:r>
              <w:rPr/>
              <w:t> </w:t>
            </w:r>
          </w:p>
        </w:tc>
        <w:tc>
          <w:tcPr>
            <w:tcW w:w="980" w:type="dxa"/>
            <w:tcBorders/>
            <w:shd w:fill="CCEEFF" w:val="clear"/>
            <w:vAlign w:val="center"/>
          </w:tcPr>
          <w:p>
            <w:pPr>
              <w:pStyle w:val="TableContents"/>
              <w:spacing w:before="0" w:after="283"/>
              <w:jc w:val="right"/>
              <w:rPr/>
            </w:pPr>
            <w:r>
              <w:rPr/>
              <w:t>1,653,315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0"/>
              <w:rPr/>
            </w:pPr>
            <w:r>
              <w:rPr/>
              <w:t>$</w:t>
            </w:r>
          </w:p>
          <w:p>
            <w:pPr>
              <w:pStyle w:val="TableContents"/>
              <w:spacing w:before="0" w:after="0"/>
              <w:rPr/>
            </w:pPr>
            <w:r>
              <w:rPr/>
              <w:t> </w:t>
            </w:r>
          </w:p>
        </w:tc>
        <w:tc>
          <w:tcPr>
            <w:tcW w:w="1055" w:type="dxa"/>
            <w:tcBorders/>
            <w:shd w:fill="CCEEFF" w:val="clear"/>
            <w:vAlign w:val="center"/>
          </w:tcPr>
          <w:p>
            <w:pPr>
              <w:pStyle w:val="TableContents"/>
              <w:spacing w:before="0" w:after="283"/>
              <w:jc w:val="right"/>
              <w:rPr/>
            </w:pPr>
            <w:r>
              <w:rPr/>
              <w:t>1,755,770</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Supplemental cash flow disclosures: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paid for interest, net of amounts capitalized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(350,737</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(310,319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(251,438</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paid for income taxes, net of refunds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(2,989</w:t>
            </w:r>
          </w:p>
        </w:tc>
        <w:tc>
          <w:tcPr>
            <w:tcW w:w="9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(4,524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(5,364</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Cash paid for amounts included in the measurement of lease liabilities — operating cash flows from </w:t>
              <w:br/>
              <w:t>operating leases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(15,393</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(23,398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(22,362</w:t>
            </w:r>
          </w:p>
        </w:tc>
        <w:tc>
          <w:tcPr>
            <w:tcW w:w="170" w:type="dxa"/>
            <w:tcBorders/>
            <w:shd w:fill="CCEEFF"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Change in operating lease liabilities arising from obtaining operating lease </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 xml:space="preserve">assets and </w:t>
              <w:br/>
              <w:t>lease modification or other reassessment events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        </w:t>
            </w:r>
            <w:r>
              <w:rPr/>
              <w:t>9,425</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8,849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3,549</w:t>
            </w:r>
          </w:p>
        </w:tc>
        <w:tc>
          <w:tcPr>
            <w:tcW w:w="170" w:type="dxa"/>
            <w:tcBorders/>
            <w:shd w:fill="auto"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Change in right-of-use assets held under finance lease and finance lease liabilities arising from lease </w:t>
              <w:br/>
              <w:t>modification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106,407</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 xml:space="preserve">Change in accrued expenses and other current liabilities and other long-term liabilities related to </w:t>
              <w:br/>
              <w:t>acquisition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32,042</w:t>
            </w:r>
          </w:p>
        </w:tc>
        <w:tc>
          <w:tcPr>
            <w:tcW w:w="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29,251</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jc w:val="right"/>
              <w:rPr/>
            </w:pPr>
            <w:r>
              <w:rPr/>
              <w:t>34,241</w:t>
            </w:r>
          </w:p>
        </w:tc>
        <w:tc>
          <w:tcPr>
            <w:tcW w:w="17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input value-added tax related to acquisition of property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8,276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 xml:space="preserve">Change in accrued expenses and other current liabilities and other long-term liabilities related to </w:t>
              <w:br/>
              <w:t>construction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107,158</w:t>
            </w:r>
          </w:p>
        </w:tc>
        <w:tc>
          <w:tcPr>
            <w:tcW w:w="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145,284</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jc w:val="right"/>
              <w:rPr/>
            </w:pPr>
            <w:r>
              <w:rPr/>
              <w:t>66,960</w:t>
            </w:r>
          </w:p>
        </w:tc>
        <w:tc>
          <w:tcPr>
            <w:tcW w:w="17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accrued expenses and other current liabilities related to acquisition of intangible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6,356</w:t>
            </w:r>
          </w:p>
        </w:tc>
        <w:tc>
          <w:tcPr>
            <w:tcW w:w="17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financing costs included in accrued expenses and other 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 xml:space="preserve">— </w:t>
            </w:r>
          </w:p>
        </w:tc>
        <w:tc>
          <w:tcPr>
            <w:tcW w:w="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211</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jc w:val="right"/>
              <w:rPr/>
            </w:pPr>
            <w:r>
              <w:rPr/>
              <w:t>1,356</w:t>
            </w:r>
          </w:p>
        </w:tc>
        <w:tc>
          <w:tcPr>
            <w:tcW w:w="170" w:type="dxa"/>
            <w:tcBorders/>
            <w:shd w:fill="FFFFFF" w:val="clear"/>
            <w:vAlign w:val="center"/>
          </w:tcPr>
          <w:p>
            <w:pPr>
              <w:pStyle w:val="TableContents"/>
              <w:spacing w:before="0" w:after="283"/>
              <w:rPr/>
            </w:pPr>
            <w:r>
              <w:rPr/>
              <w:t> </w:t>
            </w:r>
          </w:p>
        </w:tc>
      </w:tr>
      <w:tr>
        <w:trPr/>
        <w:tc>
          <w:tcPr>
            <w:tcW w:w="61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Change in accrued expenses and other current liabilities related to dividends declared to </w:t>
              <w:br/>
              <w:t>noncontrolling interests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290</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8,243</w:t>
            </w:r>
          </w:p>
        </w:tc>
        <w:tc>
          <w:tcPr>
            <w:tcW w:w="170" w:type="dxa"/>
            <w:tcBorders/>
            <w:shd w:fill="CCEEFF" w:val="clear"/>
            <w:vAlign w:val="center"/>
          </w:tcPr>
          <w:p>
            <w:pPr>
              <w:pStyle w:val="TableContents"/>
              <w:spacing w:before="0" w:after="283"/>
              <w:rPr/>
            </w:pPr>
            <w:r>
              <w:rPr/>
              <w:t> </w:t>
            </w:r>
          </w:p>
        </w:tc>
      </w:tr>
      <w:tr>
        <w:trPr/>
        <w:tc>
          <w:tcPr>
            <w:tcW w:w="611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 xml:space="preserve">Offering expenses capitalized for the issuance of shares of a subsidiary included in accrued expenses </w:t>
              <w:br/>
              <w:t>and other 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 xml:space="preserve">— </w:t>
            </w:r>
          </w:p>
        </w:tc>
        <w:tc>
          <w:tcPr>
            <w:tcW w:w="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  </w:t>
            </w:r>
          </w:p>
        </w:tc>
        <w:tc>
          <w:tcPr>
            <w:tcW w:w="1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jc w:val="right"/>
              <w:rPr/>
            </w:pPr>
            <w:r>
              <w:rPr/>
              <w:t>445</w:t>
            </w:r>
          </w:p>
        </w:tc>
        <w:tc>
          <w:tcPr>
            <w:tcW w:w="170" w:type="dxa"/>
            <w:tcBorders/>
            <w:shd w:fill="FFFFFF" w:val="clear"/>
            <w:vAlign w:val="center"/>
          </w:tcPr>
          <w:p>
            <w:pPr>
              <w:pStyle w:val="TableContents"/>
              <w:spacing w:before="0" w:after="283"/>
              <w:rPr/>
            </w:pPr>
            <w:r>
              <w:rPr/>
              <w:t> </w:t>
            </w:r>
          </w:p>
        </w:tc>
      </w:tr>
    </w:tbl>
    <w:p>
      <w:pPr>
        <w:pStyle w:val="TextBody"/>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are an integral part of these consolidated financial statements. </w:t>
      </w:r>
    </w:p>
    <w:p>
      <w:pPr>
        <w:pStyle w:val="TextBody"/>
        <w:spacing w:before="0" w:after="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F-1</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spacing w:before="0" w:after="0"/>
        <w:ind w:left="0" w:right="0" w:hanging="0"/>
        <w:jc w:val="left"/>
        <w:rPr>
          <w:spacing w:val="0"/>
        </w:rPr>
      </w:pPr>
      <w:r>
        <w:rPr>
          <w:spacing w:val="0"/>
        </w:rPr>
        <w:t> </w:t>
      </w:r>
    </w:p>
    <w:tbl>
      <w:tblPr>
        <w:tblW w:w="3265" w:type="dxa"/>
        <w:jc w:val="left"/>
        <w:tblInd w:w="0" w:type="dxa"/>
        <w:tblCellMar>
          <w:top w:w="0" w:type="dxa"/>
          <w:left w:w="0" w:type="dxa"/>
          <w:bottom w:w="0" w:type="dxa"/>
          <w:right w:w="0" w:type="dxa"/>
        </w:tblCellMar>
      </w:tblPr>
      <w:tblGrid>
        <w:gridCol w:w="215"/>
        <w:gridCol w:w="3050"/>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305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ORGANIZATION AND BUSINESS </w:t>
            </w:r>
          </w:p>
        </w:tc>
      </w:tr>
    </w:tbl>
    <w:p>
      <w:pPr>
        <w:pStyle w:val="TextBody"/>
        <w:spacing w:before="0" w:after="0"/>
        <w:jc w:val="left"/>
        <w:rPr>
          <w:spacing w:val="0"/>
        </w:rPr>
      </w:pPr>
      <w:r>
        <w:rPr>
          <w:spacing w:val="0"/>
        </w:rPr>
        <w:t> </w:t>
      </w:r>
    </w:p>
    <w:tbl>
      <w:tblPr>
        <w:tblW w:w="2290" w:type="dxa"/>
        <w:jc w:val="left"/>
        <w:tblInd w:w="0" w:type="dxa"/>
        <w:tblCellMar>
          <w:top w:w="0" w:type="dxa"/>
          <w:left w:w="0" w:type="dxa"/>
          <w:bottom w:w="0" w:type="dxa"/>
          <w:right w:w="0" w:type="dxa"/>
        </w:tblCellMar>
      </w:tblPr>
      <w:tblGrid>
        <w:gridCol w:w="75"/>
        <w:gridCol w:w="275"/>
        <w:gridCol w:w="194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19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Company Information</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Resorts &amp; Entertainment Limited (“Melco”) was incorporated in the Cayman Islands, with its American depositary shares (“ADSs”) listed on the Nasdaq Global Select Market under the symbol “MLCO” in the United States of America (the “U.S.”).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Melco together with its subsidiaries (collectively referred to as the “Company”) is a developer, owner and operator of integrated resort facilities in Asia and Europe. The Company currently operates Altira Macau, an integrated resort located at Taipa, the Macau Special Administrative Region of the People’s Republic of China (“Macau”), City of Dreams, an integrated resort located at Cotai, Macau and Grand Dragon Casino, a casino located at Taipa, Macau. The Company’s business also includes the Mocha Clubs, which comprise the </w:t>
      </w:r>
    </w:p>
    <w:p>
      <w:pPr>
        <w:pStyle w:val="TextBody"/>
        <w:spacing w:before="120" w:after="0"/>
        <w:jc w:val="left"/>
        <w:rPr>
          <w:rFonts w:ascii="Times New Roman" w:hAnsi="Times New Roman"/>
          <w:spacing w:val="0"/>
          <w:sz w:val="20"/>
        </w:rPr>
      </w:pPr>
      <w:r>
        <w:rPr>
          <w:rFonts w:ascii="Times New Roman" w:hAnsi="Times New Roman"/>
          <w:spacing w:val="0"/>
          <w:sz w:val="20"/>
        </w:rPr>
        <w:t>non-casino</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based operations of electronic gaming machines in Macau. Melco, through its subsidiaries, including Studio City International Holdings Limited (“Studio City International”), which is majority-owned by Melco and with its ADSs listed on the New York Stock Exchange in the U.S., also operates Studio City, a cinematically-themed integrated resort in Cotai, Macau. In the Philippines, a majority-owned subsidiary of Melco operates and manages City of Dreams Manila, an integrated resort in the Entertainment City complex in Manila. In Europe, Melco, through its majority-owned subsidiaries, ICR Cyprus Holdings Limited (“ICR Cyprus”) and its subsidiaries (collectively referred to as “ICR Cyprus Group”), is currently developing City of Dreams Mediterranean, an integrated resort in Limassol, in the Republic of Cyprus (“Cyprus”). ICR Cyprus Group is currently operating a temporary casino in Limassol and is licensed to operate four satellite casinos in Cyprus (“Cyprus Operations”). Upon the opening of City of Dreams Mediterranean, ICR Cyprus Group will continue to operate the satellite casinos while operation of the temporary casino will cease.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2022 and 2021, Melco International Development Limited (“Melco International”), a company listed in the Hong Kong Special Administrative Region of the People’s Republic of China (“Hong Kong”), is the single largest shareholder of Melco. </w:t>
      </w:r>
    </w:p>
    <w:p>
      <w:pPr>
        <w:pStyle w:val="TextBody"/>
        <w:spacing w:before="0" w:after="0"/>
        <w:ind w:left="0" w:right="0" w:hanging="0"/>
        <w:jc w:val="left"/>
        <w:rPr>
          <w:sz w:val="12"/>
        </w:rPr>
      </w:pPr>
      <w:r>
        <w:rPr>
          <w:sz w:val="12"/>
        </w:rPr>
      </w:r>
    </w:p>
    <w:tbl>
      <w:tblPr>
        <w:tblW w:w="3145" w:type="dxa"/>
        <w:jc w:val="left"/>
        <w:tblInd w:w="0" w:type="dxa"/>
        <w:tblCellMar>
          <w:top w:w="0" w:type="dxa"/>
          <w:left w:w="0" w:type="dxa"/>
          <w:bottom w:w="0" w:type="dxa"/>
          <w:right w:w="0" w:type="dxa"/>
        </w:tblCellMar>
      </w:tblPr>
      <w:tblGrid>
        <w:gridCol w:w="75"/>
        <w:gridCol w:w="290"/>
        <w:gridCol w:w="278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spacing w:val="0"/>
              </w:rPr>
            </w:pPr>
            <w:r>
              <w:rPr>
                <w:spacing w:val="0"/>
              </w:rPr>
              <w:t>(b)</w:t>
            </w:r>
          </w:p>
        </w:tc>
        <w:tc>
          <w:tcPr>
            <w:tcW w:w="27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Recent Developments Related to </w:t>
            </w:r>
          </w:p>
          <w:p>
            <w:pPr>
              <w:pStyle w:val="TableContents"/>
              <w:spacing w:before="0" w:after="0"/>
              <w:jc w:val="left"/>
              <w:rPr>
                <w:rFonts w:ascii="Times New Roman" w:hAnsi="Times New Roman"/>
                <w:b/>
                <w:spacing w:val="0"/>
                <w:sz w:val="20"/>
              </w:rPr>
            </w:pPr>
            <w:r>
              <w:rPr>
                <w:rFonts w:ascii="Times New Roman" w:hAnsi="Times New Roman"/>
                <w:b/>
                <w:spacing w:val="0"/>
                <w:sz w:val="20"/>
              </w:rPr>
              <w:t>COVID-19</w:t>
            </w:r>
          </w:p>
          <w:p>
            <w:pPr>
              <w:pStyle w:val="TableContents"/>
              <w:spacing w:before="0" w:after="0"/>
              <w:jc w:val="left"/>
              <w:rPr>
                <w:rFonts w:ascii="Times New Roman" w:hAnsi="Times New Roman"/>
                <w:b/>
                <w:spacing w:val="0"/>
                <w:sz w:val="20"/>
              </w:rPr>
            </w:pPr>
            <w:r>
              <w:rPr>
                <w:rFonts w:ascii="Times New Roman" w:hAnsi="Times New Roman"/>
                <w:b/>
                <w:spacing w:val="0"/>
                <w:sz w:val="20"/>
              </w:rPr>
              <w:t>and Other Business Operations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disruptions to the Company’s business caused by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spacing w:val="0"/>
        </w:rPr>
      </w:pPr>
      <w:r>
        <w:rPr>
          <w:spacing w:val="0"/>
        </w:rPr>
        <w:t> </w:t>
      </w:r>
      <w:r>
        <w:rPr>
          <w:rFonts w:ascii="Times New Roman" w:hAnsi="Times New Roman"/>
          <w:spacing w:val="0"/>
          <w:sz w:val="20"/>
        </w:rPr>
        <w:t xml:space="preserve">outbreak continued to have a material effect on its financial condition and operations during 2022.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Macau, the Company’s operations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were</w:t>
      </w:r>
    </w:p>
    <w:p>
      <w:pPr>
        <w:pStyle w:val="TextBody"/>
        <w:spacing w:before="120" w:after="0"/>
        <w:jc w:val="left"/>
        <w:rPr>
          <w:spacing w:val="0"/>
        </w:rPr>
      </w:pPr>
      <w:r>
        <w:rPr>
          <w:spacing w:val="0"/>
        </w:rPr>
        <w:t> </w:t>
      </w:r>
      <w:r>
        <w:rPr>
          <w:rFonts w:ascii="Times New Roman" w:hAnsi="Times New Roman"/>
          <w:spacing w:val="0"/>
          <w:sz w:val="20"/>
        </w:rPr>
        <w:t>significantly impacted by travel restrictions and quarantine requirements as imposed by the governments of Macau, Hong Kong and the People’s Republic of China (the “PRC”)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during 2022</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 stream of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outbreaks in the PRC in the first half of 2022 led to a tightening of border controls for entry from Guangdong province. In June 2022, the resurgence of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cases in Macau led to citywide mandatory testing and strict travel restrictions and requirements implemented to enter and exit Macau. On June 23, 2022, the Macau government issued a mandatory closure order for entertainment and leisure venues, with casinos and gaming areas excluded. During the period from July 11, 2022 to July 22, 2022, such mandatory closure order was further extended to almost all entities including gaming. The Company’s casinos in Macau were closed for 12 days and resumed operations on July 23, 2022. From August 2, 2022, all closure orders were lifted but health-related precautionary measures remained in place. The validity of nucleic acid tests to enter Macau varied from time to time. Since September 1, 2022, certain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non-Macau</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resident individuals who are not residents of Taiwan, Hong Kong, and the PRC became eligible to enter Macau without prior approval provided they comply with certain conditions imposed by the Macau government, subject to valid nucleic acid tests, and, from November 12, 2022, a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five-day</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quarantine at a government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220" w:type="dxa"/>
        <w:jc w:val="left"/>
        <w:tblInd w:w="0" w:type="dxa"/>
        <w:tblCellMar>
          <w:top w:w="0" w:type="dxa"/>
          <w:left w:w="0" w:type="dxa"/>
          <w:bottom w:w="0" w:type="dxa"/>
          <w:right w:w="0" w:type="dxa"/>
        </w:tblCellMar>
      </w:tblPr>
      <w:tblGrid>
        <w:gridCol w:w="215"/>
        <w:gridCol w:w="3005"/>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ORGANIZATION AND BUSINESS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tbl>
      <w:tblPr>
        <w:tblW w:w="3145" w:type="dxa"/>
        <w:jc w:val="left"/>
        <w:tblInd w:w="0" w:type="dxa"/>
        <w:tblCellMar>
          <w:top w:w="0" w:type="dxa"/>
          <w:left w:w="0" w:type="dxa"/>
          <w:bottom w:w="0" w:type="dxa"/>
          <w:right w:w="0" w:type="dxa"/>
        </w:tblCellMar>
      </w:tblPr>
      <w:tblGrid>
        <w:gridCol w:w="75"/>
        <w:gridCol w:w="290"/>
        <w:gridCol w:w="278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27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Recent Developments Related to </w:t>
            </w:r>
          </w:p>
          <w:p>
            <w:pPr>
              <w:pStyle w:val="TableContents"/>
              <w:spacing w:before="0" w:after="0"/>
              <w:jc w:val="left"/>
              <w:rPr>
                <w:rFonts w:ascii="Times New Roman" w:hAnsi="Times New Roman"/>
                <w:b/>
                <w:spacing w:val="0"/>
                <w:sz w:val="20"/>
              </w:rPr>
            </w:pPr>
            <w:r>
              <w:rPr>
                <w:rFonts w:ascii="Times New Roman" w:hAnsi="Times New Roman"/>
                <w:b/>
                <w:spacing w:val="0"/>
                <w:sz w:val="20"/>
              </w:rPr>
              <w:t>COVID-19</w:t>
            </w:r>
          </w:p>
          <w:p>
            <w:pPr>
              <w:pStyle w:val="TableContents"/>
              <w:spacing w:before="0" w:after="0"/>
              <w:jc w:val="left"/>
              <w:rPr>
                <w:rFonts w:ascii="Times New Roman" w:hAnsi="Times New Roman"/>
                <w:b/>
                <w:spacing w:val="0"/>
                <w:sz w:val="20"/>
              </w:rPr>
            </w:pPr>
            <w:r>
              <w:rPr>
                <w:rFonts w:ascii="Times New Roman" w:hAnsi="Times New Roman"/>
                <w:b/>
                <w:spacing w:val="0"/>
                <w:sz w:val="20"/>
              </w:rPr>
              <w:t>and Other Business Operation</w:t>
            </w:r>
          </w:p>
          <w:p>
            <w:pPr>
              <w:pStyle w:val="TableContents"/>
              <w:spacing w:before="0" w:after="0"/>
              <w:jc w:val="left"/>
              <w:rPr>
                <w:rFonts w:ascii="Times New Roman" w:hAnsi="Times New Roman"/>
                <w:b/>
                <w:spacing w:val="0"/>
                <w:sz w:val="20"/>
              </w:rPr>
            </w:pPr>
            <w:r>
              <w:rPr>
                <w:rFonts w:ascii="Times New Roman" w:hAnsi="Times New Roman"/>
                <w:b/>
                <w:spacing w:val="0"/>
                <w:sz w:val="20"/>
              </w:rPr>
              <w:t>s</w:t>
            </w:r>
          </w:p>
          <w:p>
            <w:pPr>
              <w:pStyle w:val="TableContents"/>
              <w:spacing w:before="0" w:after="0"/>
              <w:jc w:val="left"/>
              <w:rPr/>
            </w:pPr>
            <w:r>
              <w:rPr/>
              <w:t> </w:t>
            </w:r>
            <w:r>
              <w:rPr>
                <w:rFonts w:ascii="Times New Roman" w:hAnsi="Times New Roman"/>
                <w:sz w:val="20"/>
              </w:rPr>
              <w:t xml:space="preserve">- continued </w:t>
            </w:r>
          </w:p>
        </w:tc>
      </w:tr>
    </w:tbl>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designated facility and a </w:t>
      </w:r>
    </w:p>
    <w:p>
      <w:pPr>
        <w:pStyle w:val="TextBody"/>
        <w:spacing w:before="0" w:after="0"/>
        <w:jc w:val="left"/>
        <w:rPr>
          <w:rFonts w:ascii="Times New Roman" w:hAnsi="Times New Roman"/>
          <w:spacing w:val="0"/>
          <w:sz w:val="20"/>
        </w:rPr>
      </w:pPr>
      <w:r>
        <w:rPr>
          <w:rFonts w:ascii="Times New Roman" w:hAnsi="Times New Roman"/>
          <w:spacing w:val="0"/>
          <w:sz w:val="20"/>
        </w:rPr>
        <w:t>three-day</w:t>
      </w:r>
    </w:p>
    <w:p>
      <w:pPr>
        <w:pStyle w:val="TextBody"/>
        <w:spacing w:before="0" w:after="0"/>
        <w:jc w:val="left"/>
        <w:rPr>
          <w:rFonts w:ascii="Times New Roman" w:hAnsi="Times New Roman"/>
          <w:sz w:val="20"/>
        </w:rPr>
      </w:pPr>
      <w:r>
        <w:rPr>
          <w:rFonts w:ascii="Times New Roman" w:hAnsi="Times New Roman"/>
          <w:sz w:val="20"/>
        </w:rPr>
        <w:t xml:space="preserve">home quarantine period. On November 1, 2022, China’s National Immigration Administration commenced electronic processing of visa applications for individual or group travel to Macau. Since January 8, 2023, travelers arriving in Macau from Taiwan, Hong Kong and the PRC were no longer required to present negative nucleic acid tests. From February 27, 2023, masks were not required in outdoor places. However, masks are still required on public transportation (except taxis) and in certain indoor areas. The requirement to wear masks was waived in most private indoor areas by their operators or supervisory entities.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the Philippines, during the period from January 1, 2022 to February 28, 2022, City of Dreams Manila’s operations were impacted by on and off travel restrictions and operated at limited capacity under different levels of community quarantine measures in Metro Manila as imposed by the Philippine government in response to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cases. The Philippine government </w:t>
      </w:r>
    </w:p>
    <w:p>
      <w:pPr>
        <w:pStyle w:val="TextBody"/>
        <w:spacing w:before="120" w:after="0"/>
        <w:jc w:val="left"/>
        <w:rPr>
          <w:rFonts w:ascii="Times New Roman" w:hAnsi="Times New Roman"/>
          <w:spacing w:val="0"/>
          <w:sz w:val="20"/>
        </w:rPr>
      </w:pPr>
      <w:r>
        <w:rPr>
          <w:rFonts w:ascii="Times New Roman" w:hAnsi="Times New Roman"/>
          <w:spacing w:val="0"/>
          <w:sz w:val="20"/>
        </w:rPr>
        <w:t>re-opened</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borders to fully vaccinated international tourists with a negative </w:t>
      </w:r>
    </w:p>
    <w:p>
      <w:pPr>
        <w:pStyle w:val="TextBody"/>
        <w:spacing w:before="120" w:after="0"/>
        <w:jc w:val="left"/>
        <w:rPr>
          <w:rFonts w:ascii="Times New Roman" w:hAnsi="Times New Roman"/>
          <w:spacing w:val="0"/>
          <w:sz w:val="20"/>
        </w:rPr>
      </w:pPr>
      <w:r>
        <w:rPr>
          <w:rFonts w:ascii="Times New Roman" w:hAnsi="Times New Roman"/>
          <w:spacing w:val="0"/>
          <w:sz w:val="20"/>
        </w:rPr>
        <w:t>RT-PCR</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test taken within 48 hours of departure of their country of origin effective on February 10, 2022 and lowered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restrictions to Alert Level 1 starting from March 1, 2022 which allowed casinos to operate at 100% capacity, subject to certain guidelines. As of May 30, 2022, restrictions for inbound travelers into the Philippines were eased and negative </w:t>
      </w:r>
    </w:p>
    <w:p>
      <w:pPr>
        <w:pStyle w:val="TextBody"/>
        <w:spacing w:before="120" w:after="0"/>
        <w:jc w:val="left"/>
        <w:rPr>
          <w:rFonts w:ascii="Times New Roman" w:hAnsi="Times New Roman"/>
          <w:spacing w:val="0"/>
          <w:sz w:val="20"/>
        </w:rPr>
      </w:pPr>
      <w:r>
        <w:rPr>
          <w:rFonts w:ascii="Times New Roman" w:hAnsi="Times New Roman"/>
          <w:spacing w:val="0"/>
          <w:sz w:val="20"/>
        </w:rPr>
        <w:t>RT-PCR</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test results were no longer required for individuals who were fully vaccinated. In addition, as of October 28, 2022, the mandatory wearing of masks in the Philippines was limited to healthcare facilities, medical transport vehicles and public transport. </w:t>
      </w:r>
    </w:p>
    <w:p>
      <w:pPr>
        <w:pStyle w:val="TextBody"/>
        <w:spacing w:before="120" w:after="0"/>
        <w:jc w:val="left"/>
        <w:rPr>
          <w:rFonts w:ascii="Times New Roman" w:hAnsi="Times New Roman"/>
          <w:sz w:val="20"/>
        </w:rPr>
      </w:pPr>
      <w:r>
        <w:rPr>
          <w:rFonts w:ascii="Times New Roman" w:hAnsi="Times New Roman"/>
          <w:sz w:val="20"/>
        </w:rPr>
        <w:t xml:space="preserve">In Cyprus, with a surge in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cases, authorities increased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restrictions from the end of December 2021 by reducing the capacity at certain venues and increasing restrictions for unvaccinated people. However, the casinos of the Cyprus Operations remained open and such restrictions were eased from February 21, 2022. Travel restrictions into Cyprus were eased on April 18, 2022 and as of June 1, 2022, passengers traveling to Cyprus were not required to present any vaccination or recovery certificates nor negative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test results. Furthermore, the requirement to wear masks was no longer mandatory other than in healthcare facilities, pharmacies and public transport.</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While quarantine-free travel to and from the PRC has resumed and pandemic measures in Macau, the Philippines and Cyprus eased significantly, the pace of recovery from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related disruptions remains highly uncertain.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announced by Studio City International in May 2022, the Macau government granted a further extension of the development period under the Studio City land concession to June 30, 2023. The first stage opening of Studio City Phase 2 is expected to be in the second quarter of 2023, with the second stage opening expected in the third quarter of 2023.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was informed that the Council of Ministers of the Cyprus government approved an extension of the deadline to open City of Dreams Mediterranean under the terms of the gaming license to June 30, 2023 and the Company currently expects to open City of Dreams Mediterranean within that timeline.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Also, there have been concerns over the military conflict between Russia and Ukraine which led to sanctions and export controls imposed by the U.S., the European Union, the United Kingdom and other countries targeting Russia, its financial system and major financial institutions and certain Russian entities and persons. Such military conflict and the growing lists of sanctions and measures are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220" w:type="dxa"/>
        <w:jc w:val="left"/>
        <w:tblInd w:w="0" w:type="dxa"/>
        <w:tblCellMar>
          <w:top w:w="0" w:type="dxa"/>
          <w:left w:w="0" w:type="dxa"/>
          <w:bottom w:w="0" w:type="dxa"/>
          <w:right w:w="0" w:type="dxa"/>
        </w:tblCellMar>
      </w:tblPr>
      <w:tblGrid>
        <w:gridCol w:w="215"/>
        <w:gridCol w:w="3005"/>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ORGANIZATION AND BUSINESS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3145" w:type="dxa"/>
        <w:jc w:val="left"/>
        <w:tblInd w:w="0" w:type="dxa"/>
        <w:tblCellMar>
          <w:top w:w="0" w:type="dxa"/>
          <w:left w:w="0" w:type="dxa"/>
          <w:bottom w:w="0" w:type="dxa"/>
          <w:right w:w="0" w:type="dxa"/>
        </w:tblCellMar>
      </w:tblPr>
      <w:tblGrid>
        <w:gridCol w:w="75"/>
        <w:gridCol w:w="290"/>
        <w:gridCol w:w="278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27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Recent Developments Related to </w:t>
            </w:r>
          </w:p>
          <w:p>
            <w:pPr>
              <w:pStyle w:val="TableContents"/>
              <w:spacing w:before="0" w:after="0"/>
              <w:jc w:val="left"/>
              <w:rPr>
                <w:rFonts w:ascii="Times New Roman" w:hAnsi="Times New Roman"/>
                <w:b/>
                <w:spacing w:val="0"/>
                <w:sz w:val="20"/>
              </w:rPr>
            </w:pPr>
            <w:r>
              <w:rPr>
                <w:rFonts w:ascii="Times New Roman" w:hAnsi="Times New Roman"/>
                <w:b/>
                <w:spacing w:val="0"/>
                <w:sz w:val="20"/>
              </w:rPr>
              <w:t>COVID-19</w:t>
            </w:r>
          </w:p>
          <w:p>
            <w:pPr>
              <w:pStyle w:val="TableContents"/>
              <w:spacing w:before="0" w:after="0"/>
              <w:jc w:val="left"/>
              <w:rPr>
                <w:rFonts w:ascii="Times New Roman" w:hAnsi="Times New Roman"/>
                <w:b/>
                <w:spacing w:val="0"/>
                <w:sz w:val="20"/>
              </w:rPr>
            </w:pPr>
            <w:r>
              <w:rPr>
                <w:rFonts w:ascii="Times New Roman" w:hAnsi="Times New Roman"/>
                <w:b/>
                <w:spacing w:val="0"/>
                <w:sz w:val="20"/>
              </w:rPr>
              <w:t>and Other Business Operation</w:t>
            </w:r>
          </w:p>
          <w:p>
            <w:pPr>
              <w:pStyle w:val="TableContents"/>
              <w:spacing w:before="0" w:after="0"/>
              <w:jc w:val="left"/>
              <w:rPr>
                <w:rFonts w:ascii="Times New Roman" w:hAnsi="Times New Roman"/>
                <w:b/>
                <w:spacing w:val="0"/>
                <w:sz w:val="20"/>
              </w:rPr>
            </w:pPr>
            <w:r>
              <w:rPr>
                <w:rFonts w:ascii="Times New Roman" w:hAnsi="Times New Roman"/>
                <w:b/>
                <w:spacing w:val="0"/>
                <w:sz w:val="20"/>
              </w:rPr>
              <w:t>s</w:t>
            </w:r>
          </w:p>
          <w:p>
            <w:pPr>
              <w:pStyle w:val="TableContents"/>
              <w:spacing w:before="0" w:after="0"/>
              <w:jc w:val="left"/>
              <w:rPr/>
            </w:pPr>
            <w:r>
              <w:rPr/>
              <w:t> </w:t>
            </w:r>
            <w:r>
              <w:rPr>
                <w:rFonts w:ascii="Times New Roman" w:hAnsi="Times New Roman"/>
                <w:sz w:val="20"/>
              </w:rPr>
              <w:t xml:space="preserve">- continued </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extensive and rapidly changing. These could be difficult to comply with and could also significantly increase the Company’s business and compliance costs as well as having a negative impact on the Company’s business and ability to accept certain customers from Russia, and may materially and adversely affect the Company’s business in Cyprus.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Company is currently unable to reasonably estimate the financial impact to its future results of operations, cash flows and financial condition from these disruptions</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2022, the Company had cash and cash equivalents of $1,812,729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and available unused borrowing capacity of</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$71,838, subject to the satisfaction of certain conditions precedent.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has taken various mitigating measures to manage through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outbreak challenges, such as implementing cost reduction programs to minimize cash outflows for </w:t>
      </w:r>
    </w:p>
    <w:p>
      <w:pPr>
        <w:pStyle w:val="TextBody"/>
        <w:spacing w:before="120" w:after="0"/>
        <w:jc w:val="left"/>
        <w:rPr>
          <w:rFonts w:ascii="Times New Roman" w:hAnsi="Times New Roman"/>
          <w:spacing w:val="0"/>
          <w:sz w:val="20"/>
        </w:rPr>
      </w:pPr>
      <w:r>
        <w:rPr>
          <w:rFonts w:ascii="Times New Roman" w:hAnsi="Times New Roman"/>
          <w:spacing w:val="0"/>
          <w:sz w:val="20"/>
        </w:rPr>
        <w:t>non-essential</w:t>
      </w:r>
    </w:p>
    <w:p>
      <w:pPr>
        <w:pStyle w:val="TextBody"/>
        <w:spacing w:before="120" w:after="0"/>
        <w:jc w:val="left"/>
        <w:rPr>
          <w:rFonts w:ascii="Times New Roman" w:hAnsi="Times New Roman"/>
          <w:spacing w:val="0"/>
          <w:sz w:val="20"/>
        </w:rPr>
      </w:pPr>
      <w:r>
        <w:rPr>
          <w:rFonts w:ascii="Times New Roman" w:hAnsi="Times New Roman"/>
          <w:spacing w:val="0"/>
          <w:sz w:val="20"/>
        </w:rPr>
        <w:t>items, rationalizing the Company’s capital expenditure programs with deferrals and reductions and raising additional capital through debt and equity offerings.</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believes it will be able to support continuing operations and capital expenditures for at least twelve months after the date that these consolidated financial statements are issued. Accordingly, the accompanying consolidated financial statements are prepared on a going concern basis. </w:t>
      </w:r>
    </w:p>
    <w:p>
      <w:pPr>
        <w:pStyle w:val="TextBody"/>
        <w:spacing w:before="0" w:after="0"/>
        <w:ind w:left="0" w:right="0" w:hanging="0"/>
        <w:jc w:val="left"/>
        <w:rPr>
          <w:spacing w:val="0"/>
        </w:rPr>
      </w:pPr>
      <w:r>
        <w:rPr>
          <w:spacing w:val="0"/>
        </w:rPr>
        <w:t> </w:t>
      </w:r>
    </w:p>
    <w:tbl>
      <w:tblPr>
        <w:tblW w:w="5110" w:type="dxa"/>
        <w:jc w:val="left"/>
        <w:tblInd w:w="0" w:type="dxa"/>
        <w:tblCellMar>
          <w:top w:w="0" w:type="dxa"/>
          <w:left w:w="0" w:type="dxa"/>
          <w:bottom w:w="0" w:type="dxa"/>
          <w:right w:w="0" w:type="dxa"/>
        </w:tblCellMar>
      </w:tblPr>
      <w:tblGrid>
        <w:gridCol w:w="75"/>
        <w:gridCol w:w="275"/>
        <w:gridCol w:w="4760"/>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spacing w:val="0"/>
              </w:rPr>
            </w:pPr>
            <w:r>
              <w:rPr>
                <w:spacing w:val="0"/>
              </w:rPr>
              <w:t>(c)</w:t>
            </w:r>
          </w:p>
        </w:tc>
        <w:tc>
          <w:tcPr>
            <w:tcW w:w="4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Macau Gaming Subconcession and Concession Contract</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September 8, 2006, Melco Resorts (Macau) Limited (“Melco Resorts Macau”), a subsidiary of Melco, entered into a subconcession contract to operate its gaming business in Macau, which expired on June 26, 2022. This subconcession contract was extended to December 31, 2022 by order of the Macau Chief Executive under the Macau gaming law pursuant to an amendment agreement entered into by Melco Resorts Macau on June 23, 2022. Such extension coincided with the extended expiration date of all the other concessions and subconcessions in Macau. Melco Resorts Macau paid a premium of Macau Patacas (“MOP”) </w:t>
      </w:r>
    </w:p>
    <w:p>
      <w:pPr>
        <w:pStyle w:val="TextBody"/>
        <w:spacing w:before="120" w:after="0"/>
        <w:jc w:val="left"/>
        <w:rPr>
          <w:rFonts w:ascii="Times New Roman" w:hAnsi="Times New Roman"/>
          <w:spacing w:val="0"/>
          <w:sz w:val="20"/>
        </w:rPr>
      </w:pPr>
      <w:r>
        <w:rPr>
          <w:rFonts w:ascii="Times New Roman" w:hAnsi="Times New Roman"/>
          <w:spacing w:val="0"/>
          <w:sz w:val="20"/>
        </w:rPr>
        <w:t>47,000</w:t>
      </w:r>
    </w:p>
    <w:p>
      <w:pPr>
        <w:pStyle w:val="TextBody"/>
        <w:spacing w:before="120" w:after="0"/>
        <w:jc w:val="left"/>
        <w:rPr>
          <w:spacing w:val="0"/>
        </w:rPr>
      </w:pPr>
      <w:r>
        <w:rPr>
          <w:spacing w:val="0"/>
        </w:rPr>
        <w:t> </w:t>
      </w:r>
      <w:r>
        <w:rPr>
          <w:rFonts w:ascii="Times New Roman" w:hAnsi="Times New Roman"/>
          <w:spacing w:val="0"/>
          <w:sz w:val="20"/>
        </w:rPr>
        <w: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equivalent to </w:t>
      </w:r>
    </w:p>
    <w:p>
      <w:pPr>
        <w:pStyle w:val="TextBody"/>
        <w:spacing w:before="120" w:after="0"/>
        <w:jc w:val="left"/>
        <w:rPr>
          <w:rFonts w:ascii="Times New Roman" w:hAnsi="Times New Roman"/>
          <w:spacing w:val="0"/>
          <w:sz w:val="20"/>
        </w:rPr>
      </w:pPr>
      <w:r>
        <w:rPr>
          <w:rFonts w:ascii="Times New Roman" w:hAnsi="Times New Roman"/>
          <w:spacing w:val="0"/>
          <w:sz w:val="20"/>
        </w:rPr>
        <w:t>$5,815</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to the Macau government in June 2022 for the extension. Melco Resorts Macau also submitted a bank guarantee in an amount of MO</w:t>
      </w:r>
    </w:p>
    <w:p>
      <w:pPr>
        <w:pStyle w:val="TextBody"/>
        <w:spacing w:before="120" w:after="0"/>
        <w:jc w:val="left"/>
        <w:rPr>
          <w:rFonts w:ascii="Times New Roman" w:hAnsi="Times New Roman"/>
          <w:spacing w:val="0"/>
          <w:sz w:val="20"/>
        </w:rPr>
      </w:pPr>
      <w:r>
        <w:rPr>
          <w:rFonts w:ascii="Times New Roman" w:hAnsi="Times New Roman"/>
          <w:spacing w:val="0"/>
          <w:sz w:val="20"/>
        </w:rPr>
        <w:t>P820,000 (equivalent to $101,942</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to the Macau government on September 20, 2022 to guarantee the satisfaction of any labor liabilities upon expiry of the subconcession (see Note 23(b)). After the award of the Concession, as described below, the bank guarantee of MO</w:t>
      </w:r>
    </w:p>
    <w:p>
      <w:pPr>
        <w:pStyle w:val="TextBody"/>
        <w:spacing w:before="120" w:after="0"/>
        <w:jc w:val="left"/>
        <w:rPr>
          <w:rFonts w:ascii="Times New Roman" w:hAnsi="Times New Roman"/>
          <w:spacing w:val="0"/>
          <w:sz w:val="20"/>
        </w:rPr>
      </w:pPr>
      <w:r>
        <w:rPr>
          <w:rFonts w:ascii="Times New Roman" w:hAnsi="Times New Roman"/>
          <w:spacing w:val="0"/>
          <w:sz w:val="20"/>
        </w:rPr>
        <w:t>P820,000 (equivalent to $101,942) as described above</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pacing w:val="0"/>
          <w:sz w:val="20"/>
        </w:rPr>
      </w:pPr>
      <w:r>
        <w:rPr>
          <w:rFonts w:ascii="Times New Roman" w:hAnsi="Times New Roman"/>
          <w:spacing w:val="0"/>
          <w:sz w:val="20"/>
        </w:rPr>
        <w:t>together with another bank guarantee of MOP300,000 (equivalent to $37,296) as disclosed in Note 23(</w:t>
      </w:r>
    </w:p>
    <w:p>
      <w:pPr>
        <w:pStyle w:val="TextBody"/>
        <w:spacing w:before="120" w:after="0"/>
        <w:jc w:val="left"/>
        <w:rPr>
          <w:rFonts w:ascii="Times New Roman" w:hAnsi="Times New Roman"/>
          <w:spacing w:val="0"/>
          <w:sz w:val="20"/>
        </w:rPr>
      </w:pPr>
      <w:r>
        <w:rPr>
          <w:rFonts w:ascii="Times New Roman" w:hAnsi="Times New Roman"/>
          <w:spacing w:val="0"/>
          <w:sz w:val="20"/>
        </w:rPr>
        <w:t>b)</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pacing w:val="0"/>
          <w:sz w:val="20"/>
        </w:rPr>
      </w:pPr>
      <w:r>
        <w:rPr>
          <w:rFonts w:ascii="Times New Roman" w:hAnsi="Times New Roman"/>
          <w:spacing w:val="0"/>
          <w:sz w:val="20"/>
        </w:rPr>
        <w:t>v</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spacing w:val="0"/>
        </w:rPr>
      </w:pPr>
      <w:r>
        <w:rPr>
          <w:spacing w:val="0"/>
        </w:rPr>
        <w:t> </w:t>
      </w:r>
      <w:r>
        <w:rPr>
          <w:rFonts w:ascii="Times New Roman" w:hAnsi="Times New Roman"/>
          <w:spacing w:val="0"/>
          <w:sz w:val="20"/>
        </w:rPr>
        <w:t xml:space="preserve">provided to the Macau government under its subconcession, and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along</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with</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any</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related</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cash</w:t>
      </w:r>
    </w:p>
    <w:p>
      <w:pPr>
        <w:pStyle w:val="TextBody"/>
        <w:spacing w:before="120" w:after="0"/>
        <w:jc w:val="left"/>
        <w:rPr>
          <w:spacing w:val="0"/>
          <w:highlight w:val="white"/>
        </w:rPr>
      </w:pPr>
      <w:r>
        <w:rPr>
          <w:spacing w:val="0"/>
          <w:highlight w:val="white"/>
        </w:rPr>
        <w:t> </w:t>
      </w:r>
      <w:r>
        <w:rPr>
          <w:rFonts w:ascii="Times New Roman" w:hAnsi="Times New Roman"/>
          <w:spacing w:val="0"/>
          <w:sz w:val="20"/>
          <w:highlight w:val="white"/>
        </w:rPr>
        <w:t>collateral</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highlight w:val="white"/>
        </w:rPr>
      </w:pPr>
      <w:r>
        <w:rPr>
          <w:rFonts w:ascii="Times New Roman" w:hAnsi="Times New Roman"/>
          <w:spacing w:val="0"/>
          <w:sz w:val="20"/>
          <w:highlight w:val="white"/>
        </w:rPr>
        <w:t xml:space="preserve">were released in January 2023.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December 16, 2022, the Macau government awarded a ten-year concession to operate games of fortune and chance in casinos in Macau (the “Concession”) to Melco Resorts Macau. The term of the Concession commenced on January 1, 2023 and ends on December 31, 2032. Under the Concession, Melco Resorts Macau is authorized to operate the Altira Casino, the City of Dreams Casino and the Studio City Casino as well as the Grand Dragon Casino and the Mocha Clubs.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December 30, 2022, in accordance with the obligations under letter of undertakings dated June 23, 2022, Melco Resorts Macau and each of Altira Resorts Limited, COD Resorts Limited and Studio City Developments Limited, subsidiaries of Melco, which holds the land lease rights for the properties on which the Altira Casino, City of Dreams Casino and Studio City Casino are located, respectively, executed a public deed pursuant to which the gaming and gaming support areas comprising the Altira Casino, City of Dreams Casino and Studio City Casino with an area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17,128.8 square meters,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spacing w:before="0" w:after="0"/>
        <w:ind w:left="0" w:right="0" w:hanging="0"/>
        <w:jc w:val="left"/>
        <w:rPr>
          <w:spacing w:val="0"/>
        </w:rPr>
      </w:pPr>
      <w:r>
        <w:rPr>
          <w:spacing w:val="0"/>
        </w:rPr>
        <w:t> </w:t>
      </w:r>
    </w:p>
    <w:tbl>
      <w:tblPr>
        <w:tblW w:w="3220" w:type="dxa"/>
        <w:jc w:val="left"/>
        <w:tblInd w:w="0" w:type="dxa"/>
        <w:tblCellMar>
          <w:top w:w="0" w:type="dxa"/>
          <w:left w:w="0" w:type="dxa"/>
          <w:bottom w:w="0" w:type="dxa"/>
          <w:right w:w="0" w:type="dxa"/>
        </w:tblCellMar>
      </w:tblPr>
      <w:tblGrid>
        <w:gridCol w:w="215"/>
        <w:gridCol w:w="3005"/>
      </w:tblGrid>
      <w:tr>
        <w:trPr/>
        <w:tc>
          <w:tcPr>
            <w:tcW w:w="215" w:type="dxa"/>
            <w:tcBorders/>
            <w:shd w:fill="auto" w:val="clear"/>
            <w:vAlign w:val="center"/>
          </w:tcPr>
          <w:p>
            <w:pPr>
              <w:pStyle w:val="TableContents"/>
              <w:spacing w:before="0" w:after="0"/>
              <w:jc w:val="left"/>
              <w:rPr>
                <w:b/>
                <w:spacing w:val="0"/>
              </w:rPr>
            </w:pPr>
            <w:r>
              <w:rPr>
                <w:b/>
                <w:spacing w:val="0"/>
              </w:rPr>
              <w:t>1.</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ORGANIZATION AND BUSINESS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tbl>
      <w:tblPr>
        <w:tblW w:w="5110" w:type="dxa"/>
        <w:jc w:val="left"/>
        <w:tblInd w:w="0" w:type="dxa"/>
        <w:tblCellMar>
          <w:top w:w="0" w:type="dxa"/>
          <w:left w:w="0" w:type="dxa"/>
          <w:bottom w:w="0" w:type="dxa"/>
          <w:right w:w="0" w:type="dxa"/>
        </w:tblCellMar>
      </w:tblPr>
      <w:tblGrid>
        <w:gridCol w:w="75"/>
        <w:gridCol w:w="275"/>
        <w:gridCol w:w="4760"/>
      </w:tblGrid>
      <w:tr>
        <w:trPr/>
        <w:tc>
          <w:tcPr>
            <w:tcW w:w="75" w:type="dxa"/>
            <w:tcBorders/>
            <w:shd w:fill="auto" w:val="clear"/>
            <w:vAlign w:val="center"/>
          </w:tcPr>
          <w:p>
            <w:pPr>
              <w:pStyle w:val="TableContents"/>
              <w:spacing w:before="0" w:after="0"/>
              <w:rPr/>
            </w:pPr>
            <w:r>
              <w:rPr/>
              <w:t> </w:t>
            </w:r>
          </w:p>
        </w:tc>
        <w:tc>
          <w:tcPr>
            <w:tcW w:w="275" w:type="dxa"/>
            <w:tcBorders/>
            <w:shd w:fill="auto" w:val="clear"/>
            <w:vAlign w:val="center"/>
          </w:tcPr>
          <w:p>
            <w:pPr>
              <w:pStyle w:val="TableContents"/>
              <w:spacing w:before="0" w:after="0"/>
              <w:jc w:val="left"/>
              <w:rPr/>
            </w:pPr>
            <w:r>
              <w:rPr/>
              <w:t>(c)</w:t>
            </w:r>
          </w:p>
        </w:tc>
        <w:tc>
          <w:tcPr>
            <w:tcW w:w="4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Macau Gaming Subconcession and Concession Contract</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31,227.3</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square meters and </w:t>
      </w:r>
    </w:p>
    <w:p>
      <w:pPr>
        <w:pStyle w:val="TextBody"/>
        <w:spacing w:before="0" w:after="0"/>
        <w:jc w:val="left"/>
        <w:rPr>
          <w:rFonts w:ascii="Times New Roman" w:hAnsi="Times New Roman"/>
          <w:spacing w:val="0"/>
          <w:sz w:val="20"/>
        </w:rPr>
      </w:pPr>
      <w:r>
        <w:rPr>
          <w:rFonts w:ascii="Times New Roman" w:hAnsi="Times New Roman"/>
          <w:spacing w:val="0"/>
          <w:sz w:val="20"/>
        </w:rPr>
        <w:t>28,784.3</w:t>
      </w:r>
    </w:p>
    <w:p>
      <w:pPr>
        <w:pStyle w:val="TextBody"/>
        <w:spacing w:before="0" w:after="0"/>
        <w:jc w:val="left"/>
        <w:rPr>
          <w:spacing w:val="0"/>
        </w:rPr>
      </w:pPr>
      <w:r>
        <w:rPr>
          <w:spacing w:val="0"/>
        </w:rPr>
        <w:t> </w:t>
      </w:r>
      <w:r>
        <w:rPr>
          <w:rFonts w:ascii="Times New Roman" w:hAnsi="Times New Roman"/>
          <w:spacing w:val="0"/>
          <w:sz w:val="20"/>
        </w:rPr>
        <w:t>square meters, respectively, and related gaming equipment and utensils (collectively as referred to the “Reversion Assets”), reverted to the Macau government, without compensation and free and clear from any charges or encumbrances, at the expiration of the subconcession in accordance with the Macau gaming law. Under the terms of the Macau gaming law and the Concession, effective as of January 1, 2023, the Reversion Assets have been transferred by the Macau government to Melco Resorts Macau for use in its operations during the Concession for a fee of MOP</w:t>
      </w:r>
    </w:p>
    <w:p>
      <w:pPr>
        <w:pStyle w:val="TextBody"/>
        <w:spacing w:before="0" w:after="0"/>
        <w:jc w:val="left"/>
        <w:rPr>
          <w:rFonts w:ascii="Times New Roman" w:hAnsi="Times New Roman"/>
          <w:sz w:val="20"/>
        </w:rPr>
      </w:pPr>
      <w:r>
        <w:rPr>
          <w:rFonts w:ascii="Times New Roman" w:hAnsi="Times New Roman"/>
          <w:sz w:val="20"/>
        </w:rPr>
        <w:t>0.75</w:t>
      </w:r>
    </w:p>
    <w:p>
      <w:pPr>
        <w:pStyle w:val="TextBody"/>
        <w:spacing w:before="0" w:after="0"/>
        <w:jc w:val="left"/>
        <w:rPr>
          <w:rFonts w:ascii="Times New Roman" w:hAnsi="Times New Roman"/>
          <w:spacing w:val="0"/>
          <w:sz w:val="20"/>
        </w:rPr>
      </w:pPr>
      <w:r>
        <w:rPr>
          <w:rFonts w:ascii="Times New Roman" w:hAnsi="Times New Roman"/>
          <w:spacing w:val="0"/>
          <w:sz w:val="20"/>
        </w:rPr>
        <w:t>per square meter of the casino for years 1 to 3 of the Concession, subject to a consumer price index increase in years 2 and 3 of the Concession. The fee will increase to MO</w:t>
      </w:r>
    </w:p>
    <w:p>
      <w:pPr>
        <w:pStyle w:val="TextBody"/>
        <w:spacing w:before="0" w:after="0"/>
        <w:jc w:val="left"/>
        <w:rPr>
          <w:rFonts w:ascii="Times New Roman" w:hAnsi="Times New Roman"/>
          <w:spacing w:val="0"/>
          <w:sz w:val="20"/>
        </w:rPr>
      </w:pPr>
      <w:r>
        <w:rPr>
          <w:rFonts w:ascii="Times New Roman" w:hAnsi="Times New Roman"/>
          <w:spacing w:val="0"/>
          <w:sz w:val="20"/>
        </w:rPr>
        <w:t>P</w:t>
      </w:r>
    </w:p>
    <w:p>
      <w:pPr>
        <w:pStyle w:val="TextBody"/>
        <w:spacing w:before="0" w:after="0"/>
        <w:jc w:val="left"/>
        <w:rPr>
          <w:rFonts w:ascii="Times New Roman" w:hAnsi="Times New Roman"/>
          <w:sz w:val="20"/>
        </w:rPr>
      </w:pPr>
      <w:r>
        <w:rPr>
          <w:rFonts w:ascii="Times New Roman" w:hAnsi="Times New Roman"/>
          <w:sz w:val="20"/>
        </w:rPr>
        <w:t>2.5</w:t>
      </w:r>
    </w:p>
    <w:p>
      <w:pPr>
        <w:pStyle w:val="TextBody"/>
        <w:spacing w:before="0" w:after="0"/>
        <w:jc w:val="left"/>
        <w:rPr>
          <w:rFonts w:ascii="Times New Roman" w:hAnsi="Times New Roman"/>
          <w:spacing w:val="0"/>
          <w:sz w:val="20"/>
        </w:rPr>
      </w:pPr>
      <w:r>
        <w:rPr>
          <w:rFonts w:ascii="Times New Roman" w:hAnsi="Times New Roman"/>
          <w:spacing w:val="0"/>
          <w:sz w:val="20"/>
        </w:rPr>
        <w:t>per square meter of the casino for years 4 to 10 of the Concession, subject to a consumer price index increase in years 5 to 10 of the Concession.</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Melco Resorts Macau and Studio City Entertainment Limited (“Studio City Entertainment”), a subsidiary of Melco, entered into a services and right to use agreement dated May 11, 2007, as amended on June 15, 2012, together with related agreements, under which Melco Resorts Macau agreed to operate the Studio City Casino since Studio City Entertainment does not hold a gaming concession in Macau. Under such arrangements, Melco Resorts Macau deducts gaming taxes and the costs incurred in connection with its operations from Studio City Casino’s gross gaming revenues and Studio City Entertainment receives the residual amount. These arrangements were amended on June 23, 2022 to align such agreement with the enacted amendments to the Macau gaming law and the residual amount which Studio City Entertainment receives as revenue. In addition, certain conditions imposed by the Macau government relating to the previously existing agreement, including in relation to shareholding requirements for certain direct and indirect shareholders of Studio City Entertainment, are no longer applicable.</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z w:val="36"/>
        </w:rPr>
      </w:pPr>
      <w:r>
        <w:rPr>
          <w:sz w:val="36"/>
        </w:rPr>
      </w:r>
    </w:p>
    <w:tbl>
      <w:tblPr>
        <w:tblW w:w="5275" w:type="dxa"/>
        <w:jc w:val="left"/>
        <w:tblInd w:w="0" w:type="dxa"/>
        <w:tblCellMar>
          <w:top w:w="0" w:type="dxa"/>
          <w:left w:w="0" w:type="dxa"/>
          <w:bottom w:w="0" w:type="dxa"/>
          <w:right w:w="0" w:type="dxa"/>
        </w:tblCellMar>
      </w:tblPr>
      <w:tblGrid>
        <w:gridCol w:w="215"/>
        <w:gridCol w:w="5060"/>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spacing w:before="0" w:after="0"/>
        <w:ind w:left="0" w:right="0" w:hanging="0"/>
        <w:jc w:val="left"/>
        <w:rPr>
          <w:spacing w:val="0"/>
        </w:rPr>
      </w:pPr>
      <w:r>
        <w:rPr>
          <w:spacing w:val="0"/>
        </w:rPr>
        <w:t> </w:t>
      </w:r>
    </w:p>
    <w:tbl>
      <w:tblPr>
        <w:tblW w:w="4818" w:type="dxa"/>
        <w:jc w:val="left"/>
        <w:tblInd w:w="0" w:type="dxa"/>
        <w:tblCellMar>
          <w:top w:w="0" w:type="dxa"/>
          <w:left w:w="0" w:type="dxa"/>
          <w:bottom w:w="0" w:type="dxa"/>
          <w:right w:w="0" w:type="dxa"/>
        </w:tblCellMar>
      </w:tblPr>
      <w:tblGrid>
        <w:gridCol w:w="38"/>
        <w:gridCol w:w="275"/>
        <w:gridCol w:w="450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0"/>
              <w:jc w:val="left"/>
              <w:rPr>
                <w:spacing w:val="0"/>
              </w:rPr>
            </w:pPr>
            <w:r>
              <w:rPr>
                <w:spacing w:val="0"/>
              </w:rPr>
              <w:t>(a)</w:t>
            </w:r>
          </w:p>
        </w:tc>
        <w:tc>
          <w:tcPr>
            <w:tcW w:w="45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Basis of Presentation and Principles of Consolidation</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accompanying consolidated financial statements have been prepared in conformity with U.S. generally accepted accounting principles (“U.S. GAAP”).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accompanying consolidated financial statements include the accounts of Melco and its subsidiaries. All intercompany accounts and transactions have been eliminated in consolidation. </w:t>
      </w:r>
    </w:p>
    <w:p>
      <w:pPr>
        <w:pStyle w:val="TextBody"/>
        <w:spacing w:before="0" w:after="0"/>
        <w:jc w:val="left"/>
        <w:rPr>
          <w:spacing w:val="0"/>
        </w:rPr>
      </w:pPr>
      <w:r>
        <w:rPr>
          <w:spacing w:val="0"/>
        </w:rPr>
        <w:t> </w:t>
      </w:r>
    </w:p>
    <w:tbl>
      <w:tblPr>
        <w:tblW w:w="1743" w:type="dxa"/>
        <w:jc w:val="left"/>
        <w:tblInd w:w="0" w:type="dxa"/>
        <w:tblCellMar>
          <w:top w:w="0" w:type="dxa"/>
          <w:left w:w="0" w:type="dxa"/>
          <w:bottom w:w="0" w:type="dxa"/>
          <w:right w:w="0" w:type="dxa"/>
        </w:tblCellMar>
      </w:tblPr>
      <w:tblGrid>
        <w:gridCol w:w="38"/>
        <w:gridCol w:w="290"/>
        <w:gridCol w:w="141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jc w:val="left"/>
              <w:rPr>
                <w:spacing w:val="0"/>
              </w:rPr>
            </w:pPr>
            <w:r>
              <w:rPr>
                <w:spacing w:val="0"/>
              </w:rPr>
              <w:t>(b)</w:t>
            </w:r>
          </w:p>
        </w:tc>
        <w:tc>
          <w:tcPr>
            <w:tcW w:w="14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Use of Estimates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preparation of the accompanying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Company and on various other assumptions that the Company believes to be reasonable under the circumstances. Accordingly, actual results could differ from those estimates. </w:t>
      </w:r>
    </w:p>
    <w:p>
      <w:pPr>
        <w:pStyle w:val="TextBody"/>
        <w:spacing w:before="0" w:after="0"/>
        <w:jc w:val="left"/>
        <w:rPr>
          <w:spacing w:val="0"/>
        </w:rPr>
      </w:pPr>
      <w:r>
        <w:rPr>
          <w:spacing w:val="0"/>
        </w:rPr>
        <w:t> </w:t>
      </w:r>
    </w:p>
    <w:tbl>
      <w:tblPr>
        <w:tblW w:w="3378" w:type="dxa"/>
        <w:jc w:val="left"/>
        <w:tblInd w:w="0" w:type="dxa"/>
        <w:tblCellMar>
          <w:top w:w="0" w:type="dxa"/>
          <w:left w:w="0" w:type="dxa"/>
          <w:bottom w:w="0" w:type="dxa"/>
          <w:right w:w="0" w:type="dxa"/>
        </w:tblCellMar>
      </w:tblPr>
      <w:tblGrid>
        <w:gridCol w:w="38"/>
        <w:gridCol w:w="275"/>
        <w:gridCol w:w="306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0"/>
              <w:jc w:val="left"/>
              <w:rPr>
                <w:spacing w:val="0"/>
              </w:rPr>
            </w:pPr>
            <w:r>
              <w:rPr>
                <w:spacing w:val="0"/>
              </w:rPr>
              <w:t>(c)</w:t>
            </w:r>
          </w:p>
        </w:tc>
        <w:tc>
          <w:tcPr>
            <w:tcW w:w="306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Fair Value of Financial Instruments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Fair value is defined as the price that would be received to sell an asset or paid to transfer a liability (i.e. the “exit price”) in an orderly transaction between market participants at the measurement date.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19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3415" w:type="dxa"/>
        <w:jc w:val="left"/>
        <w:tblInd w:w="0" w:type="dxa"/>
        <w:tblCellMar>
          <w:top w:w="0" w:type="dxa"/>
          <w:left w:w="0" w:type="dxa"/>
          <w:bottom w:w="0" w:type="dxa"/>
          <w:right w:w="0" w:type="dxa"/>
        </w:tblCellMar>
      </w:tblPr>
      <w:tblGrid>
        <w:gridCol w:w="75"/>
        <w:gridCol w:w="275"/>
        <w:gridCol w:w="3065"/>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spacing w:val="0"/>
              </w:rPr>
            </w:pPr>
            <w:r>
              <w:rPr>
                <w:spacing w:val="0"/>
              </w:rPr>
              <w:t>(c)</w:t>
            </w:r>
          </w:p>
        </w:tc>
        <w:tc>
          <w:tcPr>
            <w:tcW w:w="306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Fair Value of Financial Instruments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The Company estimated the fair values using appropriate valuation methodologies and market information available as of the balance sheet date.</w:t>
      </w:r>
    </w:p>
    <w:p>
      <w:pPr>
        <w:pStyle w:val="TextBody"/>
        <w:spacing w:before="0" w:after="0"/>
        <w:jc w:val="left"/>
        <w:rPr>
          <w:spacing w:val="0"/>
        </w:rPr>
      </w:pPr>
      <w:r>
        <w:rPr>
          <w:spacing w:val="0"/>
        </w:rPr>
        <w:t> </w:t>
      </w:r>
    </w:p>
    <w:tbl>
      <w:tblPr>
        <w:tblW w:w="2703" w:type="dxa"/>
        <w:jc w:val="left"/>
        <w:tblInd w:w="0" w:type="dxa"/>
        <w:tblCellMar>
          <w:top w:w="0" w:type="dxa"/>
          <w:left w:w="0" w:type="dxa"/>
          <w:bottom w:w="0" w:type="dxa"/>
          <w:right w:w="0" w:type="dxa"/>
        </w:tblCellMar>
      </w:tblPr>
      <w:tblGrid>
        <w:gridCol w:w="38"/>
        <w:gridCol w:w="290"/>
        <w:gridCol w:w="237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jc w:val="left"/>
              <w:rPr>
                <w:spacing w:val="0"/>
              </w:rPr>
            </w:pPr>
            <w:r>
              <w:rPr>
                <w:spacing w:val="0"/>
              </w:rPr>
              <w:t>(d)</w:t>
            </w:r>
          </w:p>
        </w:tc>
        <w:tc>
          <w:tcPr>
            <w:tcW w:w="23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Cash and Cash Equivalents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Cash and cash equivalents consist of cash and highly liquid investments with original maturities of three months or less.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Cash equivalents consist of bank time deposists placed with financial institutions with high-credit ratings and quality. </w:t>
      </w:r>
    </w:p>
    <w:p>
      <w:pPr>
        <w:pStyle w:val="TextBody"/>
        <w:spacing w:before="0" w:after="0"/>
        <w:jc w:val="left"/>
        <w:rPr>
          <w:sz w:val="12"/>
        </w:rPr>
      </w:pPr>
      <w:r>
        <w:rPr>
          <w:sz w:val="12"/>
        </w:rPr>
      </w:r>
    </w:p>
    <w:tbl>
      <w:tblPr>
        <w:tblW w:w="2148" w:type="dxa"/>
        <w:jc w:val="left"/>
        <w:tblInd w:w="0" w:type="dxa"/>
        <w:tblCellMar>
          <w:top w:w="0" w:type="dxa"/>
          <w:left w:w="0" w:type="dxa"/>
          <w:bottom w:w="0" w:type="dxa"/>
          <w:right w:w="0" w:type="dxa"/>
        </w:tblCellMar>
      </w:tblPr>
      <w:tblGrid>
        <w:gridCol w:w="38"/>
        <w:gridCol w:w="275"/>
        <w:gridCol w:w="183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0"/>
              <w:jc w:val="left"/>
              <w:rPr>
                <w:spacing w:val="0"/>
              </w:rPr>
            </w:pPr>
            <w:r>
              <w:rPr>
                <w:spacing w:val="0"/>
              </w:rPr>
              <w:t>(e)</w:t>
            </w:r>
          </w:p>
        </w:tc>
        <w:tc>
          <w:tcPr>
            <w:tcW w:w="18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Investment Securities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Investment securities consist of investments in mutual funds that mainly invest in bonds and fixed interest securities and investments in equity interests in a public company on which the Company has no significant influence. The investment securities are considered as marketable equity securities. Management determines the appropriate classification of its investment securities at the time of purchase and </w:t>
      </w:r>
    </w:p>
    <w:p>
      <w:pPr>
        <w:pStyle w:val="TextBody"/>
        <w:spacing w:before="120" w:after="0"/>
        <w:jc w:val="left"/>
        <w:rPr>
          <w:rFonts w:ascii="Times New Roman" w:hAnsi="Times New Roman"/>
          <w:spacing w:val="0"/>
          <w:sz w:val="20"/>
        </w:rPr>
      </w:pPr>
      <w:r>
        <w:rPr>
          <w:rFonts w:ascii="Times New Roman" w:hAnsi="Times New Roman"/>
          <w:spacing w:val="0"/>
          <w:sz w:val="20"/>
        </w:rPr>
        <w:t>re-evaluates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classifications at each balance sheet date. Investment securities are classified as either current </w:t>
      </w:r>
    </w:p>
    <w:p>
      <w:pPr>
        <w:pStyle w:val="TextBody"/>
        <w:spacing w:before="120" w:after="0"/>
        <w:jc w:val="left"/>
        <w:rPr>
          <w:rFonts w:ascii="Times New Roman" w:hAnsi="Times New Roman"/>
          <w:spacing w:val="0"/>
          <w:sz w:val="20"/>
        </w:rPr>
      </w:pPr>
      <w:r>
        <w:rPr>
          <w:rFonts w:ascii="Times New Roman" w:hAnsi="Times New Roman"/>
          <w:spacing w:val="0"/>
          <w:sz w:val="20"/>
        </w:rPr>
        <w:t>or</w:t>
      </w:r>
    </w:p>
    <w:p>
      <w:pPr>
        <w:pStyle w:val="TextBody"/>
        <w:spacing w:before="120" w:after="0"/>
        <w:jc w:val="left"/>
        <w:rPr>
          <w:rFonts w:ascii="Times New Roman" w:hAnsi="Times New Roman"/>
          <w:spacing w:val="0"/>
          <w:sz w:val="20"/>
        </w:rPr>
      </w:pPr>
      <w:r>
        <w:rPr>
          <w:rFonts w:ascii="Times New Roman" w:hAnsi="Times New Roman"/>
          <w:spacing w:val="0"/>
          <w:sz w:val="20"/>
        </w:rPr>
        <w:t>non-current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based on the nature of each security and its availability for use in current operations.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Investment securities are measured at fair value with changes in fair values recognized in the accompanying consolidated statements of operations.</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1675" w:type="dxa"/>
        <w:jc w:val="left"/>
        <w:tblInd w:w="0" w:type="dxa"/>
        <w:tblCellMar>
          <w:top w:w="0" w:type="dxa"/>
          <w:left w:w="0" w:type="dxa"/>
          <w:bottom w:w="0" w:type="dxa"/>
          <w:right w:w="0" w:type="dxa"/>
        </w:tblCellMar>
      </w:tblPr>
      <w:tblGrid>
        <w:gridCol w:w="75"/>
        <w:gridCol w:w="245"/>
        <w:gridCol w:w="1355"/>
      </w:tblGrid>
      <w:tr>
        <w:trPr/>
        <w:tc>
          <w:tcPr>
            <w:tcW w:w="75"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jc w:val="left"/>
              <w:rPr>
                <w:spacing w:val="0"/>
              </w:rPr>
            </w:pPr>
            <w:r>
              <w:rPr>
                <w:spacing w:val="0"/>
              </w:rPr>
              <w:t>(f)</w:t>
            </w:r>
          </w:p>
        </w:tc>
        <w:tc>
          <w:tcPr>
            <w:tcW w:w="13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Restricted Cash</w:t>
            </w:r>
          </w:p>
          <w:p>
            <w:pPr>
              <w:pStyle w:val="TableContents"/>
              <w:spacing w:before="0" w:after="0"/>
              <w:jc w:val="left"/>
              <w:rPr>
                <w:rFonts w:ascii="Times New Roman" w:hAnsi="Times New Roman"/>
                <w:sz w:val="20"/>
              </w:rPr>
            </w:pPr>
            <w:r>
              <w:rPr>
                <w:rFonts w:ascii="Times New Roman" w:hAnsi="Times New Roman"/>
                <w:sz w:val="20"/>
              </w:rPr>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current portion of restricted cash represents cash deposited into bank accounts which are restricted as to withdrawal and use and the Company expects these funds will be released or utilized in accordance with the terms of the respective agreements within the next twelve months, while the </w:t>
      </w:r>
    </w:p>
    <w:p>
      <w:pPr>
        <w:pStyle w:val="TextBody"/>
        <w:spacing w:before="120" w:after="0"/>
        <w:jc w:val="left"/>
        <w:rPr>
          <w:rFonts w:ascii="Times New Roman" w:hAnsi="Times New Roman"/>
          <w:spacing w:val="0"/>
          <w:sz w:val="20"/>
        </w:rPr>
      </w:pPr>
      <w:r>
        <w:rPr>
          <w:rFonts w:ascii="Times New Roman" w:hAnsi="Times New Roman"/>
          <w:spacing w:val="0"/>
          <w:sz w:val="20"/>
        </w:rPr>
        <w:t>non-current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portion of restricted cash represents funds that will not be released or utilized within the next twelve months. Restricted cash mainly represents cash deposits in (i) collateral bank accounts for bank guarantees as disclosed in Note 3; and (ii) collateral bank accounts associated with borrowings under the credit facilities as disclosed in Note 13. </w:t>
      </w:r>
    </w:p>
    <w:p>
      <w:pPr>
        <w:pStyle w:val="TextBody"/>
        <w:spacing w:before="0" w:after="0"/>
        <w:ind w:left="0" w:right="0" w:hanging="0"/>
        <w:jc w:val="left"/>
        <w:rPr>
          <w:spacing w:val="0"/>
        </w:rPr>
      </w:pPr>
      <w:r>
        <w:rPr>
          <w:spacing w:val="0"/>
        </w:rPr>
        <w:t> </w:t>
      </w:r>
    </w:p>
    <w:tbl>
      <w:tblPr>
        <w:tblW w:w="3550" w:type="dxa"/>
        <w:jc w:val="left"/>
        <w:tblInd w:w="0" w:type="dxa"/>
        <w:tblCellMar>
          <w:top w:w="0" w:type="dxa"/>
          <w:left w:w="0" w:type="dxa"/>
          <w:bottom w:w="0" w:type="dxa"/>
          <w:right w:w="0" w:type="dxa"/>
        </w:tblCellMar>
      </w:tblPr>
      <w:tblGrid>
        <w:gridCol w:w="75"/>
        <w:gridCol w:w="290"/>
        <w:gridCol w:w="3185"/>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(g)</w:t>
            </w:r>
          </w:p>
        </w:tc>
        <w:tc>
          <w:tcPr>
            <w:tcW w:w="31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Accounts Receivable and Credit Risk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Financial instruments that potentially subject the Company to concentrations of credit risk consist principally of casino receivables. The Company issues credit in the form of markers to approved casino customers following investigations of creditworthiness. Credit is also given to its gaming promoters in the Philippines, and historically, to gaming promoters in Macau, which receivables can be offset against commissions payable and any other value items held by the Company to the respective customers and for which the Company intends to set off when required. As of December 31, 2022 and 2021, a substantial portion of the Company’s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w:t>
      </w:r>
    </w:p>
    <w:p>
      <w:pPr>
        <w:pStyle w:val="TextBody"/>
        <w:spacing w:before="120" w:after="0"/>
        <w:jc w:val="left"/>
        <w:rPr>
          <w:rFonts w:ascii="Times New Roman" w:hAnsi="Times New Roman"/>
          <w:spacing w:val="0"/>
          <w:sz w:val="20"/>
        </w:rPr>
      </w:pPr>
      <w:r>
        <w:rPr>
          <w:rFonts w:ascii="Times New Roman" w:hAnsi="Times New Roman"/>
          <w:spacing w:val="0"/>
          <w:sz w:val="20"/>
        </w:rPr>
        <w:t>these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countries.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Accounts receivable, including casino, hotel and other receivables, are typically </w:t>
      </w:r>
    </w:p>
    <w:p>
      <w:pPr>
        <w:pStyle w:val="TextBody"/>
        <w:spacing w:before="120" w:after="0"/>
        <w:jc w:val="left"/>
        <w:rPr>
          <w:rFonts w:ascii="Times New Roman" w:hAnsi="Times New Roman"/>
          <w:spacing w:val="0"/>
          <w:sz w:val="20"/>
        </w:rPr>
      </w:pPr>
      <w:r>
        <w:rPr>
          <w:rFonts w:ascii="Times New Roman" w:hAnsi="Times New Roman"/>
          <w:spacing w:val="0"/>
          <w:sz w:val="20"/>
        </w:rPr>
        <w:t>non-interest</w:t>
      </w:r>
    </w:p>
    <w:p>
      <w:pPr>
        <w:pStyle w:val="TextBody"/>
        <w:spacing w:before="120" w:after="0"/>
        <w:jc w:val="left"/>
        <w:rPr>
          <w:rFonts w:ascii="Times New Roman" w:hAnsi="Times New Roman"/>
          <w:spacing w:val="0"/>
          <w:sz w:val="20"/>
        </w:rPr>
      </w:pPr>
      <w:r>
        <w:rPr>
          <w:rFonts w:ascii="Times New Roman" w:hAnsi="Times New Roman"/>
          <w:spacing w:val="0"/>
          <w:sz w:val="20"/>
        </w:rPr>
        <w:t>bearing and are recorded at amortized cost. Accounts are written off when management deems it is probable the receivables are uncollectible. Recoveries of accounts previously written off are recorded w</w:t>
      </w:r>
    </w:p>
    <w:p>
      <w:pPr>
        <w:pStyle w:val="TextBody"/>
        <w:spacing w:before="120" w:after="0"/>
        <w:jc w:val="left"/>
        <w:rPr>
          <w:rFonts w:ascii="Times New Roman" w:hAnsi="Times New Roman"/>
          <w:spacing w:val="0"/>
          <w:sz w:val="20"/>
        </w:rPr>
      </w:pPr>
      <w:r>
        <w:rPr>
          <w:rFonts w:ascii="Times New Roman" w:hAnsi="Times New Roman"/>
          <w:spacing w:val="0"/>
          <w:sz w:val="20"/>
        </w:rPr>
        <w:t>hen</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center"/>
        <w:rPr>
          <w:rFonts w:ascii="Times New Roman" w:hAnsi="Times New Roman"/>
          <w:sz w:val="20"/>
        </w:rPr>
      </w:pPr>
      <w:r>
        <w:rPr>
          <w:rFonts w:ascii="Times New Roman" w:hAnsi="Times New Roman"/>
          <w:sz w:val="20"/>
        </w:rPr>
        <w:t>F-20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w:t>
      </w:r>
    </w:p>
    <w:p>
      <w:pPr>
        <w:pStyle w:val="TextBody"/>
        <w:spacing w:before="240" w:after="0"/>
        <w:jc w:val="center"/>
        <w:rPr>
          <w:rFonts w:ascii="Times New Roman" w:hAnsi="Times New Roman"/>
          <w:spacing w:val="0"/>
          <w:sz w:val="20"/>
        </w:rPr>
      </w:pPr>
      <w:r>
        <w:rPr>
          <w:rFonts w:ascii="Times New Roman" w:hAnsi="Times New Roman"/>
          <w:spacing w:val="0"/>
          <w:sz w:val="20"/>
        </w:rPr>
        <w:t>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3505" w:type="dxa"/>
        <w:jc w:val="left"/>
        <w:tblInd w:w="0" w:type="dxa"/>
        <w:tblCellMar>
          <w:top w:w="0" w:type="dxa"/>
          <w:left w:w="0" w:type="dxa"/>
          <w:bottom w:w="0" w:type="dxa"/>
          <w:right w:w="0" w:type="dxa"/>
        </w:tblCellMar>
      </w:tblPr>
      <w:tblGrid>
        <w:gridCol w:w="75"/>
        <w:gridCol w:w="290"/>
        <w:gridCol w:w="314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(g)</w:t>
            </w:r>
          </w:p>
        </w:tc>
        <w:tc>
          <w:tcPr>
            <w:tcW w:w="31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Accounts Receivable and Credit Risk</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received. An estimated allowance for credit losses is maintained to reduce the Company’s receivables to their carrying amounts, which reflects the net amount the Company expects to collect. The allowance is estimated based on specific reviews of the age of the balances owed, the customers’ financial condition, management’s experience with the collection trends of the customers and management’s expectations of current and future economic conditions.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Management believes that as of December 31, 2022 and 2021, no significant concentrations of credit risk existed for which an allowance had not already been recorded. </w:t>
      </w:r>
    </w:p>
    <w:p>
      <w:pPr>
        <w:pStyle w:val="TextBody"/>
        <w:spacing w:before="0" w:after="0"/>
        <w:jc w:val="left"/>
        <w:rPr>
          <w:spacing w:val="0"/>
        </w:rPr>
      </w:pPr>
      <w:r>
        <w:rPr>
          <w:spacing w:val="0"/>
        </w:rPr>
        <w:t> </w:t>
      </w:r>
    </w:p>
    <w:tbl>
      <w:tblPr>
        <w:tblW w:w="1360" w:type="dxa"/>
        <w:jc w:val="left"/>
        <w:tblInd w:w="0" w:type="dxa"/>
        <w:tblCellMar>
          <w:top w:w="0" w:type="dxa"/>
          <w:left w:w="0" w:type="dxa"/>
          <w:bottom w:w="0" w:type="dxa"/>
          <w:right w:w="0" w:type="dxa"/>
        </w:tblCellMar>
      </w:tblPr>
      <w:tblGrid>
        <w:gridCol w:w="75"/>
        <w:gridCol w:w="290"/>
        <w:gridCol w:w="99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(h)</w:t>
            </w:r>
          </w:p>
        </w:tc>
        <w:tc>
          <w:tcPr>
            <w:tcW w:w="9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Inventories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Inventories consist of retail merchandise, food and beverage items and certain operating supplies, which are stated at the lower of cost or net realizable value. Cost is calculated using the </w:t>
      </w:r>
    </w:p>
    <w:p>
      <w:pPr>
        <w:pStyle w:val="TextBody"/>
        <w:spacing w:before="120" w:after="0"/>
        <w:jc w:val="left"/>
        <w:rPr>
          <w:rFonts w:ascii="Times New Roman" w:hAnsi="Times New Roman"/>
          <w:spacing w:val="0"/>
          <w:sz w:val="20"/>
        </w:rPr>
      </w:pPr>
      <w:r>
        <w:rPr>
          <w:rFonts w:ascii="Times New Roman" w:hAnsi="Times New Roman"/>
          <w:spacing w:val="0"/>
          <w:sz w:val="20"/>
        </w:rPr>
        <w:t>first-in,</w:t>
      </w:r>
    </w:p>
    <w:p>
      <w:pPr>
        <w:pStyle w:val="TextBody"/>
        <w:spacing w:before="120" w:after="0"/>
        <w:jc w:val="left"/>
        <w:rPr>
          <w:rFonts w:ascii="Times New Roman" w:hAnsi="Times New Roman"/>
          <w:spacing w:val="0"/>
          <w:sz w:val="20"/>
        </w:rPr>
      </w:pPr>
      <w:r>
        <w:rPr>
          <w:rFonts w:ascii="Times New Roman" w:hAnsi="Times New Roman"/>
          <w:spacing w:val="0"/>
          <w:sz w:val="20"/>
        </w:rPr>
        <w:t>first-out,</w:t>
      </w:r>
    </w:p>
    <w:p>
      <w:pPr>
        <w:pStyle w:val="TextBody"/>
        <w:spacing w:before="120" w:after="0"/>
        <w:jc w:val="left"/>
        <w:rPr>
          <w:rFonts w:ascii="Times New Roman" w:hAnsi="Times New Roman"/>
          <w:spacing w:val="0"/>
          <w:sz w:val="20"/>
        </w:rPr>
      </w:pPr>
      <w:r>
        <w:rPr>
          <w:rFonts w:ascii="Times New Roman" w:hAnsi="Times New Roman"/>
          <w:spacing w:val="0"/>
          <w:sz w:val="20"/>
        </w:rPr>
        <w:t>weighted average and specific identification methods.</w:t>
      </w:r>
    </w:p>
    <w:p>
      <w:pPr>
        <w:pStyle w:val="TextBody"/>
        <w:spacing w:before="0" w:after="0"/>
        <w:ind w:left="0" w:right="0" w:hanging="0"/>
        <w:jc w:val="left"/>
        <w:rPr>
          <w:spacing w:val="0"/>
        </w:rPr>
      </w:pPr>
      <w:r>
        <w:rPr>
          <w:spacing w:val="0"/>
        </w:rPr>
        <w:t> </w:t>
      </w:r>
    </w:p>
    <w:tbl>
      <w:tblPr>
        <w:tblW w:w="3978" w:type="dxa"/>
        <w:jc w:val="left"/>
        <w:tblInd w:w="0" w:type="dxa"/>
        <w:tblCellMar>
          <w:top w:w="0" w:type="dxa"/>
          <w:left w:w="0" w:type="dxa"/>
          <w:bottom w:w="0" w:type="dxa"/>
          <w:right w:w="0" w:type="dxa"/>
        </w:tblCellMar>
      </w:tblPr>
      <w:tblGrid>
        <w:gridCol w:w="38"/>
        <w:gridCol w:w="230"/>
        <w:gridCol w:w="371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0"/>
              <w:jc w:val="left"/>
              <w:rPr>
                <w:spacing w:val="0"/>
              </w:rPr>
            </w:pPr>
            <w:r>
              <w:rPr>
                <w:spacing w:val="0"/>
              </w:rPr>
              <w:t>(i)</w:t>
            </w:r>
          </w:p>
        </w:tc>
        <w:tc>
          <w:tcPr>
            <w:tcW w:w="37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Prepaid Expenses and Other Current Assets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Prepaid expenses and other current assets represent current assets that are typically used up or expire within the normal operating cycle of the Company. The prepaid expenses as of December 31, 2022 and 2021 were</w:t>
      </w:r>
    </w:p>
    <w:p>
      <w:pPr>
        <w:pStyle w:val="TextBody"/>
        <w:spacing w:before="120" w:after="0"/>
        <w:jc w:val="left"/>
        <w:rPr>
          <w:spacing w:val="0"/>
        </w:rPr>
      </w:pPr>
      <w:r>
        <w:rPr>
          <w:spacing w:val="0"/>
        </w:rPr>
        <w: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77,767 and</w:t>
      </w:r>
    </w:p>
    <w:p>
      <w:pPr>
        <w:pStyle w:val="TextBody"/>
        <w:spacing w:before="120" w:after="0"/>
        <w:jc w:val="left"/>
        <w:rPr>
          <w:spacing w:val="0"/>
        </w:rPr>
      </w:pPr>
      <w:r>
        <w:rPr>
          <w:spacing w:val="0"/>
        </w:rPr>
        <w: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73,092, respectively, and the other current assets as of December 31, 2022 and 2021 were</w:t>
      </w:r>
    </w:p>
    <w:p>
      <w:pPr>
        <w:pStyle w:val="TextBody"/>
        <w:spacing w:before="120" w:after="0"/>
        <w:jc w:val="left"/>
        <w:rPr>
          <w:spacing w:val="0"/>
        </w:rPr>
      </w:pPr>
      <w:r>
        <w:rPr>
          <w:spacing w:val="0"/>
        </w:rPr>
        <w: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41,643 and</w:t>
      </w:r>
    </w:p>
    <w:p>
      <w:pPr>
        <w:pStyle w:val="TextBody"/>
        <w:spacing w:before="120" w:after="0"/>
        <w:jc w:val="left"/>
        <w:rPr>
          <w:spacing w:val="0"/>
        </w:rPr>
      </w:pPr>
      <w:r>
        <w:rPr>
          <w:spacing w:val="0"/>
        </w:rPr>
        <w: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36,238, respectively.</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2028" w:type="dxa"/>
        <w:jc w:val="left"/>
        <w:tblInd w:w="0" w:type="dxa"/>
        <w:tblCellMar>
          <w:top w:w="0" w:type="dxa"/>
          <w:left w:w="0" w:type="dxa"/>
          <w:bottom w:w="0" w:type="dxa"/>
          <w:right w:w="0" w:type="dxa"/>
        </w:tblCellMar>
      </w:tblPr>
      <w:tblGrid>
        <w:gridCol w:w="38"/>
        <w:gridCol w:w="230"/>
        <w:gridCol w:w="1760"/>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0"/>
              <w:jc w:val="left"/>
              <w:rPr>
                <w:spacing w:val="0"/>
              </w:rPr>
            </w:pPr>
            <w:r>
              <w:rPr>
                <w:spacing w:val="0"/>
              </w:rPr>
              <w:t>(j)</w:t>
            </w:r>
          </w:p>
        </w:tc>
        <w:tc>
          <w:tcPr>
            <w:tcW w:w="1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Assets Held For Sale</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Assets (disposal group) classified as held for sale are measured at the lower of their carrying amounts or fair values less costs to sell. Losses are recognized for any initial or subsequent write-down to fair values less costs to sell, while gains are recognized for any subsequent increases in fair values less costs to sell, but not in excess of the cumulative losses previously recognized. Assets are not depreciated and amortized while classified as held for sale.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During the year ended December 31, 2022, an impairment loss on assets held for sale of $6,794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was recognized which related to a significant decrease in the market value of a piece of freehold land as described in Note 6. No impairment losses on assets held for sale were recognized during the years ended December 31, 2021 and 2020. </w:t>
      </w:r>
    </w:p>
    <w:p>
      <w:pPr>
        <w:pStyle w:val="TextBody"/>
        <w:spacing w:before="0" w:after="0"/>
        <w:ind w:left="0" w:right="0" w:hanging="0"/>
        <w:jc w:val="left"/>
        <w:rPr>
          <w:spacing w:val="0"/>
          <w:highlight w:val="white"/>
        </w:rPr>
      </w:pPr>
      <w:r>
        <w:rPr>
          <w:spacing w:val="0"/>
          <w:highlight w:val="white"/>
        </w:rPr>
        <w:t> </w:t>
      </w:r>
    </w:p>
    <w:tbl>
      <w:tblPr>
        <w:tblW w:w="2350" w:type="dxa"/>
        <w:jc w:val="left"/>
        <w:tblInd w:w="0" w:type="dxa"/>
        <w:tblCellMar>
          <w:top w:w="0" w:type="dxa"/>
          <w:left w:w="0" w:type="dxa"/>
          <w:bottom w:w="0" w:type="dxa"/>
          <w:right w:w="0" w:type="dxa"/>
        </w:tblCellMar>
      </w:tblPr>
      <w:tblGrid>
        <w:gridCol w:w="75"/>
        <w:gridCol w:w="140"/>
        <w:gridCol w:w="213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k</w:t>
            </w:r>
          </w:p>
          <w:p>
            <w:pPr>
              <w:pStyle w:val="TableContents"/>
              <w:spacing w:before="0" w:after="0"/>
              <w:jc w:val="left"/>
              <w:rPr/>
            </w:pPr>
            <w:r>
              <w:rPr/>
              <w:t>)</w:t>
            </w:r>
          </w:p>
        </w:tc>
        <w:tc>
          <w:tcPr>
            <w:tcW w:w="2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Property and Equipment</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Property and equipment are stated at cost, net of accumulated depreciation and amortization, and impairment losses, if any. Gains or losses on dispositions of property and equipment are included in the accompanying consolidated statements of operations. Major additions, renewals and betterments are capitalized, while maintenance and repairs are expensed as incurred.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During the construction and development stage of the Company’s integrated resort facilities, direct and incremental costs related to the design and construction, including costs under construction contracts, duties and tariffs, equipment installations, shipping costs, payroll and payroll-benefit related costs, applicable portions of interest, including amortization of deferred financing costs, are capitalized in property and equipment. The capitalization of such costs begins when the construction and development of a project starts and ceases once the construction is substantially completed or development activity is substantially suspended.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F-2</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2500" w:type="dxa"/>
        <w:jc w:val="left"/>
        <w:tblInd w:w="0" w:type="dxa"/>
        <w:tblCellMar>
          <w:top w:w="0" w:type="dxa"/>
          <w:left w:w="0" w:type="dxa"/>
          <w:bottom w:w="0" w:type="dxa"/>
          <w:right w:w="0" w:type="dxa"/>
        </w:tblCellMar>
      </w:tblPr>
      <w:tblGrid>
        <w:gridCol w:w="75"/>
        <w:gridCol w:w="290"/>
        <w:gridCol w:w="2135"/>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(k)</w:t>
            </w:r>
          </w:p>
        </w:tc>
        <w:tc>
          <w:tcPr>
            <w:tcW w:w="2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Property and Equipment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Depreciation and amortization expense related to capitalized construction costs and other property and equipment is recognized from the time each asset is placed in service. This may occur at different stages as integrated resort facilities are completed and opened. </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Property and equipment are depreciated and amortized over the following estimated useful lives on a straight-line basis:</w:t>
      </w:r>
    </w:p>
    <w:p>
      <w:pPr>
        <w:pStyle w:val="TextBody"/>
        <w:spacing w:before="0" w:after="0"/>
        <w:jc w:val="left"/>
        <w:rPr>
          <w:spacing w:val="0"/>
        </w:rPr>
      </w:pPr>
      <w:r>
        <w:rPr>
          <w:spacing w:val="0"/>
        </w:rPr>
        <w:t> </w:t>
      </w:r>
    </w:p>
    <w:tbl>
      <w:tblPr>
        <w:tblW w:w="8665" w:type="dxa"/>
        <w:jc w:val="left"/>
        <w:tblInd w:w="0" w:type="dxa"/>
        <w:tblCellMar>
          <w:top w:w="0" w:type="dxa"/>
          <w:left w:w="0" w:type="dxa"/>
          <w:bottom w:w="0" w:type="dxa"/>
          <w:right w:w="0" w:type="dxa"/>
        </w:tblCellMar>
      </w:tblPr>
      <w:tblGrid>
        <w:gridCol w:w="3185"/>
        <w:gridCol w:w="120"/>
        <w:gridCol w:w="5360"/>
      </w:tblGrid>
      <w:tr>
        <w:trPr/>
        <w:tc>
          <w:tcPr>
            <w:tcW w:w="31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360" w:type="dxa"/>
            <w:tcBorders/>
            <w:shd w:fill="auto" w:val="clear"/>
            <w:vAlign w:val="center"/>
          </w:tcPr>
          <w:p>
            <w:pPr>
              <w:pStyle w:val="TableContents"/>
              <w:spacing w:before="0" w:after="283"/>
              <w:rPr>
                <w:sz w:val="4"/>
                <w:szCs w:val="4"/>
              </w:rPr>
            </w:pPr>
            <w:r>
              <w:rPr>
                <w:sz w:val="4"/>
                <w:szCs w:val="4"/>
              </w:rPr>
            </w:r>
          </w:p>
        </w:tc>
      </w:tr>
      <w:tr>
        <w:trPr/>
        <w:tc>
          <w:tcPr>
            <w:tcW w:w="3185" w:type="dxa"/>
            <w:tcBorders/>
            <w:shd w:fill="auto" w:val="clear"/>
            <w:vAlign w:val="center"/>
          </w:tcPr>
          <w:p>
            <w:pPr>
              <w:pStyle w:val="TableContents"/>
              <w:spacing w:before="0" w:after="283"/>
              <w:rPr/>
            </w:pPr>
            <w:r>
              <w:rPr/>
              <w:t>Freehold land</w:t>
            </w:r>
          </w:p>
        </w:tc>
        <w:tc>
          <w:tcPr>
            <w:tcW w:w="12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283"/>
              <w:rPr/>
            </w:pPr>
            <w:r>
              <w:rPr/>
              <w:t>Not depreciated</w:t>
            </w:r>
          </w:p>
        </w:tc>
      </w:tr>
      <w:tr>
        <w:trPr/>
        <w:tc>
          <w:tcPr>
            <w:tcW w:w="3185" w:type="dxa"/>
            <w:tcBorders/>
            <w:shd w:fill="auto" w:val="clear"/>
            <w:vAlign w:val="center"/>
          </w:tcPr>
          <w:p>
            <w:pPr>
              <w:pStyle w:val="TableContents"/>
              <w:spacing w:before="0" w:after="283"/>
              <w:rPr/>
            </w:pPr>
            <w:r>
              <w:rPr/>
              <w:t>Buildings</w:t>
            </w:r>
          </w:p>
        </w:tc>
        <w:tc>
          <w:tcPr>
            <w:tcW w:w="12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283"/>
              <w:rPr/>
            </w:pPr>
            <w:r>
              <w:rPr/>
              <w:t>4 to 40 years</w:t>
            </w:r>
          </w:p>
        </w:tc>
      </w:tr>
      <w:tr>
        <w:trPr/>
        <w:tc>
          <w:tcPr>
            <w:tcW w:w="3185" w:type="dxa"/>
            <w:tcBorders/>
            <w:shd w:fill="auto" w:val="clear"/>
            <w:vAlign w:val="center"/>
          </w:tcPr>
          <w:p>
            <w:pPr>
              <w:pStyle w:val="TableContents"/>
              <w:spacing w:before="0" w:after="283"/>
              <w:rPr/>
            </w:pPr>
            <w:r>
              <w:rPr/>
              <w:t>Transportation</w:t>
            </w:r>
          </w:p>
        </w:tc>
        <w:tc>
          <w:tcPr>
            <w:tcW w:w="12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283"/>
              <w:rPr/>
            </w:pPr>
            <w:r>
              <w:rPr/>
              <w:t>5 to 10 years</w:t>
            </w:r>
          </w:p>
        </w:tc>
      </w:tr>
      <w:tr>
        <w:trPr/>
        <w:tc>
          <w:tcPr>
            <w:tcW w:w="3185" w:type="dxa"/>
            <w:tcBorders/>
            <w:shd w:fill="auto" w:val="clear"/>
            <w:vAlign w:val="center"/>
          </w:tcPr>
          <w:p>
            <w:pPr>
              <w:pStyle w:val="TableContents"/>
              <w:spacing w:before="0" w:after="283"/>
              <w:rPr/>
            </w:pPr>
            <w:r>
              <w:rPr/>
              <w:t>Leasehold improvements</w:t>
            </w:r>
          </w:p>
        </w:tc>
        <w:tc>
          <w:tcPr>
            <w:tcW w:w="12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283"/>
              <w:rPr/>
            </w:pPr>
            <w:r>
              <w:rPr/>
              <w:t>3 to 10 years or over the lease term, whichever is shorter</w:t>
            </w:r>
          </w:p>
        </w:tc>
      </w:tr>
      <w:tr>
        <w:trPr/>
        <w:tc>
          <w:tcPr>
            <w:tcW w:w="3185" w:type="dxa"/>
            <w:tcBorders/>
            <w:shd w:fill="auto" w:val="clear"/>
            <w:vAlign w:val="center"/>
          </w:tcPr>
          <w:p>
            <w:pPr>
              <w:pStyle w:val="TableContents"/>
              <w:spacing w:before="0" w:after="283"/>
              <w:rPr/>
            </w:pPr>
            <w:r>
              <w:rPr/>
              <w:t>Furniture, fixtures and equipment</w:t>
            </w:r>
          </w:p>
        </w:tc>
        <w:tc>
          <w:tcPr>
            <w:tcW w:w="12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283"/>
              <w:rPr/>
            </w:pPr>
            <w:r>
              <w:rPr/>
              <w:t>2 to 15 years</w:t>
            </w:r>
          </w:p>
        </w:tc>
      </w:tr>
      <w:tr>
        <w:trPr/>
        <w:tc>
          <w:tcPr>
            <w:tcW w:w="3185" w:type="dxa"/>
            <w:tcBorders/>
            <w:shd w:fill="auto" w:val="clear"/>
            <w:vAlign w:val="center"/>
          </w:tcPr>
          <w:p>
            <w:pPr>
              <w:pStyle w:val="TableContents"/>
              <w:spacing w:before="0" w:after="283"/>
              <w:rPr/>
            </w:pPr>
            <w:r>
              <w:rPr/>
              <w:t>Plant and gaming machinery</w:t>
            </w:r>
          </w:p>
        </w:tc>
        <w:tc>
          <w:tcPr>
            <w:tcW w:w="12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283"/>
              <w:rPr/>
            </w:pPr>
            <w:r>
              <w:rPr/>
              <w:t>3 to 5 years</w:t>
            </w:r>
          </w:p>
        </w:tc>
      </w:tr>
    </w:tbl>
    <w:p>
      <w:pPr>
        <w:pStyle w:val="TextBody"/>
        <w:spacing w:before="0" w:after="0"/>
        <w:jc w:val="left"/>
        <w:rPr>
          <w:spacing w:val="0"/>
        </w:rPr>
      </w:pPr>
      <w:r>
        <w:rPr>
          <w:spacing w:val="0"/>
        </w:rPr>
        <w:t> </w:t>
      </w:r>
    </w:p>
    <w:tbl>
      <w:tblPr>
        <w:tblW w:w="2050" w:type="dxa"/>
        <w:jc w:val="left"/>
        <w:tblInd w:w="0" w:type="dxa"/>
        <w:tblCellMar>
          <w:top w:w="0" w:type="dxa"/>
          <w:left w:w="0" w:type="dxa"/>
          <w:bottom w:w="0" w:type="dxa"/>
          <w:right w:w="0" w:type="dxa"/>
        </w:tblCellMar>
      </w:tblPr>
      <w:tblGrid>
        <w:gridCol w:w="75"/>
        <w:gridCol w:w="230"/>
        <w:gridCol w:w="1745"/>
      </w:tblGrid>
      <w:tr>
        <w:trPr/>
        <w:tc>
          <w:tcPr>
            <w:tcW w:w="75"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0"/>
              <w:jc w:val="left"/>
              <w:rPr>
                <w:spacing w:val="0"/>
              </w:rPr>
            </w:pPr>
            <w:r>
              <w:rPr>
                <w:spacing w:val="0"/>
              </w:rPr>
              <w:t>(l)</w:t>
            </w:r>
          </w:p>
        </w:tc>
        <w:tc>
          <w:tcPr>
            <w:tcW w:w="17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Capitalized Interest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substantially suspended. The amount to be capitalized is determined by applying the weighted average interest rate of the Company’s outstanding borrowings to the average amount of accumulated qualifying capital expenditures for assets under construction during the year. Total interest expenses incurred amounted to $440,654, $380,904 and $352,673, of which $63,932, $30,360 and $11,834 were capitalized during the years ended December 31, 2022, 2021 and 2020, respectively. </w:t>
      </w:r>
    </w:p>
    <w:p>
      <w:pPr>
        <w:pStyle w:val="TextBody"/>
        <w:spacing w:before="0" w:after="0"/>
        <w:jc w:val="left"/>
        <w:rPr>
          <w:spacing w:val="0"/>
        </w:rPr>
      </w:pPr>
      <w:r>
        <w:rPr>
          <w:spacing w:val="0"/>
        </w:rPr>
        <w:t> </w:t>
      </w:r>
    </w:p>
    <w:tbl>
      <w:tblPr>
        <w:tblW w:w="2260" w:type="dxa"/>
        <w:jc w:val="left"/>
        <w:tblInd w:w="0" w:type="dxa"/>
        <w:tblCellMar>
          <w:top w:w="0" w:type="dxa"/>
          <w:left w:w="0" w:type="dxa"/>
          <w:bottom w:w="0" w:type="dxa"/>
          <w:right w:w="0" w:type="dxa"/>
        </w:tblCellMar>
      </w:tblPr>
      <w:tblGrid>
        <w:gridCol w:w="75"/>
        <w:gridCol w:w="200"/>
        <w:gridCol w:w="198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m</w:t>
            </w:r>
          </w:p>
          <w:p>
            <w:pPr>
              <w:pStyle w:val="TableContents"/>
              <w:spacing w:before="0" w:after="0"/>
              <w:jc w:val="left"/>
              <w:rPr/>
            </w:pPr>
            <w:r>
              <w:rPr/>
              <w:t>)</w:t>
            </w:r>
          </w:p>
        </w:tc>
        <w:tc>
          <w:tcPr>
            <w:tcW w:w="19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Gaming Subconcession</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deemed cost of the gaming subconcession in Macau was capitalized based on the fair value of the gaming subconcession agreement as of the date of acquisition of Melco Resorts Macau in 2006, and amortized over the term of agreement, which expired on June 26, 2022 on a straight-line basis. Melco Resorts Macau paid a premium of MOP</w:t>
      </w:r>
    </w:p>
    <w:p>
      <w:pPr>
        <w:pStyle w:val="TextBody"/>
        <w:spacing w:before="120" w:after="0"/>
        <w:jc w:val="left"/>
        <w:rPr>
          <w:rFonts w:ascii="Times New Roman" w:hAnsi="Times New Roman"/>
          <w:spacing w:val="0"/>
          <w:sz w:val="20"/>
        </w:rPr>
      </w:pPr>
      <w:r>
        <w:rPr>
          <w:rFonts w:ascii="Times New Roman" w:hAnsi="Times New Roman"/>
          <w:spacing w:val="0"/>
          <w:sz w:val="20"/>
        </w:rPr>
        <w:t>47,000 (equivalent to $5,815) to the Macau government</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rPr>
      </w:pPr>
      <w:r>
        <w:rPr>
          <w:rFonts w:ascii="Times New Roman" w:hAnsi="Times New Roman"/>
          <w:spacing w:val="0"/>
          <w:sz w:val="20"/>
        </w:rPr>
        <w:t>in June 2022 for the extension of the subconcession contract to December 31, 2022 and such premium was amortized on a straight-line basis from June 27, 2022 to the extended expiration date on December 31, 2022.</w:t>
      </w:r>
    </w:p>
    <w:p>
      <w:pPr>
        <w:pStyle w:val="TextBody"/>
        <w:spacing w:before="0" w:after="0"/>
        <w:ind w:left="0" w:right="0" w:hanging="0"/>
        <w:jc w:val="left"/>
        <w:rPr>
          <w:spacing w:val="0"/>
        </w:rPr>
      </w:pPr>
      <w:r>
        <w:rPr>
          <w:spacing w:val="0"/>
        </w:rPr>
        <w:t> </w:t>
      </w:r>
    </w:p>
    <w:tbl>
      <w:tblPr>
        <w:tblW w:w="1300" w:type="dxa"/>
        <w:jc w:val="left"/>
        <w:tblInd w:w="0" w:type="dxa"/>
        <w:tblCellMar>
          <w:top w:w="0" w:type="dxa"/>
          <w:left w:w="0" w:type="dxa"/>
          <w:bottom w:w="0" w:type="dxa"/>
          <w:right w:w="0" w:type="dxa"/>
        </w:tblCellMar>
      </w:tblPr>
      <w:tblGrid>
        <w:gridCol w:w="75"/>
        <w:gridCol w:w="140"/>
        <w:gridCol w:w="108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n</w:t>
            </w:r>
          </w:p>
          <w:p>
            <w:pPr>
              <w:pStyle w:val="TableContents"/>
              <w:spacing w:before="0" w:after="0"/>
              <w:jc w:val="left"/>
              <w:rPr/>
            </w:pPr>
            <w:r>
              <w:rPr/>
              <w:t>)</w:t>
            </w:r>
          </w:p>
        </w:tc>
        <w:tc>
          <w:tcPr>
            <w:tcW w:w="10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Internal-Use</w:t>
            </w:r>
          </w:p>
          <w:p>
            <w:pPr>
              <w:pStyle w:val="TableContents"/>
              <w:spacing w:before="0" w:after="0"/>
              <w:jc w:val="left"/>
              <w:rPr>
                <w:rFonts w:ascii="Times New Roman" w:hAnsi="Times New Roman"/>
                <w:b/>
                <w:spacing w:val="0"/>
                <w:sz w:val="20"/>
              </w:rPr>
            </w:pPr>
            <w:r>
              <w:rPr>
                <w:rFonts w:ascii="Times New Roman" w:hAnsi="Times New Roman"/>
                <w:b/>
                <w:spacing w:val="0"/>
                <w:sz w:val="20"/>
              </w:rPr>
              <w:t>Software</w:t>
            </w:r>
          </w:p>
        </w:tc>
      </w:tr>
    </w:tbl>
    <w:p>
      <w:pPr>
        <w:pStyle w:val="TextBody"/>
        <w:spacing w:before="120" w:after="0"/>
        <w:jc w:val="left"/>
        <w:rPr>
          <w:rFonts w:ascii="Times New Roman" w:hAnsi="Times New Roman"/>
          <w:sz w:val="20"/>
        </w:rPr>
      </w:pPr>
      <w:r>
        <w:rPr>
          <w:rFonts w:ascii="Times New Roman" w:hAnsi="Times New Roman"/>
          <w:sz w:val="20"/>
        </w:rPr>
        <w:t xml:space="preserve">Costs incurred to develop software for internal use are capitalized and amortized over the estimated useful lives of the software of 3 to 15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w:t>
      </w:r>
    </w:p>
    <w:p>
      <w:pPr>
        <w:pStyle w:val="TextBody"/>
        <w:spacing w:before="120" w:after="0"/>
        <w:jc w:val="left"/>
        <w:rPr>
          <w:rFonts w:ascii="Times New Roman" w:hAnsi="Times New Roman"/>
          <w:spacing w:val="0"/>
          <w:sz w:val="20"/>
        </w:rPr>
      </w:pPr>
      <w:r>
        <w:rPr>
          <w:rFonts w:ascii="Times New Roman" w:hAnsi="Times New Roman"/>
          <w:spacing w:val="0"/>
          <w:sz w:val="20"/>
        </w:rPr>
        <w:t>internal-use</w:t>
      </w:r>
    </w:p>
    <w:p>
      <w:pPr>
        <w:pStyle w:val="TextBody"/>
        <w:spacing w:before="120" w:after="0"/>
        <w:jc w:val="left"/>
        <w:rPr>
          <w:rFonts w:ascii="Times New Roman" w:hAnsi="Times New Roman"/>
          <w:sz w:val="20"/>
        </w:rPr>
      </w:pPr>
      <w:r>
        <w:rPr>
          <w:rFonts w:ascii="Times New Roman" w:hAnsi="Times New Roman"/>
          <w:sz w:val="20"/>
        </w:rPr>
        <w:t xml:space="preserve">software are capitalized, while costs associated with preliminary project stage activities, training, maintenance and all other post-implementation stage activities are expensed as incurred. </w:t>
      </w:r>
    </w:p>
    <w:p>
      <w:pPr>
        <w:pStyle w:val="TextBody"/>
        <w:spacing w:before="0" w:after="0"/>
        <w:jc w:val="left"/>
        <w:rPr>
          <w:spacing w:val="0"/>
        </w:rPr>
      </w:pPr>
      <w:r>
        <w:rPr>
          <w:spacing w:val="0"/>
        </w:rPr>
        <w:t> </w:t>
      </w:r>
    </w:p>
    <w:tbl>
      <w:tblPr>
        <w:tblW w:w="2860" w:type="dxa"/>
        <w:jc w:val="left"/>
        <w:tblInd w:w="0" w:type="dxa"/>
        <w:tblCellMar>
          <w:top w:w="0" w:type="dxa"/>
          <w:left w:w="0" w:type="dxa"/>
          <w:bottom w:w="0" w:type="dxa"/>
          <w:right w:w="0" w:type="dxa"/>
        </w:tblCellMar>
      </w:tblPr>
      <w:tblGrid>
        <w:gridCol w:w="75"/>
        <w:gridCol w:w="140"/>
        <w:gridCol w:w="264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o</w:t>
            </w:r>
          </w:p>
          <w:p>
            <w:pPr>
              <w:pStyle w:val="TableContents"/>
              <w:spacing w:before="0" w:after="0"/>
              <w:jc w:val="left"/>
              <w:rPr/>
            </w:pPr>
            <w:r>
              <w:rPr/>
              <w:t>)</w:t>
            </w:r>
          </w:p>
        </w:tc>
        <w:tc>
          <w:tcPr>
            <w:tcW w:w="26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Goodwill and Intangible Assets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Goodwill represents the excess of the acquisition cost over the fair value of tangible and identifiable intangible net assets of any business acquired. Goodwill is not amortized, but is tested for impairment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F-2</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2860" w:type="dxa"/>
        <w:jc w:val="left"/>
        <w:tblInd w:w="0" w:type="dxa"/>
        <w:tblCellMar>
          <w:top w:w="0" w:type="dxa"/>
          <w:left w:w="0" w:type="dxa"/>
          <w:bottom w:w="0" w:type="dxa"/>
          <w:right w:w="0" w:type="dxa"/>
        </w:tblCellMar>
      </w:tblPr>
      <w:tblGrid>
        <w:gridCol w:w="75"/>
        <w:gridCol w:w="140"/>
        <w:gridCol w:w="2645"/>
      </w:tblGrid>
      <w:tr>
        <w:trPr/>
        <w:tc>
          <w:tcPr>
            <w:tcW w:w="75"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jc w:val="left"/>
              <w:rPr>
                <w:spacing w:val="0"/>
              </w:rPr>
            </w:pPr>
            <w:r>
              <w:rPr>
                <w:spacing w:val="0"/>
              </w:rPr>
              <w:t>(</w:t>
            </w:r>
          </w:p>
          <w:p>
            <w:pPr>
              <w:pStyle w:val="TableContents"/>
              <w:spacing w:before="0" w:after="0"/>
              <w:jc w:val="left"/>
              <w:rPr>
                <w:spacing w:val="0"/>
              </w:rPr>
            </w:pPr>
            <w:r>
              <w:rPr>
                <w:spacing w:val="0"/>
              </w:rPr>
              <w:t>o</w:t>
            </w:r>
          </w:p>
          <w:p>
            <w:pPr>
              <w:pStyle w:val="TableContents"/>
              <w:spacing w:before="0" w:after="0"/>
              <w:jc w:val="left"/>
              <w:rPr>
                <w:spacing w:val="0"/>
              </w:rPr>
            </w:pPr>
            <w:r>
              <w:rPr>
                <w:spacing w:val="0"/>
              </w:rPr>
              <w:t>)</w:t>
            </w:r>
          </w:p>
        </w:tc>
        <w:tc>
          <w:tcPr>
            <w:tcW w:w="26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Goodwill and Intangible Assets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at the reporting unit level on an annual basis, and between annual tests when circumstances indicate that the carrying value of goodwill may not be recoverable.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Intangible assets other than goodwill are amortized over their useful lives unless their lives are determined to be indefinite in which case they are not amortized. Intangible assets are carried at cost, less accumulated amortization. The Company’s finite-lived intangible assets consist of the gaming subconcession for the period up to its expiry on December 31, 2022, </w:t>
      </w:r>
    </w:p>
    <w:p>
      <w:pPr>
        <w:pStyle w:val="TextBody"/>
        <w:spacing w:before="120" w:after="0"/>
        <w:jc w:val="left"/>
        <w:rPr>
          <w:rFonts w:ascii="Times New Roman" w:hAnsi="Times New Roman"/>
          <w:spacing w:val="0"/>
          <w:sz w:val="20"/>
        </w:rPr>
      </w:pPr>
      <w:r>
        <w:rPr>
          <w:rFonts w:ascii="Times New Roman" w:hAnsi="Times New Roman"/>
          <w:spacing w:val="0"/>
          <w:sz w:val="20"/>
        </w:rPr>
        <w:t>internal-use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software and proprietary rights. Finite-lived intangible assets are amortized over the shorter of their contractual terms or estimated useful lives on a straight-line basis. The Company’s intangible assets with indefinite lives represent Mocha Clubs trademarks, which are tested for impairment on an annual basis or when circumstances indicate the carrying value of the intangible assets may not be recoverable.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When performing the impairment analysis for goodwill and intangible assets with indefinite lives, the Company will first perform a qualitative assessment to determine whether it is necessary to perform a quantitative impairment test. If the qualitative factors indicate that the </w:t>
      </w:r>
    </w:p>
    <w:p>
      <w:pPr>
        <w:pStyle w:val="TextBody"/>
        <w:spacing w:before="120" w:after="0"/>
        <w:jc w:val="left"/>
        <w:rPr>
          <w:rFonts w:ascii="Times New Roman" w:hAnsi="Times New Roman"/>
          <w:spacing w:val="0"/>
          <w:sz w:val="20"/>
        </w:rPr>
      </w:pPr>
      <w:r>
        <w:rPr>
          <w:rFonts w:ascii="Times New Roman" w:hAnsi="Times New Roman"/>
          <w:spacing w:val="0"/>
          <w:sz w:val="20"/>
        </w:rPr>
        <w:t>carrying amount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of the reporting unit is more likely than not to exceed the </w:t>
      </w:r>
    </w:p>
    <w:p>
      <w:pPr>
        <w:pStyle w:val="TextBody"/>
        <w:spacing w:before="120" w:after="0"/>
        <w:jc w:val="left"/>
        <w:rPr>
          <w:rFonts w:ascii="Times New Roman" w:hAnsi="Times New Roman"/>
          <w:spacing w:val="0"/>
          <w:sz w:val="20"/>
        </w:rPr>
      </w:pPr>
      <w:r>
        <w:rPr>
          <w:rFonts w:ascii="Times New Roman" w:hAnsi="Times New Roman"/>
          <w:spacing w:val="0"/>
          <w:sz w:val="20"/>
        </w:rPr>
        <w:t>fair value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then a quantitative impairment test is performed. To perform a quantitative impairment test of intangible assets with indefinite lives, the Company performs an assessment that consists of a comparison of the fair values of the intangible assets with indefinite lives with their carrying amounts. An impairment loss is recognized in an amount equal to the excess of the carrying amounts over the fair values of the intangible assets with indefinite lives. To perform a quantitative impairment test of goodwill, the Company performs an assessment that consists of a comparison of the carrying value of a reporting unit with its fair value. The fair values of the reporting units are determined using income valuation approaches through the application of the discounted cash flow method. Estimating fair values of the reporting units involves significant assumptions, including future revenue growth rates, gross margins, terminal growth rates and discount rates. If the carrying value of the reporting unit exceeds its fair value, an impairment loss is recognized for the amount by which the carrying value exceeds the reporting unit’s fair value, limited to the total amount of goodwill allocated to that reporting unit. </w:t>
      </w:r>
    </w:p>
    <w:p>
      <w:pPr>
        <w:pStyle w:val="TextBody"/>
        <w:spacing w:before="120" w:after="0"/>
        <w:jc w:val="left"/>
        <w:rPr>
          <w:rFonts w:ascii="Times New Roman" w:hAnsi="Times New Roman"/>
          <w:sz w:val="20"/>
        </w:rPr>
      </w:pPr>
      <w:r>
        <w:rPr>
          <w:rFonts w:ascii="Times New Roman" w:hAnsi="Times New Roman"/>
          <w:sz w:val="20"/>
        </w:rPr>
        <w:t>No impairment losses on goodwill and intangible assets were recognized during the years ended December 31, 2022 and 2021. During the year ended December 31, 2020, an impairment loss of</w:t>
      </w:r>
    </w:p>
    <w:p>
      <w:pPr>
        <w:pStyle w:val="TextBody"/>
        <w:spacing w:before="120" w:after="0"/>
        <w:jc w:val="left"/>
        <w:rPr>
          <w:spacing w:val="0"/>
          <w:highlight w:val="white"/>
        </w:rPr>
      </w:pPr>
      <w:r>
        <w:rPr>
          <w:spacing w:val="0"/>
          <w:highlight w:val="white"/>
        </w:rPr>
        <w:t> </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13,867</w:t>
      </w:r>
    </w:p>
    <w:p>
      <w:pPr>
        <w:pStyle w:val="TextBody"/>
        <w:spacing w:before="120" w:after="0"/>
        <w:jc w:val="left"/>
        <w:rPr>
          <w:rFonts w:ascii="Times New Roman" w:hAnsi="Times New Roman"/>
          <w:spacing w:val="0"/>
          <w:sz w:val="20"/>
        </w:rPr>
      </w:pPr>
      <w:r>
        <w:rPr>
          <w:rFonts w:ascii="Times New Roman" w:hAnsi="Times New Roman"/>
          <w:spacing w:val="0"/>
          <w:sz w:val="20"/>
        </w:rPr>
        <w:t>was recognized against goodwill of the Japan Ski Resort</w:t>
      </w:r>
    </w:p>
    <w:p>
      <w:pPr>
        <w:pStyle w:val="TextBody"/>
        <w:spacing w:before="120" w:after="0"/>
        <w:jc w:val="left"/>
        <w:rPr>
          <w:spacing w:val="0"/>
        </w:rPr>
      </w:pPr>
      <w:r>
        <w:rPr>
          <w:spacing w:val="0"/>
        </w:rPr>
        <w:t> </w:t>
      </w:r>
      <w:r>
        <w:rPr>
          <w:rFonts w:ascii="Times New Roman" w:hAnsi="Times New Roman"/>
          <w:spacing w:val="0"/>
          <w:sz w:val="20"/>
        </w:rPr>
        <w:t xml:space="preserve">as a result of a significant decline in profits due in large part to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outbreak.</w:t>
      </w:r>
    </w:p>
    <w:p>
      <w:pPr>
        <w:pStyle w:val="TextBody"/>
        <w:spacing w:before="0" w:after="0"/>
        <w:jc w:val="left"/>
        <w:rPr>
          <w:spacing w:val="0"/>
        </w:rPr>
      </w:pPr>
      <w:r>
        <w:rPr>
          <w:spacing w:val="0"/>
        </w:rPr>
        <w:t> </w:t>
      </w:r>
    </w:p>
    <w:tbl>
      <w:tblPr>
        <w:tblW w:w="5035" w:type="dxa"/>
        <w:jc w:val="left"/>
        <w:tblInd w:w="0" w:type="dxa"/>
        <w:tblCellMar>
          <w:top w:w="0" w:type="dxa"/>
          <w:left w:w="0" w:type="dxa"/>
          <w:bottom w:w="0" w:type="dxa"/>
          <w:right w:w="0" w:type="dxa"/>
        </w:tblCellMar>
      </w:tblPr>
      <w:tblGrid>
        <w:gridCol w:w="75"/>
        <w:gridCol w:w="140"/>
        <w:gridCol w:w="482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p</w:t>
            </w:r>
          </w:p>
          <w:p>
            <w:pPr>
              <w:pStyle w:val="TableContents"/>
              <w:spacing w:before="0" w:after="0"/>
              <w:jc w:val="left"/>
              <w:rPr/>
            </w:pPr>
            <w:r>
              <w:rPr/>
              <w:t>)</w:t>
            </w:r>
          </w:p>
        </w:tc>
        <w:tc>
          <w:tcPr>
            <w:tcW w:w="482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Impairment of Long-lived Assets (Other Than Goodwill)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Company evaluates the long-lived assets with finite lives to be held and used for impairment whenever indicators of impairment exist. The Company then compares the estimated future cash flows of the assets, on an undiscounted basis, to the carrying values of the assets. Estimating future cash flows of the assets involves significant assumptions, including future revenue growth rates and gross margins.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involving significant assumptions, such as discount rates and capitalization rates. If an asset is still under development, future cash flows include remaining construction costs.</w:t>
      </w:r>
    </w:p>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F-2</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5103" w:type="dxa"/>
        <w:jc w:val="left"/>
        <w:tblInd w:w="0" w:type="dxa"/>
        <w:tblCellMar>
          <w:top w:w="0" w:type="dxa"/>
          <w:left w:w="0" w:type="dxa"/>
          <w:bottom w:w="0" w:type="dxa"/>
          <w:right w:w="0" w:type="dxa"/>
        </w:tblCellMar>
      </w:tblPr>
      <w:tblGrid>
        <w:gridCol w:w="38"/>
        <w:gridCol w:w="290"/>
        <w:gridCol w:w="477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jc w:val="left"/>
              <w:rPr>
                <w:spacing w:val="0"/>
              </w:rPr>
            </w:pPr>
            <w:r>
              <w:rPr>
                <w:spacing w:val="0"/>
              </w:rPr>
              <w:t>(p)</w:t>
            </w:r>
          </w:p>
        </w:tc>
        <w:tc>
          <w:tcPr>
            <w:tcW w:w="47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Impairment of Long-lived Assets (Other Than Goodwill)</w:t>
            </w:r>
          </w:p>
          <w:p>
            <w:pPr>
              <w:pStyle w:val="TableContents"/>
              <w:spacing w:before="0" w:after="0"/>
              <w:jc w:val="left"/>
              <w:rPr>
                <w:spacing w:val="0"/>
              </w:rPr>
            </w:pPr>
            <w:r>
              <w:rPr>
                <w:spacing w:val="0"/>
              </w:rPr>
              <w:t> </w:t>
            </w:r>
            <w:r>
              <w:rPr>
                <w:rFonts w:ascii="Times New Roman" w:hAnsi="Times New Roman"/>
                <w:spacing w:val="0"/>
                <w:sz w:val="20"/>
              </w:rPr>
              <w:t>- continued</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During the year ended December 31, 2022, an impairment loss on property and equipment of $3,595 was recognized which related to a significant decrease in the market value of an aircraft as described in Note 6. The fair value of the aircraft was estimated by using level 2 inputs based on the buyer indicative purchase price. During the years ended December 31, 2021 and </w:t>
      </w:r>
    </w:p>
    <w:p>
      <w:pPr>
        <w:pStyle w:val="TextBody"/>
        <w:spacing w:before="0" w:after="0"/>
        <w:jc w:val="left"/>
        <w:rPr>
          <w:rFonts w:ascii="Times New Roman" w:hAnsi="Times New Roman"/>
          <w:spacing w:val="0"/>
          <w:sz w:val="20"/>
        </w:rPr>
      </w:pPr>
      <w:r>
        <w:rPr>
          <w:rFonts w:ascii="Times New Roman" w:hAnsi="Times New Roman"/>
          <w:spacing w:val="0"/>
          <w:sz w:val="20"/>
        </w:rPr>
        <w:t>2020, impairment losses on property and equipment of</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w:t>
      </w:r>
    </w:p>
    <w:p>
      <w:pPr>
        <w:pStyle w:val="TextBody"/>
        <w:spacing w:before="0" w:after="0"/>
        <w:jc w:val="left"/>
        <w:rPr>
          <w:rFonts w:ascii="Times New Roman" w:hAnsi="Times New Roman"/>
          <w:sz w:val="20"/>
        </w:rPr>
      </w:pPr>
      <w:r>
        <w:rPr>
          <w:rFonts w:ascii="Times New Roman" w:hAnsi="Times New Roman"/>
          <w:sz w:val="20"/>
        </w:rPr>
        <w:t>3,643</w:t>
      </w:r>
    </w:p>
    <w:p>
      <w:pPr>
        <w:pStyle w:val="TextBody"/>
        <w:spacing w:before="0" w:after="0"/>
        <w:jc w:val="left"/>
        <w:rPr>
          <w:rFonts w:ascii="Times New Roman" w:hAnsi="Times New Roman"/>
          <w:spacing w:val="0"/>
          <w:sz w:val="20"/>
        </w:rPr>
      </w:pPr>
      <w:r>
        <w:rPr>
          <w:rFonts w:ascii="Times New Roman" w:hAnsi="Times New Roman"/>
          <w:spacing w:val="0"/>
          <w:sz w:val="20"/>
        </w:rPr>
        <w:t>and $</w:t>
      </w:r>
    </w:p>
    <w:p>
      <w:pPr>
        <w:pStyle w:val="TextBody"/>
        <w:spacing w:before="0" w:after="0"/>
        <w:jc w:val="left"/>
        <w:rPr>
          <w:rFonts w:ascii="Times New Roman" w:hAnsi="Times New Roman"/>
          <w:sz w:val="20"/>
        </w:rPr>
      </w:pPr>
      <w:r>
        <w:rPr>
          <w:rFonts w:ascii="Times New Roman" w:hAnsi="Times New Roman"/>
          <w:sz w:val="20"/>
        </w:rPr>
        <w:t>8,127</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were recognized, respectively, mainly due to reconfigurations and renovations at the Company’s operating properties, and of which </w:t>
      </w:r>
    </w:p>
    <w:p>
      <w:pPr>
        <w:pStyle w:val="TextBody"/>
        <w:spacing w:before="0" w:after="0"/>
        <w:jc w:val="left"/>
        <w:rPr>
          <w:rFonts w:ascii="Times New Roman" w:hAnsi="Times New Roman"/>
          <w:spacing w:val="0"/>
          <w:sz w:val="20"/>
        </w:rPr>
      </w:pPr>
      <w:r>
        <w:rPr>
          <w:rFonts w:ascii="Times New Roman" w:hAnsi="Times New Roman"/>
          <w:spacing w:val="0"/>
          <w:sz w:val="20"/>
        </w:rPr>
        <w:t>$</w:t>
      </w:r>
    </w:p>
    <w:p>
      <w:pPr>
        <w:pStyle w:val="TextBody"/>
        <w:spacing w:before="0" w:after="0"/>
        <w:jc w:val="left"/>
        <w:rPr>
          <w:rFonts w:ascii="Times New Roman" w:hAnsi="Times New Roman"/>
          <w:sz w:val="20"/>
        </w:rPr>
      </w:pPr>
      <w:r>
        <w:rPr>
          <w:rFonts w:ascii="Times New Roman" w:hAnsi="Times New Roman"/>
          <w:sz w:val="20"/>
        </w:rPr>
        <w:t>1,147</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in the year ended December 31, 2021, related to a significant decrease in the market value of a piece of freehold land as described in Note 6. The fair value of the freehold land was calculated by using level 3 inputs based on the direct comparison method. The impairment losses are included in property charges and other in the accompanying consolidated statements of operations. As a result of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pacing w:val="0"/>
          <w:sz w:val="20"/>
        </w:rPr>
      </w:pPr>
      <w:r>
        <w:rPr>
          <w:rFonts w:ascii="Times New Roman" w:hAnsi="Times New Roman"/>
          <w:spacing w:val="0"/>
          <w:sz w:val="20"/>
        </w:rPr>
        <w:t>outbreak as disclosed in Note 1(b) and the earlier cessation of gaming promoter arrangements in Macau by Melco Resorts Macau, the Company evaluated its long-lived assets for recoverability as of December 31, 2022 and 2021 and concluded no other impairment charges to be recorded.</w:t>
      </w:r>
    </w:p>
    <w:p>
      <w:pPr>
        <w:pStyle w:val="TextBody"/>
        <w:spacing w:before="0" w:after="0"/>
        <w:ind w:left="0" w:right="0" w:hanging="0"/>
        <w:jc w:val="left"/>
        <w:rPr>
          <w:spacing w:val="0"/>
        </w:rPr>
      </w:pPr>
      <w:r>
        <w:rPr>
          <w:spacing w:val="0"/>
        </w:rPr>
        <w:t> </w:t>
      </w:r>
    </w:p>
    <w:tbl>
      <w:tblPr>
        <w:tblW w:w="2395" w:type="dxa"/>
        <w:jc w:val="left"/>
        <w:tblInd w:w="0" w:type="dxa"/>
        <w:tblCellMar>
          <w:top w:w="0" w:type="dxa"/>
          <w:left w:w="0" w:type="dxa"/>
          <w:bottom w:w="0" w:type="dxa"/>
          <w:right w:w="0" w:type="dxa"/>
        </w:tblCellMar>
      </w:tblPr>
      <w:tblGrid>
        <w:gridCol w:w="75"/>
        <w:gridCol w:w="140"/>
        <w:gridCol w:w="218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q</w:t>
            </w:r>
          </w:p>
          <w:p>
            <w:pPr>
              <w:pStyle w:val="TableContents"/>
              <w:spacing w:before="0" w:after="0"/>
              <w:jc w:val="left"/>
              <w:rPr/>
            </w:pPr>
            <w:r>
              <w:rPr/>
              <w:t>)</w:t>
            </w:r>
          </w:p>
        </w:tc>
        <w:tc>
          <w:tcPr>
            <w:tcW w:w="21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Deferred Financing Costs</w:t>
            </w:r>
          </w:p>
        </w:tc>
      </w:tr>
    </w:tbl>
    <w:p>
      <w:pPr>
        <w:pStyle w:val="TextBody"/>
        <w:spacing w:before="120" w:after="0"/>
        <w:ind w:left="0" w:right="0" w:hanging="0"/>
        <w:jc w:val="left"/>
        <w:rPr>
          <w:rFonts w:ascii="Times New Roman" w:hAnsi="Times New Roman"/>
          <w:sz w:val="20"/>
        </w:rPr>
      </w:pPr>
      <w:r>
        <w:rPr>
          <w:rFonts w:ascii="Times New Roman" w:hAnsi="Times New Roman"/>
          <w:sz w:val="20"/>
        </w:rPr>
        <w:t xml:space="preserve">Direct and incremental costs incurred in obtaining loans or in connection with the issuance of </w:t>
      </w:r>
    </w:p>
    <w:p>
      <w:pPr>
        <w:pStyle w:val="TextBody"/>
        <w:spacing w:before="120" w:after="0"/>
        <w:jc w:val="left"/>
        <w:rPr>
          <w:rFonts w:ascii="Times New Roman" w:hAnsi="Times New Roman"/>
          <w:spacing w:val="0"/>
          <w:sz w:val="20"/>
        </w:rPr>
      </w:pPr>
      <w:r>
        <w:rPr>
          <w:rFonts w:ascii="Times New Roman" w:hAnsi="Times New Roman"/>
          <w:spacing w:val="0"/>
          <w:sz w:val="20"/>
        </w:rPr>
        <w:t>long-term</w:t>
      </w:r>
    </w:p>
    <w:p>
      <w:pPr>
        <w:pStyle w:val="TextBody"/>
        <w:spacing w:before="120" w:after="0"/>
        <w:jc w:val="left"/>
        <w:rPr>
          <w:rFonts w:ascii="Times New Roman" w:hAnsi="Times New Roman"/>
          <w:sz w:val="20"/>
        </w:rPr>
      </w:pPr>
      <w:r>
        <w:rPr>
          <w:rFonts w:ascii="Times New Roman" w:hAnsi="Times New Roman"/>
          <w:sz w:val="20"/>
        </w:rPr>
        <w:t xml:space="preserve">debt are capitalized and amortized to interest expenses over the terms of the related debt agreements using the effective interest method. Deferred financing costs incurred in connection with the issuance of revolving credit facilities are included in other assets, either current or </w:t>
      </w:r>
    </w:p>
    <w:p>
      <w:pPr>
        <w:pStyle w:val="TextBody"/>
        <w:spacing w:before="120" w:after="0"/>
        <w:jc w:val="left"/>
        <w:rPr>
          <w:rFonts w:ascii="Times New Roman" w:hAnsi="Times New Roman"/>
          <w:spacing w:val="0"/>
          <w:sz w:val="20"/>
        </w:rPr>
      </w:pPr>
      <w:r>
        <w:rPr>
          <w:rFonts w:ascii="Times New Roman" w:hAnsi="Times New Roman"/>
          <w:spacing w:val="0"/>
          <w:sz w:val="20"/>
        </w:rPr>
        <w:t>non-current,</w:t>
      </w:r>
    </w:p>
    <w:p>
      <w:pPr>
        <w:pStyle w:val="TextBody"/>
        <w:spacing w:before="120" w:after="0"/>
        <w:jc w:val="left"/>
        <w:rPr>
          <w:rFonts w:ascii="Times New Roman" w:hAnsi="Times New Roman"/>
          <w:sz w:val="20"/>
        </w:rPr>
      </w:pPr>
      <w:r>
        <w:rPr>
          <w:rFonts w:ascii="Times New Roman" w:hAnsi="Times New Roman"/>
          <w:sz w:val="20"/>
        </w:rPr>
        <w:t xml:space="preserve">in the accompanying consolidated balance sheets, based on the maturity of each revolving credit facility. All other deferred financing costs are presented as a reduction of long-term debt in the accompanying consolidated balance sheets. </w:t>
      </w:r>
    </w:p>
    <w:p>
      <w:pPr>
        <w:pStyle w:val="TextBody"/>
        <w:spacing w:before="0" w:after="0"/>
        <w:ind w:left="0" w:right="0" w:hanging="0"/>
        <w:jc w:val="left"/>
        <w:rPr>
          <w:spacing w:val="0"/>
        </w:rPr>
      </w:pPr>
      <w:r>
        <w:rPr>
          <w:spacing w:val="0"/>
        </w:rPr>
        <w:t> </w:t>
      </w:r>
    </w:p>
    <w:tbl>
      <w:tblPr>
        <w:tblW w:w="1585" w:type="dxa"/>
        <w:jc w:val="left"/>
        <w:tblInd w:w="0" w:type="dxa"/>
        <w:tblCellMar>
          <w:top w:w="0" w:type="dxa"/>
          <w:left w:w="0" w:type="dxa"/>
          <w:bottom w:w="0" w:type="dxa"/>
          <w:right w:w="0" w:type="dxa"/>
        </w:tblCellMar>
      </w:tblPr>
      <w:tblGrid>
        <w:gridCol w:w="75"/>
        <w:gridCol w:w="95"/>
        <w:gridCol w:w="141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r</w:t>
            </w:r>
          </w:p>
          <w:p>
            <w:pPr>
              <w:pStyle w:val="TableContents"/>
              <w:spacing w:before="0" w:after="0"/>
              <w:jc w:val="left"/>
              <w:rPr/>
            </w:pPr>
            <w:r>
              <w:rPr/>
              <w:t>)</w:t>
            </w:r>
          </w:p>
        </w:tc>
        <w:tc>
          <w:tcPr>
            <w:tcW w:w="14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Land Use Rights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Land use rights represent the upfront land premium</w:t>
      </w:r>
    </w:p>
    <w:p>
      <w:pPr>
        <w:pStyle w:val="TextBody"/>
        <w:spacing w:before="120" w:after="0"/>
        <w:jc w:val="left"/>
        <w:rPr>
          <w:rFonts w:ascii="Times New Roman" w:hAnsi="Times New Roman"/>
          <w:spacing w:val="0"/>
          <w:sz w:val="20"/>
        </w:rPr>
      </w:pPr>
      <w:r>
        <w:rPr>
          <w:rFonts w:ascii="Times New Roman" w:hAnsi="Times New Roman"/>
          <w:spacing w:val="0"/>
          <w:sz w:val="20"/>
        </w:rPr>
        <w:t>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paid for the use of land held under operating leases, which are recorded at cost less accumulated amortization. Amortization is provided over the estimated term of the land use rights of 40 years on a straight-line basis. </w:t>
      </w:r>
    </w:p>
    <w:p>
      <w:pPr>
        <w:pStyle w:val="TextBody"/>
        <w:spacing w:before="0" w:after="0"/>
        <w:ind w:left="0" w:right="0" w:hanging="0"/>
        <w:jc w:val="left"/>
        <w:rPr>
          <w:spacing w:val="0"/>
        </w:rPr>
      </w:pPr>
      <w:r>
        <w:rPr>
          <w:spacing w:val="0"/>
        </w:rPr>
        <w:t> </w:t>
      </w:r>
    </w:p>
    <w:tbl>
      <w:tblPr>
        <w:tblW w:w="790" w:type="dxa"/>
        <w:jc w:val="left"/>
        <w:tblInd w:w="0" w:type="dxa"/>
        <w:tblCellMar>
          <w:top w:w="0" w:type="dxa"/>
          <w:left w:w="0" w:type="dxa"/>
          <w:bottom w:w="0" w:type="dxa"/>
          <w:right w:w="0" w:type="dxa"/>
        </w:tblCellMar>
      </w:tblPr>
      <w:tblGrid>
        <w:gridCol w:w="75"/>
        <w:gridCol w:w="110"/>
        <w:gridCol w:w="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s</w:t>
            </w:r>
          </w:p>
          <w:p>
            <w:pPr>
              <w:pStyle w:val="TableContents"/>
              <w:spacing w:before="0" w:after="0"/>
              <w:jc w:val="left"/>
              <w:rPr/>
            </w:pPr>
            <w:r>
              <w:rPr/>
              <w:t>)</w:t>
            </w:r>
          </w:p>
        </w:tc>
        <w:tc>
          <w:tcPr>
            <w:tcW w:w="6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Leases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At the inception of the contract or upon modification, the Company will perform an assessment as to whether the contract is a lease or contains a lease. A contract is or contains a lease if the contract conveys the right to control the use of an identified asset for a period in exchange for consideration. A lessee has control of an identified asset if it has both the right to direct the use of the asset and the right to receive substantially all of the economic benefits from the use of the asset.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Finance and operating lease </w:t>
      </w:r>
    </w:p>
    <w:p>
      <w:pPr>
        <w:pStyle w:val="TextBody"/>
        <w:spacing w:before="120" w:after="0"/>
        <w:jc w:val="left"/>
        <w:rPr>
          <w:rFonts w:ascii="Times New Roman" w:hAnsi="Times New Roman"/>
          <w:spacing w:val="0"/>
          <w:sz w:val="20"/>
        </w:rPr>
      </w:pPr>
      <w:r>
        <w:rPr>
          <w:rFonts w:ascii="Times New Roman" w:hAnsi="Times New Roman"/>
          <w:spacing w:val="0"/>
          <w:sz w:val="20"/>
        </w:rPr>
        <w:t>right-of-use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assets and liabilities are recognized based on the present value of the future minimum lease payments over the lease term at the commencement date. The initial measurement of the </w:t>
      </w:r>
    </w:p>
    <w:p>
      <w:pPr>
        <w:pStyle w:val="TextBody"/>
        <w:spacing w:before="120" w:after="0"/>
        <w:jc w:val="left"/>
        <w:rPr>
          <w:rFonts w:ascii="Times New Roman" w:hAnsi="Times New Roman"/>
          <w:spacing w:val="0"/>
          <w:sz w:val="20"/>
        </w:rPr>
      </w:pPr>
      <w:r>
        <w:rPr>
          <w:rFonts w:ascii="Times New Roman" w:hAnsi="Times New Roman"/>
          <w:spacing w:val="0"/>
          <w:sz w:val="20"/>
        </w:rPr>
        <w:t>right-of-use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assets also includes any prepaid lease payments and any initial direct costs incurred and is reduced by any lease incentive received. For leases where the rate implicit in the lease is not readily determinable, the Company uses its incremental borrowing rate based on the information available at commencement date in determining the present value of lease payments. The expected lease terms include options to extend or terminate the lease when it is reasonably certain that the Company will exercise such option. Lease expense for minimum lease payments is recognized on a straight-line basis over the expected lease term. Leases with an expected term of 12 months or less are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F-2</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1360" w:type="dxa"/>
        <w:jc w:val="left"/>
        <w:tblInd w:w="0" w:type="dxa"/>
        <w:tblCellMar>
          <w:top w:w="0" w:type="dxa"/>
          <w:left w:w="0" w:type="dxa"/>
          <w:bottom w:w="0" w:type="dxa"/>
          <w:right w:w="0" w:type="dxa"/>
        </w:tblCellMar>
      </w:tblPr>
      <w:tblGrid>
        <w:gridCol w:w="75"/>
        <w:gridCol w:w="260"/>
        <w:gridCol w:w="1025"/>
      </w:tblGrid>
      <w:tr>
        <w:trPr/>
        <w:tc>
          <w:tcPr>
            <w:tcW w:w="75" w:type="dxa"/>
            <w:tcBorders/>
            <w:shd w:fill="auto" w:val="clear"/>
            <w:vAlign w:val="center"/>
          </w:tcPr>
          <w:p>
            <w:pPr>
              <w:pStyle w:val="TableContents"/>
              <w:spacing w:before="0" w:after="0"/>
              <w:rPr>
                <w:spacing w:val="0"/>
              </w:rPr>
            </w:pPr>
            <w:r>
              <w:rPr>
                <w:spacing w:val="0"/>
              </w:rPr>
              <w:t> </w:t>
            </w:r>
          </w:p>
        </w:tc>
        <w:tc>
          <w:tcPr>
            <w:tcW w:w="260" w:type="dxa"/>
            <w:tcBorders/>
            <w:shd w:fill="auto" w:val="clear"/>
            <w:vAlign w:val="center"/>
          </w:tcPr>
          <w:p>
            <w:pPr>
              <w:pStyle w:val="TableContents"/>
              <w:spacing w:before="0" w:after="0"/>
              <w:jc w:val="left"/>
              <w:rPr>
                <w:spacing w:val="0"/>
              </w:rPr>
            </w:pPr>
            <w:r>
              <w:rPr>
                <w:spacing w:val="0"/>
              </w:rPr>
              <w:t>(s)</w:t>
            </w:r>
          </w:p>
        </w:tc>
        <w:tc>
          <w:tcPr>
            <w:tcW w:w="10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Leases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not accounted for on the balance sheet and the related lease expense is recognized on a straight-line basis over the expected lease term.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Company’s lease contracts have lease and </w:t>
      </w:r>
    </w:p>
    <w:p>
      <w:pPr>
        <w:pStyle w:val="TextBody"/>
        <w:spacing w:before="0" w:after="0"/>
        <w:jc w:val="left"/>
        <w:rPr>
          <w:rFonts w:ascii="Times New Roman" w:hAnsi="Times New Roman"/>
          <w:spacing w:val="0"/>
          <w:sz w:val="20"/>
        </w:rPr>
      </w:pPr>
      <w:r>
        <w:rPr>
          <w:rFonts w:ascii="Times New Roman" w:hAnsi="Times New Roman"/>
          <w:spacing w:val="0"/>
          <w:sz w:val="20"/>
        </w:rPr>
        <w:t>non-lease</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components. For contracts in which the Company is a lessee, the Company accounts for the lease components and </w:t>
      </w:r>
    </w:p>
    <w:p>
      <w:pPr>
        <w:pStyle w:val="TextBody"/>
        <w:spacing w:before="0" w:after="0"/>
        <w:jc w:val="left"/>
        <w:rPr>
          <w:rFonts w:ascii="Times New Roman" w:hAnsi="Times New Roman"/>
          <w:spacing w:val="0"/>
          <w:sz w:val="20"/>
        </w:rPr>
      </w:pPr>
      <w:r>
        <w:rPr>
          <w:rFonts w:ascii="Times New Roman" w:hAnsi="Times New Roman"/>
          <w:spacing w:val="0"/>
          <w:sz w:val="20"/>
        </w:rPr>
        <w:t>non-lease</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components as a single lease component for all classes of underlying assets, except for real estate. For contracts in which the Company is a lessor, all are accounted for as operating leases, and the lease components </w:t>
      </w:r>
    </w:p>
    <w:p>
      <w:pPr>
        <w:pStyle w:val="TextBody"/>
        <w:spacing w:before="0" w:after="0"/>
        <w:jc w:val="left"/>
        <w:rPr>
          <w:rFonts w:ascii="Times New Roman" w:hAnsi="Times New Roman"/>
          <w:spacing w:val="0"/>
          <w:sz w:val="20"/>
        </w:rPr>
      </w:pPr>
      <w:r>
        <w:rPr>
          <w:rFonts w:ascii="Times New Roman" w:hAnsi="Times New Roman"/>
          <w:spacing w:val="0"/>
          <w:sz w:val="20"/>
        </w:rPr>
        <w:t>and</w:t>
      </w:r>
    </w:p>
    <w:p>
      <w:pPr>
        <w:pStyle w:val="TextBody"/>
        <w:spacing w:before="0" w:after="0"/>
        <w:jc w:val="left"/>
        <w:rPr>
          <w:rFonts w:ascii="Times New Roman" w:hAnsi="Times New Roman"/>
          <w:spacing w:val="0"/>
          <w:sz w:val="20"/>
        </w:rPr>
      </w:pPr>
      <w:r>
        <w:rPr>
          <w:rFonts w:ascii="Times New Roman" w:hAnsi="Times New Roman"/>
          <w:spacing w:val="0"/>
          <w:sz w:val="20"/>
        </w:rPr>
        <w:t>non-lease</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components are accounted for </w:t>
      </w:r>
    </w:p>
    <w:p>
      <w:pPr>
        <w:pStyle w:val="TextBody"/>
        <w:spacing w:before="0" w:after="0"/>
        <w:jc w:val="left"/>
        <w:rPr>
          <w:rFonts w:ascii="Times New Roman" w:hAnsi="Times New Roman"/>
          <w:spacing w:val="0"/>
          <w:sz w:val="20"/>
        </w:rPr>
      </w:pPr>
      <w:r>
        <w:rPr>
          <w:rFonts w:ascii="Times New Roman" w:hAnsi="Times New Roman"/>
          <w:spacing w:val="0"/>
          <w:sz w:val="20"/>
        </w:rPr>
        <w:t>separately.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2035" w:type="dxa"/>
        <w:jc w:val="left"/>
        <w:tblInd w:w="0" w:type="dxa"/>
        <w:tblCellMar>
          <w:top w:w="0" w:type="dxa"/>
          <w:left w:w="0" w:type="dxa"/>
          <w:bottom w:w="0" w:type="dxa"/>
          <w:right w:w="0" w:type="dxa"/>
        </w:tblCellMar>
      </w:tblPr>
      <w:tblGrid>
        <w:gridCol w:w="75"/>
        <w:gridCol w:w="95"/>
        <w:gridCol w:w="1865"/>
      </w:tblGrid>
      <w:tr>
        <w:trPr/>
        <w:tc>
          <w:tcPr>
            <w:tcW w:w="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t</w:t>
            </w:r>
          </w:p>
          <w:p>
            <w:pPr>
              <w:pStyle w:val="TableContents"/>
              <w:spacing w:before="0" w:after="0"/>
              <w:jc w:val="left"/>
              <w:rPr/>
            </w:pPr>
            <w:r>
              <w:rPr/>
              <w:t>)</w:t>
            </w:r>
          </w:p>
        </w:tc>
        <w:tc>
          <w:tcPr>
            <w:tcW w:w="186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Revenue Recognition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Company’s revenues from co</w:t>
      </w:r>
    </w:p>
    <w:p>
      <w:pPr>
        <w:pStyle w:val="TextBody"/>
        <w:spacing w:before="120" w:after="0"/>
        <w:jc w:val="left"/>
        <w:rPr>
          <w:rFonts w:ascii="Times New Roman" w:hAnsi="Times New Roman"/>
          <w:spacing w:val="0"/>
          <w:sz w:val="20"/>
        </w:rPr>
      </w:pPr>
      <w:r>
        <w:rPr>
          <w:rFonts w:ascii="Times New Roman" w:hAnsi="Times New Roman"/>
          <w:spacing w:val="0"/>
          <w:sz w:val="20"/>
        </w:rPr>
        <w:t>ntr</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acts with customers consist of casino wagers, sales of rooms, food and beverage, entertainment, retail and other goods and services.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Gross casino revenues are measured by the aggregate net difference between gaming wins and losses. The Company accounts for its casino wagering transactions on a portfolio basis versus an individual basis as all wagers have similar characteristics. Commissions rebated to customers either directly or indirectly through gaming promoters and cash discounts and other cash incentives earned by customers are recorded as reductions of casino revenues. In addition to the wagers, casino transactions typically include performance obligations related to complimentary goods or services provided to incentivize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future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gaming or in exchange for incentives or points earned under the Company’s </w:t>
      </w:r>
    </w:p>
    <w:p>
      <w:pPr>
        <w:pStyle w:val="TextBody"/>
        <w:spacing w:before="120" w:after="0"/>
        <w:jc w:val="left"/>
        <w:rPr>
          <w:rFonts w:ascii="Times New Roman" w:hAnsi="Times New Roman"/>
          <w:spacing w:val="0"/>
          <w:sz w:val="20"/>
        </w:rPr>
      </w:pPr>
      <w:r>
        <w:rPr>
          <w:rFonts w:ascii="Times New Roman" w:hAnsi="Times New Roman"/>
          <w:spacing w:val="0"/>
          <w:sz w:val="20"/>
        </w:rPr>
        <w:t>non-discretionary</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incentive programs (including loyalty programs).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operating expenses.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operates different </w:t>
      </w:r>
    </w:p>
    <w:p>
      <w:pPr>
        <w:pStyle w:val="TextBody"/>
        <w:spacing w:before="120" w:after="0"/>
        <w:jc w:val="left"/>
        <w:rPr>
          <w:rFonts w:ascii="Times New Roman" w:hAnsi="Times New Roman"/>
          <w:spacing w:val="0"/>
          <w:sz w:val="20"/>
        </w:rPr>
      </w:pPr>
      <w:r>
        <w:rPr>
          <w:rFonts w:ascii="Times New Roman" w:hAnsi="Times New Roman"/>
          <w:spacing w:val="0"/>
          <w:sz w:val="20"/>
        </w:rPr>
        <w:t>non-discretionary</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incentive programs in certain of its properties which include loyalty programs (the “Loyalty Programs”) to encourage repeat business mainly from loyal slot machine customers and table games patrons. Customers earn points primarily based on gaming activity and such points can be redeemed for free play and other free goods and services. For casino transactions that include points earned under the Loyalty Programs, the Company defers a portion of the revenue by recording the estimated standalone selling prices of the earned points that are expected to be redeemed as a liability. Upon redemption of the points for Company-owned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After allocating amounts to the complimentary goods or services provided and to the points earned under the Loyalty Programs, the residual amount is recorded as casino revenue when the wagers are settled.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follows the accounting standards for reporting revenue gross as a principal versus net as an agent, when accounting for operations of one of its hotels and Grand Dragon Casino and concluded that it is the controlling entity and is the principal to these arrangements. For the operations of one of its hotels, the Company is the owner of the hotel property, and the hotel manager operates the hotel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F-2</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tbl>
      <w:tblPr>
        <w:tblW w:w="2125" w:type="dxa"/>
        <w:jc w:val="left"/>
        <w:tblInd w:w="0" w:type="dxa"/>
        <w:tblCellMar>
          <w:top w:w="0" w:type="dxa"/>
          <w:left w:w="0" w:type="dxa"/>
          <w:bottom w:w="0" w:type="dxa"/>
          <w:right w:w="0" w:type="dxa"/>
        </w:tblCellMar>
      </w:tblPr>
      <w:tblGrid>
        <w:gridCol w:w="75"/>
        <w:gridCol w:w="230"/>
        <w:gridCol w:w="182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jc w:val="left"/>
              <w:rPr/>
            </w:pPr>
            <w:r>
              <w:rPr/>
              <w:t>(t)</w:t>
            </w:r>
          </w:p>
        </w:tc>
        <w:tc>
          <w:tcPr>
            <w:tcW w:w="182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Revenue Recognition</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under a management agreement providing management services to the Company, and the Company receives all rewards and takes substantial risks associated with the hotel’s business, it is the principal and the transactions are, therefore, recognized on a gross basis. For the operations of Grand Dragon Casino, given the Company operates the casino under a right to use agreement with the owner of the casino premises and has full responsibility for the casino operations in accordance with its gaming subconcession or concession, it is the principal and casino revenue is, therefore, recognized on a gross basis.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Company are excluded from revenues. Advance deposits on rooms and advance ticket sales are recorded as customer deposits until services are provided to the customers. Revenues from contracts with multiple goods or services provided by the Company are allocated to each good or service based on its relative standalone selling price.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Minimum operating and right to use fees representing lease revenues, adjusted for contractual base fees and operating fee escalations, are included in other revenues and are recognized over the terms of the related agreements on a straight-line basis. </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Contract and Contract-Related Liabilities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providing goods and services to customers, there may be a timing difference between cash receipts from customers and recognition of revenues, resulting in a contract or contract-related liability.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Company primarily has three types of liabilities related to contracts with customers: (1) outstanding gaming chips, which represent the amounts owed in exchange for gaming chips held by a customer, (2) loyalty program liabilities, which represent the deferred allocation of revenues relating to incentives earned from the Loyalty Programs, and (3) advance customer deposits and ticket sales, which represent casino front money deposits that are funds deposited by customers before gaming play occurs and advance payments on goods and services yet to be provided such as advance ticket sales and deposits on rooms and convention space. These liabilities are generally expected to be recognized as revenues within one year of being purchased, earned or deposited and are recorded as accrued expenses and other current liabilities in the accompanying consolidated balance sheets. Decreases in these balances generally represent the recognition of revenues and increases in the balances represent additional chips held by customers, increases in unredeemed incentives relating to the Loyalty Programs and additional deposits made by customers.</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following table summarizes the activities related to contract and contract-related liabilities:</w:t>
      </w:r>
    </w:p>
    <w:p>
      <w:pPr>
        <w:pStyle w:val="TextBody"/>
        <w:spacing w:before="0" w:after="0"/>
        <w:ind w:left="0" w:right="0" w:hanging="0"/>
        <w:jc w:val="left"/>
        <w:rPr>
          <w:spacing w:val="0"/>
        </w:rPr>
      </w:pPr>
      <w:r>
        <w:rPr>
          <w:spacing w:val="0"/>
        </w:rPr>
        <w:t> </w:t>
      </w:r>
    </w:p>
    <w:tbl>
      <w:tblPr>
        <w:tblW w:w="9748" w:type="dxa"/>
        <w:jc w:val="left"/>
        <w:tblInd w:w="0" w:type="dxa"/>
        <w:tblCellMar>
          <w:top w:w="0" w:type="dxa"/>
          <w:left w:w="0" w:type="dxa"/>
          <w:bottom w:w="0" w:type="dxa"/>
          <w:right w:w="0" w:type="dxa"/>
        </w:tblCellMar>
      </w:tblPr>
      <w:tblGrid>
        <w:gridCol w:w="2000"/>
        <w:gridCol w:w="60"/>
        <w:gridCol w:w="140"/>
        <w:gridCol w:w="755"/>
        <w:gridCol w:w="95"/>
        <w:gridCol w:w="60"/>
        <w:gridCol w:w="140"/>
        <w:gridCol w:w="875"/>
        <w:gridCol w:w="155"/>
        <w:gridCol w:w="60"/>
        <w:gridCol w:w="195"/>
        <w:gridCol w:w="950"/>
        <w:gridCol w:w="132"/>
        <w:gridCol w:w="83"/>
        <w:gridCol w:w="195"/>
        <w:gridCol w:w="950"/>
        <w:gridCol w:w="155"/>
        <w:gridCol w:w="60"/>
        <w:gridCol w:w="179"/>
        <w:gridCol w:w="1028"/>
        <w:gridCol w:w="122"/>
        <w:gridCol w:w="77"/>
        <w:gridCol w:w="179"/>
        <w:gridCol w:w="1028"/>
        <w:gridCol w:w="75"/>
      </w:tblGrid>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065" w:type="dxa"/>
            <w:gridSpan w:val="6"/>
            <w:tcBorders/>
            <w:shd w:fill="auto" w:val="clear"/>
            <w:vAlign w:val="center"/>
          </w:tcPr>
          <w:p>
            <w:pPr>
              <w:pStyle w:val="TableContents"/>
              <w:spacing w:before="0" w:after="0"/>
              <w:jc w:val="center"/>
              <w:rPr>
                <w:spacing w:val="0"/>
              </w:rPr>
            </w:pPr>
            <w:r>
              <w:rPr>
                <w:spacing w:val="0"/>
              </w:rPr>
              <w:t>Outstanding gaming</w:t>
              <w:br/>
              <w:t>chips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505" w:type="dxa"/>
            <w:gridSpan w:val="6"/>
            <w:tcBorders/>
            <w:shd w:fill="auto" w:val="clear"/>
            <w:vAlign w:val="center"/>
          </w:tcPr>
          <w:p>
            <w:pPr>
              <w:pStyle w:val="TableContents"/>
              <w:spacing w:before="0" w:after="0"/>
              <w:jc w:val="center"/>
              <w:rPr>
                <w:spacing w:val="0"/>
              </w:rPr>
            </w:pPr>
            <w:r>
              <w:rPr>
                <w:spacing w:val="0"/>
              </w:rPr>
              <w:t>Loyalty program liabilities</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613" w:type="dxa"/>
            <w:gridSpan w:val="6"/>
            <w:tcBorders/>
            <w:shd w:fill="auto" w:val="clear"/>
            <w:vAlign w:val="center"/>
          </w:tcPr>
          <w:p>
            <w:pPr>
              <w:pStyle w:val="TableContents"/>
              <w:spacing w:before="0" w:after="0"/>
              <w:jc w:val="center"/>
              <w:rPr>
                <w:spacing w:val="0"/>
              </w:rPr>
            </w:pPr>
            <w:r>
              <w:rPr>
                <w:spacing w:val="0"/>
              </w:rPr>
              <w:t>Advance customer deposits</w:t>
              <w:br/>
              <w:t>and ticket sales</w:t>
            </w:r>
          </w:p>
        </w:tc>
        <w:tc>
          <w:tcPr>
            <w:tcW w:w="75" w:type="dxa"/>
            <w:tcBorders/>
            <w:shd w:fill="auto" w:val="clear"/>
            <w:vAlign w:val="center"/>
          </w:tcPr>
          <w:p>
            <w:pPr>
              <w:pStyle w:val="TableContents"/>
              <w:spacing w:before="0" w:after="0"/>
              <w:rPr>
                <w:spacing w:val="0"/>
              </w:rPr>
            </w:pPr>
            <w:r>
              <w:rPr>
                <w:spacing w:val="0"/>
              </w:rPr>
              <w:t> </w:t>
            </w:r>
          </w:p>
        </w:tc>
      </w:tr>
      <w:tr>
        <w:trPr/>
        <w:tc>
          <w:tcPr>
            <w:tcW w:w="200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95" w:type="dxa"/>
            <w:gridSpan w:val="2"/>
            <w:tcBorders/>
            <w:shd w:fill="auto" w:val="cle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015" w:type="dxa"/>
            <w:gridSpan w:val="2"/>
            <w:tcBorders/>
            <w:shd w:fill="auto" w:val="cle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45" w:type="dxa"/>
            <w:gridSpan w:val="2"/>
            <w:tcBorders/>
            <w:shd w:fill="auto" w:val="clear"/>
            <w:vAlign w:val="center"/>
          </w:tcPr>
          <w:p>
            <w:pPr>
              <w:pStyle w:val="TableContents"/>
              <w:spacing w:before="0" w:after="0"/>
              <w:jc w:val="center"/>
              <w:rPr>
                <w:spacing w:val="0"/>
              </w:rPr>
            </w:pPr>
            <w:r>
              <w:rPr>
                <w:spacing w:val="0"/>
              </w:rPr>
              <w:t>2022</w:t>
            </w:r>
          </w:p>
        </w:tc>
        <w:tc>
          <w:tcPr>
            <w:tcW w:w="132" w:type="dxa"/>
            <w:tcBorders/>
            <w:shd w:fill="auto" w:val="clear"/>
            <w:vAlign w:val="center"/>
          </w:tcPr>
          <w:p>
            <w:pPr>
              <w:pStyle w:val="TableContents"/>
              <w:spacing w:before="0" w:after="0"/>
              <w:rPr>
                <w:spacing w:val="0"/>
              </w:rPr>
            </w:pPr>
            <w:r>
              <w:rPr>
                <w:spacing w:val="0"/>
              </w:rPr>
              <w:t> </w:t>
            </w:r>
          </w:p>
        </w:tc>
        <w:tc>
          <w:tcPr>
            <w:tcW w:w="83" w:type="dxa"/>
            <w:tcBorders/>
            <w:shd w:fill="auto" w:val="clear"/>
            <w:vAlign w:val="center"/>
          </w:tcPr>
          <w:p>
            <w:pPr>
              <w:pStyle w:val="TableContents"/>
              <w:spacing w:before="0" w:after="0"/>
              <w:rPr>
                <w:spacing w:val="0"/>
              </w:rPr>
            </w:pPr>
            <w:r>
              <w:rPr>
                <w:spacing w:val="0"/>
              </w:rPr>
              <w:t> </w:t>
            </w:r>
          </w:p>
        </w:tc>
        <w:tc>
          <w:tcPr>
            <w:tcW w:w="1145" w:type="dxa"/>
            <w:gridSpan w:val="2"/>
            <w:tcBorders/>
            <w:shd w:fill="auto" w:val="cle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7" w:type="dxa"/>
            <w:gridSpan w:val="2"/>
            <w:tcBorders/>
            <w:shd w:fill="auto" w:val="clear"/>
            <w:vAlign w:val="center"/>
          </w:tcPr>
          <w:p>
            <w:pPr>
              <w:pStyle w:val="TableContents"/>
              <w:spacing w:before="0" w:after="0"/>
              <w:jc w:val="center"/>
              <w:rPr>
                <w:spacing w:val="0"/>
              </w:rPr>
            </w:pPr>
            <w:r>
              <w:rPr>
                <w:spacing w:val="0"/>
              </w:rPr>
              <w:t>2022</w:t>
            </w:r>
          </w:p>
        </w:tc>
        <w:tc>
          <w:tcPr>
            <w:tcW w:w="122" w:type="dxa"/>
            <w:tcBorders/>
            <w:shd w:fill="auto" w:val="clear"/>
            <w:vAlign w:val="center"/>
          </w:tcPr>
          <w:p>
            <w:pPr>
              <w:pStyle w:val="TableContents"/>
              <w:spacing w:before="0" w:after="0"/>
              <w:rPr>
                <w:spacing w:val="0"/>
              </w:rPr>
            </w:pPr>
            <w:r>
              <w:rPr>
                <w:spacing w:val="0"/>
              </w:rPr>
              <w:t> </w:t>
            </w:r>
          </w:p>
        </w:tc>
        <w:tc>
          <w:tcPr>
            <w:tcW w:w="77" w:type="dxa"/>
            <w:tcBorders/>
            <w:shd w:fill="auto" w:val="clear"/>
            <w:vAlign w:val="center"/>
          </w:tcPr>
          <w:p>
            <w:pPr>
              <w:pStyle w:val="TableContents"/>
              <w:spacing w:before="0" w:after="0"/>
              <w:rPr>
                <w:spacing w:val="0"/>
              </w:rPr>
            </w:pPr>
            <w:r>
              <w:rPr>
                <w:spacing w:val="0"/>
              </w:rPr>
              <w:t> </w:t>
            </w:r>
          </w:p>
        </w:tc>
        <w:tc>
          <w:tcPr>
            <w:tcW w:w="1207" w:type="dxa"/>
            <w:gridSpan w:val="2"/>
            <w:tcBorders/>
            <w:shd w:fill="auto" w:val="cle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2000" w:type="dxa"/>
            <w:tcBorders/>
            <w:shd w:fill="CCEEFF" w:val="clear"/>
            <w:vAlign w:val="center"/>
          </w:tcPr>
          <w:p>
            <w:pPr>
              <w:pStyle w:val="TableContents"/>
              <w:spacing w:before="0" w:after="0"/>
              <w:rPr>
                <w:spacing w:val="0"/>
                <w:sz w:val="20"/>
              </w:rPr>
            </w:pPr>
            <w:r>
              <w:rPr>
                <w:spacing w:val="0"/>
                <w:sz w:val="20"/>
              </w:rPr>
              <w:t>Balance at January 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72,147</w:t>
            </w:r>
          </w:p>
        </w:tc>
        <w:tc>
          <w:tcPr>
            <w:tcW w:w="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205,780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jc w:val="right"/>
              <w:rPr/>
            </w:pPr>
            <w:r>
              <w:rPr/>
              <w:t>24,350</w:t>
            </w:r>
          </w:p>
        </w:tc>
        <w:tc>
          <w:tcPr>
            <w:tcW w:w="132"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jc w:val="right"/>
              <w:rPr/>
            </w:pPr>
            <w:r>
              <w:rPr/>
              <w:t>29,175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28" w:type="dxa"/>
            <w:tcBorders/>
            <w:shd w:fill="CCEEFF" w:val="clear"/>
            <w:vAlign w:val="center"/>
          </w:tcPr>
          <w:p>
            <w:pPr>
              <w:pStyle w:val="TableContents"/>
              <w:spacing w:before="0" w:after="283"/>
              <w:jc w:val="right"/>
              <w:rPr/>
            </w:pPr>
            <w:r>
              <w:rPr/>
              <w:t>309,718</w:t>
            </w:r>
          </w:p>
        </w:tc>
        <w:tc>
          <w:tcPr>
            <w:tcW w:w="122"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28" w:type="dxa"/>
            <w:tcBorders/>
            <w:shd w:fill="CCEEFF" w:val="clear"/>
            <w:vAlign w:val="center"/>
          </w:tcPr>
          <w:p>
            <w:pPr>
              <w:pStyle w:val="TableContents"/>
              <w:spacing w:before="0" w:after="283"/>
              <w:jc w:val="right"/>
              <w:rPr/>
            </w:pPr>
            <w:r>
              <w:rPr/>
              <w:t>277,867</w:t>
            </w:r>
          </w:p>
        </w:tc>
        <w:tc>
          <w:tcPr>
            <w:tcW w:w="75" w:type="dxa"/>
            <w:tcBorders/>
            <w:shd w:fill="CCEEFF"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0"/>
              <w:rPr>
                <w:spacing w:val="0"/>
                <w:sz w:val="20"/>
              </w:rPr>
            </w:pPr>
            <w:r>
              <w:rPr>
                <w:spacing w:val="0"/>
                <w:sz w:val="20"/>
              </w:rPr>
              <w:t>Balance at December 31</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37,354</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72,147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15,568</w:t>
            </w:r>
          </w:p>
        </w:tc>
        <w:tc>
          <w:tcPr>
            <w:tcW w:w="132"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24,350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8" w:type="dxa"/>
            <w:tcBorders/>
            <w:shd w:fill="auto" w:val="clear"/>
            <w:vAlign w:val="center"/>
          </w:tcPr>
          <w:p>
            <w:pPr>
              <w:pStyle w:val="TableContents"/>
              <w:spacing w:before="0" w:after="283"/>
              <w:jc w:val="right"/>
              <w:rPr/>
            </w:pPr>
            <w:r>
              <w:rPr/>
              <w:t>278,591</w:t>
            </w:r>
          </w:p>
        </w:tc>
        <w:tc>
          <w:tcPr>
            <w:tcW w:w="122"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1028" w:type="dxa"/>
            <w:tcBorders/>
            <w:shd w:fill="auto" w:val="clear"/>
            <w:vAlign w:val="center"/>
          </w:tcPr>
          <w:p>
            <w:pPr>
              <w:pStyle w:val="TableContents"/>
              <w:spacing w:before="0" w:after="283"/>
              <w:jc w:val="right"/>
              <w:rPr/>
            </w:pPr>
            <w:r>
              <w:rPr/>
              <w:t>309,718</w:t>
            </w:r>
          </w:p>
        </w:tc>
        <w:tc>
          <w:tcPr>
            <w:tcW w:w="75" w:type="dxa"/>
            <w:tcBorders/>
            <w:shd w:fill="auto"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32"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2"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2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000" w:type="dxa"/>
            <w:tcBorders/>
            <w:shd w:fill="CCEEFF" w:val="clear"/>
            <w:vAlign w:val="center"/>
          </w:tcPr>
          <w:p>
            <w:pPr>
              <w:pStyle w:val="TableContents"/>
              <w:spacing w:before="0" w:after="0"/>
              <w:rPr>
                <w:spacing w:val="0"/>
                <w:sz w:val="20"/>
              </w:rPr>
            </w:pPr>
            <w:r>
              <w:rPr>
                <w:spacing w:val="0"/>
                <w:sz w:val="20"/>
              </w:rPr>
              <w:t>(Decrease) increase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(34,793</w:t>
            </w:r>
          </w:p>
        </w:tc>
        <w:tc>
          <w:tcPr>
            <w:tcW w:w="9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(133,633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jc w:val="right"/>
              <w:rPr/>
            </w:pPr>
            <w:r>
              <w:rPr/>
              <w:t>(8,782</w:t>
            </w:r>
          </w:p>
        </w:tc>
        <w:tc>
          <w:tcPr>
            <w:tcW w:w="132" w:type="dxa"/>
            <w:tcBorders/>
            <w:shd w:fill="CCEEFF" w:val="clear"/>
            <w:vAlign w:val="center"/>
          </w:tcPr>
          <w:p>
            <w:pPr>
              <w:pStyle w:val="TableContents"/>
              <w:spacing w:before="0" w:after="283"/>
              <w:rPr/>
            </w:pPr>
            <w:r>
              <w:rPr/>
              <w:t>)</w:t>
            </w:r>
          </w:p>
        </w:tc>
        <w:tc>
          <w:tcPr>
            <w:tcW w:w="83"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jc w:val="right"/>
              <w:rPr/>
            </w:pPr>
            <w:r>
              <w:rPr/>
              <w:t>(4,825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28" w:type="dxa"/>
            <w:tcBorders/>
            <w:shd w:fill="CCEEFF" w:val="clear"/>
            <w:vAlign w:val="center"/>
          </w:tcPr>
          <w:p>
            <w:pPr>
              <w:pStyle w:val="TableContents"/>
              <w:spacing w:before="0" w:after="283"/>
              <w:jc w:val="right"/>
              <w:rPr/>
            </w:pPr>
            <w:r>
              <w:rPr/>
              <w:t>(31,127</w:t>
            </w:r>
          </w:p>
        </w:tc>
        <w:tc>
          <w:tcPr>
            <w:tcW w:w="122" w:type="dxa"/>
            <w:tcBorders/>
            <w:shd w:fill="CCEEFF" w:val="clear"/>
            <w:vAlign w:val="center"/>
          </w:tcPr>
          <w:p>
            <w:pPr>
              <w:pStyle w:val="TableContents"/>
              <w:spacing w:before="0" w:after="283"/>
              <w:rPr/>
            </w:pPr>
            <w:r>
              <w:rPr/>
              <w:t>)</w:t>
            </w:r>
          </w:p>
        </w:tc>
        <w:tc>
          <w:tcPr>
            <w:tcW w:w="77"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rPr/>
            </w:pPr>
            <w:r>
              <w:rPr/>
              <w:t>$</w:t>
            </w:r>
          </w:p>
        </w:tc>
        <w:tc>
          <w:tcPr>
            <w:tcW w:w="1028" w:type="dxa"/>
            <w:tcBorders/>
            <w:shd w:fill="CCEEFF" w:val="clear"/>
            <w:vAlign w:val="center"/>
          </w:tcPr>
          <w:p>
            <w:pPr>
              <w:pStyle w:val="TableContents"/>
              <w:spacing w:before="0" w:after="283"/>
              <w:jc w:val="right"/>
              <w:rPr/>
            </w:pPr>
            <w:r>
              <w:rPr/>
              <w:t>31,851</w:t>
            </w:r>
          </w:p>
        </w:tc>
        <w:tc>
          <w:tcPr>
            <w:tcW w:w="75" w:type="dxa"/>
            <w:tcBorders/>
            <w:shd w:fill="CCEEFF" w:val="clear"/>
            <w:vAlign w:val="center"/>
          </w:tcPr>
          <w:p>
            <w:pPr>
              <w:pStyle w:val="TableContents"/>
              <w:spacing w:before="0" w:after="283"/>
              <w:rPr/>
            </w:pPr>
            <w:r>
              <w:rPr/>
              <w:t> </w:t>
            </w:r>
          </w:p>
        </w:tc>
      </w:tr>
      <w:tr>
        <w:trPr/>
        <w:tc>
          <w:tcPr>
            <w:tcW w:w="20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32"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2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2"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2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F-2</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2965" w:type="dxa"/>
        <w:jc w:val="left"/>
        <w:tblInd w:w="0" w:type="dxa"/>
        <w:tblCellMar>
          <w:top w:w="0" w:type="dxa"/>
          <w:left w:w="0" w:type="dxa"/>
          <w:bottom w:w="0" w:type="dxa"/>
          <w:right w:w="0" w:type="dxa"/>
        </w:tblCellMar>
      </w:tblPr>
      <w:tblGrid>
        <w:gridCol w:w="75"/>
        <w:gridCol w:w="140"/>
        <w:gridCol w:w="2750"/>
      </w:tblGrid>
      <w:tr>
        <w:trPr/>
        <w:tc>
          <w:tcPr>
            <w:tcW w:w="75"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jc w:val="left"/>
              <w:rPr>
                <w:spacing w:val="0"/>
              </w:rPr>
            </w:pPr>
            <w:r>
              <w:rPr>
                <w:spacing w:val="0"/>
              </w:rPr>
              <w:t>(</w:t>
            </w:r>
          </w:p>
          <w:p>
            <w:pPr>
              <w:pStyle w:val="TableContents"/>
              <w:spacing w:before="0" w:after="0"/>
              <w:jc w:val="left"/>
              <w:rPr>
                <w:spacing w:val="0"/>
              </w:rPr>
            </w:pPr>
            <w:r>
              <w:rPr>
                <w:spacing w:val="0"/>
              </w:rPr>
              <w:t>u</w:t>
            </w:r>
          </w:p>
          <w:p>
            <w:pPr>
              <w:pStyle w:val="TableContents"/>
              <w:spacing w:before="0" w:after="0"/>
              <w:jc w:val="left"/>
              <w:rPr>
                <w:spacing w:val="0"/>
              </w:rPr>
            </w:pPr>
            <w:r>
              <w:rPr>
                <w:spacing w:val="0"/>
              </w:rPr>
              <w:t>)</w:t>
            </w:r>
          </w:p>
        </w:tc>
        <w:tc>
          <w:tcPr>
            <w:tcW w:w="275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Gaming Taxes and License Fees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is subject to taxes and license fees based on gross gaming revenue and other metrics in the jurisdictions in which it operates, subject to applicable jurisdictional adjustments. These gaming taxes and license fees are mainly recognized as casino expense in the accompanying consolidated statements of operations. These taxes and license fees totaled $489,730, $842,722 and $754,733 for the years ended December 31, 2022, 2021 and 2020, respectively. </w:t>
      </w:r>
    </w:p>
    <w:p>
      <w:pPr>
        <w:pStyle w:val="TextBody"/>
        <w:spacing w:before="0" w:after="0"/>
        <w:jc w:val="left"/>
        <w:rPr>
          <w:spacing w:val="0"/>
        </w:rPr>
      </w:pPr>
      <w:r>
        <w:rPr>
          <w:spacing w:val="0"/>
        </w:rPr>
        <w:t> </w:t>
      </w:r>
    </w:p>
    <w:tbl>
      <w:tblPr>
        <w:tblW w:w="1285" w:type="dxa"/>
        <w:jc w:val="left"/>
        <w:tblInd w:w="0" w:type="dxa"/>
        <w:tblCellMar>
          <w:top w:w="0" w:type="dxa"/>
          <w:left w:w="0" w:type="dxa"/>
          <w:bottom w:w="0" w:type="dxa"/>
          <w:right w:w="0" w:type="dxa"/>
        </w:tblCellMar>
      </w:tblPr>
      <w:tblGrid>
        <w:gridCol w:w="75"/>
        <w:gridCol w:w="140"/>
        <w:gridCol w:w="1070"/>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v</w:t>
            </w:r>
          </w:p>
          <w:p>
            <w:pPr>
              <w:pStyle w:val="TableContents"/>
              <w:spacing w:before="0" w:after="0"/>
              <w:jc w:val="left"/>
              <w:rPr/>
            </w:pPr>
            <w:r>
              <w:rPr/>
              <w:t>)</w:t>
            </w:r>
          </w:p>
        </w:tc>
        <w:tc>
          <w:tcPr>
            <w:tcW w:w="107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Pre-opening</w:t>
            </w:r>
          </w:p>
          <w:p>
            <w:pPr>
              <w:pStyle w:val="TableContents"/>
              <w:spacing w:before="0" w:after="0"/>
              <w:jc w:val="left"/>
              <w:rPr>
                <w:rFonts w:ascii="Times New Roman" w:hAnsi="Times New Roman"/>
                <w:b/>
                <w:spacing w:val="0"/>
                <w:sz w:val="20"/>
              </w:rPr>
            </w:pPr>
            <w:r>
              <w:rPr>
                <w:rFonts w:ascii="Times New Roman" w:hAnsi="Times New Roman"/>
                <w:b/>
                <w:spacing w:val="0"/>
                <w:sz w:val="20"/>
              </w:rPr>
              <w:t>Costs</w:t>
            </w:r>
          </w:p>
        </w:tc>
      </w:tr>
    </w:tbl>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costs represent personnel, marketing and other costs incurred prior to the opening of new or </w:t>
      </w:r>
    </w:p>
    <w:p>
      <w:pPr>
        <w:pStyle w:val="TextBody"/>
        <w:spacing w:before="120" w:after="0"/>
        <w:jc w:val="left"/>
        <w:rPr>
          <w:rFonts w:ascii="Times New Roman" w:hAnsi="Times New Roman"/>
          <w:spacing w:val="0"/>
          <w:sz w:val="20"/>
        </w:rPr>
      </w:pPr>
      <w:r>
        <w:rPr>
          <w:rFonts w:ascii="Times New Roman" w:hAnsi="Times New Roman"/>
          <w:spacing w:val="0"/>
          <w:sz w:val="20"/>
        </w:rPr>
        <w:t>start-up</w:t>
      </w:r>
    </w:p>
    <w:p>
      <w:pPr>
        <w:pStyle w:val="TextBody"/>
        <w:spacing w:before="120" w:after="0"/>
        <w:jc w:val="left"/>
        <w:rPr>
          <w:rFonts w:ascii="Times New Roman" w:hAnsi="Times New Roman"/>
          <w:sz w:val="20"/>
        </w:rPr>
      </w:pPr>
      <w:r>
        <w:rPr>
          <w:rFonts w:ascii="Times New Roman" w:hAnsi="Times New Roman"/>
          <w:sz w:val="20"/>
        </w:rPr>
        <w:t xml:space="preserve">operations and are expensed as incurred. During the years ended December 31, 2022, 2021 and 2020, the Company incurred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costs primarily in connection with the development of further expansions to City of Dreams, Studio City and Cyprus Operations. The Company also incurs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costs on other </w:t>
      </w:r>
    </w:p>
    <w:p>
      <w:pPr>
        <w:pStyle w:val="TextBody"/>
        <w:spacing w:before="120" w:after="0"/>
        <w:jc w:val="left"/>
        <w:rPr>
          <w:rFonts w:ascii="Times New Roman" w:hAnsi="Times New Roman"/>
          <w:spacing w:val="0"/>
          <w:sz w:val="20"/>
        </w:rPr>
      </w:pPr>
      <w:r>
        <w:rPr>
          <w:rFonts w:ascii="Times New Roman" w:hAnsi="Times New Roman"/>
          <w:spacing w:val="0"/>
          <w:sz w:val="20"/>
        </w:rPr>
        <w:t>one-off</w:t>
      </w:r>
    </w:p>
    <w:p>
      <w:pPr>
        <w:pStyle w:val="TextBody"/>
        <w:spacing w:before="120" w:after="0"/>
        <w:jc w:val="left"/>
        <w:rPr>
          <w:rFonts w:ascii="Times New Roman" w:hAnsi="Times New Roman"/>
          <w:sz w:val="20"/>
        </w:rPr>
      </w:pPr>
      <w:r>
        <w:rPr>
          <w:rFonts w:ascii="Times New Roman" w:hAnsi="Times New Roman"/>
          <w:sz w:val="20"/>
        </w:rPr>
        <w:t xml:space="preserve">activities related to the marketing of new facilities and operations. </w:t>
      </w:r>
    </w:p>
    <w:p>
      <w:pPr>
        <w:pStyle w:val="TextBody"/>
        <w:spacing w:before="0" w:after="0"/>
        <w:jc w:val="left"/>
        <w:rPr>
          <w:spacing w:val="0"/>
        </w:rPr>
      </w:pPr>
      <w:r>
        <w:rPr>
          <w:spacing w:val="0"/>
        </w:rPr>
        <w:t> </w:t>
      </w:r>
    </w:p>
    <w:tbl>
      <w:tblPr>
        <w:tblW w:w="1915" w:type="dxa"/>
        <w:jc w:val="left"/>
        <w:tblInd w:w="0" w:type="dxa"/>
        <w:tblCellMar>
          <w:top w:w="0" w:type="dxa"/>
          <w:left w:w="0" w:type="dxa"/>
          <w:bottom w:w="0" w:type="dxa"/>
          <w:right w:w="0" w:type="dxa"/>
        </w:tblCellMar>
      </w:tblPr>
      <w:tblGrid>
        <w:gridCol w:w="75"/>
        <w:gridCol w:w="200"/>
        <w:gridCol w:w="1640"/>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w</w:t>
            </w:r>
          </w:p>
          <w:p>
            <w:pPr>
              <w:pStyle w:val="TableContents"/>
              <w:spacing w:before="0" w:after="0"/>
              <w:jc w:val="left"/>
              <w:rPr/>
            </w:pPr>
            <w:r>
              <w:rPr/>
              <w:t>)</w:t>
            </w:r>
          </w:p>
        </w:tc>
        <w:tc>
          <w:tcPr>
            <w:tcW w:w="16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Development Costs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Development costs include the costs associated with the Company’s evaluation and pursuit of new business opportunities, which are expensed as incurred. </w:t>
      </w:r>
    </w:p>
    <w:p>
      <w:pPr>
        <w:pStyle w:val="TextBody"/>
        <w:spacing w:before="0" w:after="0"/>
        <w:jc w:val="left"/>
        <w:rPr>
          <w:spacing w:val="0"/>
        </w:rPr>
      </w:pPr>
      <w:r>
        <w:rPr>
          <w:spacing w:val="0"/>
        </w:rPr>
        <w:t> </w:t>
      </w:r>
    </w:p>
    <w:tbl>
      <w:tblPr>
        <w:tblW w:w="3220" w:type="dxa"/>
        <w:jc w:val="left"/>
        <w:tblInd w:w="0" w:type="dxa"/>
        <w:tblCellMar>
          <w:top w:w="0" w:type="dxa"/>
          <w:left w:w="0" w:type="dxa"/>
          <w:bottom w:w="0" w:type="dxa"/>
          <w:right w:w="0" w:type="dxa"/>
        </w:tblCellMar>
      </w:tblPr>
      <w:tblGrid>
        <w:gridCol w:w="75"/>
        <w:gridCol w:w="140"/>
        <w:gridCol w:w="300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x</w:t>
            </w:r>
          </w:p>
          <w:p>
            <w:pPr>
              <w:pStyle w:val="TableContents"/>
              <w:spacing w:before="0" w:after="0"/>
              <w:jc w:val="left"/>
              <w:rPr/>
            </w:pPr>
            <w:r>
              <w:rPr/>
              <w:t>)</w:t>
            </w:r>
          </w:p>
        </w:tc>
        <w:tc>
          <w:tcPr>
            <w:tcW w:w="30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Advertising and Promotional Costs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expenses advertising and promotional costs the first time the advertising takes place or as incurred. Advertising and promotional costs included in the accompanying consolidated statements of operations were $29,421, $39,811 and $34,061 for the years ended December 31, 2022, 2021 and 2020, respectively. </w:t>
      </w:r>
    </w:p>
    <w:p>
      <w:pPr>
        <w:pStyle w:val="TextBody"/>
        <w:spacing w:before="0" w:after="0"/>
        <w:jc w:val="left"/>
        <w:rPr>
          <w:spacing w:val="0"/>
        </w:rPr>
      </w:pPr>
      <w:r>
        <w:rPr>
          <w:spacing w:val="0"/>
        </w:rPr>
        <w:t> </w:t>
      </w:r>
    </w:p>
    <w:p>
      <w:pPr>
        <w:pStyle w:val="TextBody"/>
        <w:spacing w:before="0" w:after="0"/>
        <w:jc w:val="left"/>
        <w:rPr>
          <w:sz w:val="12"/>
        </w:rPr>
      </w:pPr>
      <w:r>
        <w:rPr>
          <w:sz w:val="12"/>
        </w:rPr>
      </w:r>
    </w:p>
    <w:tbl>
      <w:tblPr>
        <w:tblW w:w="940" w:type="dxa"/>
        <w:jc w:val="left"/>
        <w:tblInd w:w="0" w:type="dxa"/>
        <w:tblCellMar>
          <w:top w:w="0" w:type="dxa"/>
          <w:left w:w="0" w:type="dxa"/>
          <w:bottom w:w="0" w:type="dxa"/>
          <w:right w:w="0" w:type="dxa"/>
        </w:tblCellMar>
      </w:tblPr>
      <w:tblGrid>
        <w:gridCol w:w="75"/>
        <w:gridCol w:w="140"/>
        <w:gridCol w:w="72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p>
            <w:pPr>
              <w:pStyle w:val="TableContents"/>
              <w:spacing w:before="0" w:after="0"/>
              <w:jc w:val="left"/>
              <w:rPr>
                <w:spacing w:val="0"/>
              </w:rPr>
            </w:pPr>
            <w:r>
              <w:rPr>
                <w:spacing w:val="0"/>
              </w:rPr>
              <w:t>y</w:t>
            </w:r>
          </w:p>
          <w:p>
            <w:pPr>
              <w:pStyle w:val="TableContents"/>
              <w:spacing w:before="0" w:after="0"/>
              <w:jc w:val="left"/>
              <w:rPr/>
            </w:pPr>
            <w:r>
              <w:rPr/>
              <w:t>)</w:t>
            </w:r>
          </w:p>
        </w:tc>
        <w:tc>
          <w:tcPr>
            <w:tcW w:w="7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Interest </w:t>
            </w:r>
          </w:p>
          <w:p>
            <w:pPr>
              <w:pStyle w:val="TableContents"/>
              <w:spacing w:before="0" w:after="0"/>
              <w:jc w:val="left"/>
              <w:rPr>
                <w:rFonts w:ascii="Times New Roman" w:hAnsi="Times New Roman"/>
                <w:b/>
                <w:spacing w:val="0"/>
                <w:sz w:val="20"/>
              </w:rPr>
            </w:pPr>
            <w:r>
              <w:rPr>
                <w:rFonts w:ascii="Times New Roman" w:hAnsi="Times New Roman"/>
                <w:b/>
                <w:spacing w:val="0"/>
                <w:sz w:val="20"/>
              </w:rPr>
              <w:t>I</w:t>
            </w:r>
          </w:p>
          <w:p>
            <w:pPr>
              <w:pStyle w:val="TableContents"/>
              <w:spacing w:before="0" w:after="0"/>
              <w:jc w:val="left"/>
              <w:rPr>
                <w:rFonts w:ascii="Times New Roman" w:hAnsi="Times New Roman"/>
                <w:b/>
                <w:spacing w:val="0"/>
                <w:sz w:val="20"/>
              </w:rPr>
            </w:pPr>
            <w:r>
              <w:rPr>
                <w:rFonts w:ascii="Times New Roman" w:hAnsi="Times New Roman"/>
                <w:b/>
                <w:spacing w:val="0"/>
                <w:sz w:val="20"/>
              </w:rPr>
              <w:t>ncome</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Interest income is recorded on an accrual basis at the stated interest rate and is recorded in interest income in the accompanying consolidated statements of operations. </w:t>
      </w:r>
    </w:p>
    <w:p>
      <w:pPr>
        <w:pStyle w:val="TextBody"/>
        <w:spacing w:before="0" w:after="0"/>
        <w:ind w:left="0" w:right="0" w:hanging="0"/>
        <w:jc w:val="left"/>
        <w:rPr>
          <w:spacing w:val="0"/>
        </w:rPr>
      </w:pPr>
      <w:r>
        <w:rPr>
          <w:spacing w:val="0"/>
        </w:rPr>
        <w:t> </w:t>
      </w:r>
    </w:p>
    <w:tbl>
      <w:tblPr>
        <w:tblW w:w="4555" w:type="dxa"/>
        <w:jc w:val="left"/>
        <w:tblInd w:w="0" w:type="dxa"/>
        <w:tblCellMar>
          <w:top w:w="0" w:type="dxa"/>
          <w:left w:w="0" w:type="dxa"/>
          <w:bottom w:w="0" w:type="dxa"/>
          <w:right w:w="0" w:type="dxa"/>
        </w:tblCellMar>
      </w:tblPr>
      <w:tblGrid>
        <w:gridCol w:w="75"/>
        <w:gridCol w:w="275"/>
        <w:gridCol w:w="420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(z)</w:t>
            </w:r>
          </w:p>
        </w:tc>
        <w:tc>
          <w:tcPr>
            <w:tcW w:w="42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Foreign Currency Transactions and Translations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All transactions in currencies other than functional currencies of Melco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accompanying consolidated statements of operations.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functional currency of Melco is the United States dollar (“$” or “US$”) and the functional currency of most of Melco’s foreign subsidiaries is the local currency in which the subsidiary operates. All assets and liabilities are translated at the rates of exchange prevailing at the balance sheet date and all income and expense items are translated at the average rates of exchange over the year. All exchange differences arising from the translation of foreign subsidiaries’ financial statements are recorded as a component of other comprehensive loss.</w:t>
      </w:r>
    </w:p>
    <w:p>
      <w:pPr>
        <w:pStyle w:val="TextBody"/>
        <w:spacing w:before="0" w:after="0"/>
        <w:ind w:left="0" w:right="0" w:hanging="0"/>
        <w:jc w:val="left"/>
        <w:rPr>
          <w:spacing w:val="0"/>
        </w:rPr>
      </w:pPr>
      <w:r>
        <w:rPr>
          <w:spacing w:val="0"/>
        </w:rPr>
        <w:t> </w:t>
      </w:r>
    </w:p>
    <w:tbl>
      <w:tblPr>
        <w:tblW w:w="6228" w:type="dxa"/>
        <w:jc w:val="left"/>
        <w:tblInd w:w="0" w:type="dxa"/>
        <w:tblCellMar>
          <w:top w:w="0" w:type="dxa"/>
          <w:left w:w="0" w:type="dxa"/>
          <w:bottom w:w="0" w:type="dxa"/>
          <w:right w:w="0" w:type="dxa"/>
        </w:tblCellMar>
      </w:tblPr>
      <w:tblGrid>
        <w:gridCol w:w="38"/>
        <w:gridCol w:w="380"/>
        <w:gridCol w:w="5810"/>
      </w:tblGrid>
      <w:tr>
        <w:trPr/>
        <w:tc>
          <w:tcPr>
            <w:tcW w:w="3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0"/>
              <w:jc w:val="left"/>
              <w:rPr>
                <w:spacing w:val="0"/>
              </w:rPr>
            </w:pPr>
            <w:r>
              <w:rPr>
                <w:spacing w:val="0"/>
              </w:rPr>
              <w:t>(aa)</w:t>
            </w:r>
          </w:p>
        </w:tc>
        <w:tc>
          <w:tcPr>
            <w:tcW w:w="58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Comprehensive Loss and Accumulated Other Comprehensive Losses</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Comprehensive loss includes net loss and other </w:t>
      </w:r>
    </w:p>
    <w:p>
      <w:pPr>
        <w:pStyle w:val="TextBody"/>
        <w:spacing w:before="120" w:after="0"/>
        <w:jc w:val="left"/>
        <w:rPr>
          <w:rFonts w:ascii="Times New Roman" w:hAnsi="Times New Roman"/>
          <w:spacing w:val="0"/>
          <w:sz w:val="20"/>
        </w:rPr>
      </w:pPr>
      <w:r>
        <w:rPr>
          <w:rFonts w:ascii="Times New Roman" w:hAnsi="Times New Roman"/>
          <w:spacing w:val="0"/>
          <w:sz w:val="20"/>
        </w:rPr>
        <w:t>non-shareholder</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changes in equity, or other comprehensive loss and is reported in the accompanying consolidated statements of comprehensive loss. </w:t>
      </w:r>
    </w:p>
    <w:p>
      <w:pPr>
        <w:pStyle w:val="TextBody"/>
        <w:spacing w:before="0" w:after="0"/>
        <w:jc w:val="left"/>
        <w:rPr>
          <w:sz w:val="16"/>
        </w:rPr>
      </w:pPr>
      <w:r>
        <w:rPr>
          <w:sz w:val="16"/>
        </w:rPr>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 xml:space="preserve">F-27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6265" w:type="dxa"/>
        <w:jc w:val="left"/>
        <w:tblInd w:w="0" w:type="dxa"/>
        <w:tblCellMar>
          <w:top w:w="0" w:type="dxa"/>
          <w:left w:w="0" w:type="dxa"/>
          <w:bottom w:w="0" w:type="dxa"/>
          <w:right w:w="0" w:type="dxa"/>
        </w:tblCellMar>
      </w:tblPr>
      <w:tblGrid>
        <w:gridCol w:w="75"/>
        <w:gridCol w:w="380"/>
        <w:gridCol w:w="5810"/>
      </w:tblGrid>
      <w:tr>
        <w:trPr/>
        <w:tc>
          <w:tcPr>
            <w:tcW w:w="75" w:type="dxa"/>
            <w:tcBorders/>
            <w:shd w:fill="auto" w:val="clear"/>
            <w:vAlign w:val="center"/>
          </w:tcPr>
          <w:p>
            <w:pPr>
              <w:pStyle w:val="TableContents"/>
              <w:spacing w:before="0" w:after="0"/>
              <w:rPr>
                <w:spacing w:val="0"/>
              </w:rPr>
            </w:pPr>
            <w:r>
              <w:rPr>
                <w:spacing w:val="0"/>
              </w:rPr>
              <w:t> </w:t>
            </w:r>
          </w:p>
        </w:tc>
        <w:tc>
          <w:tcPr>
            <w:tcW w:w="380" w:type="dxa"/>
            <w:tcBorders/>
            <w:shd w:fill="auto" w:val="clear"/>
            <w:vAlign w:val="center"/>
          </w:tcPr>
          <w:p>
            <w:pPr>
              <w:pStyle w:val="TableContents"/>
              <w:spacing w:before="0" w:after="0"/>
              <w:jc w:val="left"/>
              <w:rPr>
                <w:spacing w:val="0"/>
              </w:rPr>
            </w:pPr>
            <w:r>
              <w:rPr>
                <w:spacing w:val="0"/>
              </w:rPr>
              <w:t>(aa)</w:t>
            </w:r>
          </w:p>
        </w:tc>
        <w:tc>
          <w:tcPr>
            <w:tcW w:w="58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Comprehensive Loss and Accumulated Other Comprehensive Losses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As of December 31, 2022 and 2021, the Company’s accumulated other comprehensive losses consisted solely of foreign currency translation adjustments, net of tax and noncontrolling interests. </w:t>
      </w:r>
    </w:p>
    <w:p>
      <w:pPr>
        <w:pStyle w:val="TextBody"/>
        <w:spacing w:before="0" w:after="0"/>
        <w:jc w:val="left"/>
        <w:rPr>
          <w:spacing w:val="0"/>
        </w:rPr>
      </w:pPr>
      <w:r>
        <w:rPr>
          <w:spacing w:val="0"/>
        </w:rPr>
        <w:t> </w:t>
      </w:r>
    </w:p>
    <w:tbl>
      <w:tblPr>
        <w:tblW w:w="3670" w:type="dxa"/>
        <w:jc w:val="left"/>
        <w:tblInd w:w="0" w:type="dxa"/>
        <w:tblCellMar>
          <w:top w:w="0" w:type="dxa"/>
          <w:left w:w="0" w:type="dxa"/>
          <w:bottom w:w="0" w:type="dxa"/>
          <w:right w:w="0" w:type="dxa"/>
        </w:tblCellMar>
      </w:tblPr>
      <w:tblGrid>
        <w:gridCol w:w="75"/>
        <w:gridCol w:w="395"/>
        <w:gridCol w:w="3200"/>
      </w:tblGrid>
      <w:tr>
        <w:trPr/>
        <w:tc>
          <w:tcPr>
            <w:tcW w:w="7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left"/>
              <w:rPr/>
            </w:pPr>
            <w:r>
              <w:rPr/>
              <w:t>(ab)</w:t>
            </w:r>
          </w:p>
        </w:tc>
        <w:tc>
          <w:tcPr>
            <w:tcW w:w="320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Share-based Compensation Expenses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measures the cost of employee services received in exchange for an award of equity instruments based on the grant date fair value of the award and recognizes that cost over the service period. Compensation is attributed to the periods of associated service and such expense is recognized over the vesting period of the awards on a straight-line basis. Forfeitures are recognized when they occur.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Further information on the Company’s share-based compensation arrangements is included in Note 18. </w:t>
      </w:r>
    </w:p>
    <w:p>
      <w:pPr>
        <w:pStyle w:val="TextBody"/>
        <w:spacing w:before="0" w:after="0"/>
        <w:jc w:val="left"/>
        <w:rPr>
          <w:spacing w:val="0"/>
        </w:rPr>
      </w:pPr>
      <w:r>
        <w:rPr>
          <w:spacing w:val="0"/>
        </w:rPr>
        <w:t> </w:t>
      </w:r>
    </w:p>
    <w:tbl>
      <w:tblPr>
        <w:tblW w:w="1473" w:type="dxa"/>
        <w:jc w:val="left"/>
        <w:tblInd w:w="0" w:type="dxa"/>
        <w:tblCellMar>
          <w:top w:w="0" w:type="dxa"/>
          <w:left w:w="0" w:type="dxa"/>
          <w:bottom w:w="0" w:type="dxa"/>
          <w:right w:w="0" w:type="dxa"/>
        </w:tblCellMar>
      </w:tblPr>
      <w:tblGrid>
        <w:gridCol w:w="38"/>
        <w:gridCol w:w="380"/>
        <w:gridCol w:w="1055"/>
      </w:tblGrid>
      <w:tr>
        <w:trPr/>
        <w:tc>
          <w:tcPr>
            <w:tcW w:w="3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0"/>
              <w:jc w:val="left"/>
              <w:rPr>
                <w:spacing w:val="0"/>
              </w:rPr>
            </w:pPr>
            <w:r>
              <w:rPr>
                <w:spacing w:val="0"/>
              </w:rPr>
              <w:t>(ac)</w:t>
            </w:r>
          </w:p>
        </w:tc>
        <w:tc>
          <w:tcPr>
            <w:tcW w:w="10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is subject to income taxes in Macau, Hong Kong, the Philippines, Cyprus and other jurisdictions where it operates.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Deferred income taxes are recognized for all significant temporary differences between the tax basis of assets and liabilities and their reported amounts in the accompanying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Company’s income tax returns are subject to examination by tax authorities in the jurisdictions where it operates. The Company assesses potentially unfavorable outcomes of such examinations based on accounting standards for uncertain income taxes. These accounting standards utilize a </w:t>
      </w:r>
    </w:p>
    <w:p>
      <w:pPr>
        <w:pStyle w:val="TextBody"/>
        <w:spacing w:before="120" w:after="0"/>
        <w:jc w:val="left"/>
        <w:rPr>
          <w:rFonts w:ascii="Times New Roman" w:hAnsi="Times New Roman"/>
          <w:spacing w:val="0"/>
          <w:sz w:val="20"/>
        </w:rPr>
      </w:pPr>
      <w:r>
        <w:rPr>
          <w:rFonts w:ascii="Times New Roman" w:hAnsi="Times New Roman"/>
          <w:spacing w:val="0"/>
          <w:sz w:val="20"/>
        </w:rPr>
        <w:t>two-step</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approach to recognizing and measuring uncertain tax positions. The first step is to evaluate the tax position for recognition by determining if the weight of available evidence indicates it is more likely than not that the position, based on the technical merits of the position, will be sustained on audit, including resolution of related appeals or litigation processes, if any. The second step is to measure the tax benefit as the largest amount which is more than 50% likely, based on cumulative probability. </w:t>
      </w:r>
    </w:p>
    <w:p>
      <w:pPr>
        <w:pStyle w:val="TextBody"/>
        <w:spacing w:before="0" w:after="0"/>
        <w:ind w:left="0" w:right="0" w:hanging="0"/>
        <w:jc w:val="left"/>
        <w:rPr>
          <w:spacing w:val="0"/>
        </w:rPr>
      </w:pPr>
      <w:r>
        <w:rPr>
          <w:spacing w:val="0"/>
        </w:rPr>
        <w:t> </w:t>
      </w:r>
    </w:p>
    <w:tbl>
      <w:tblPr>
        <w:tblW w:w="3760" w:type="dxa"/>
        <w:jc w:val="left"/>
        <w:tblInd w:w="0" w:type="dxa"/>
        <w:tblCellMar>
          <w:top w:w="0" w:type="dxa"/>
          <w:left w:w="0" w:type="dxa"/>
          <w:bottom w:w="0" w:type="dxa"/>
          <w:right w:w="0" w:type="dxa"/>
        </w:tblCellMar>
      </w:tblPr>
      <w:tblGrid>
        <w:gridCol w:w="75"/>
        <w:gridCol w:w="395"/>
        <w:gridCol w:w="3290"/>
      </w:tblGrid>
      <w:tr>
        <w:trPr/>
        <w:tc>
          <w:tcPr>
            <w:tcW w:w="7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0"/>
              <w:jc w:val="left"/>
              <w:rPr>
                <w:spacing w:val="0"/>
              </w:rPr>
            </w:pPr>
            <w:r>
              <w:rPr>
                <w:spacing w:val="0"/>
              </w:rPr>
              <w:t>(ad)</w:t>
            </w:r>
          </w:p>
        </w:tc>
        <w:tc>
          <w:tcPr>
            <w:tcW w:w="32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Net Loss Attributable to Melco Resorts</w:t>
            </w:r>
          </w:p>
          <w:p>
            <w:pPr>
              <w:pStyle w:val="TableContents"/>
              <w:spacing w:before="0" w:after="0"/>
              <w:jc w:val="left"/>
              <w:rPr>
                <w:spacing w:val="0"/>
              </w:rPr>
            </w:pPr>
            <w:r>
              <w:rPr>
                <w:spacing w:val="0"/>
              </w:rPr>
              <w:t> </w:t>
            </w:r>
            <w:r>
              <w:rPr>
                <w:rFonts w:ascii="Times New Roman" w:hAnsi="Times New Roman"/>
                <w:b/>
                <w:spacing w:val="0"/>
                <w:sz w:val="20"/>
              </w:rPr>
              <w:t xml:space="preserve">&amp; Entertainment Limited Per Share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Basic net loss attributable to Melco Resorts &amp; Entertainment Limited per share is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calculated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by dividing the net loss attributable to Melco Resorts &amp; Entertainment Limited by the weighted average number of ordinary shares outstanding during the year. </w:t>
      </w:r>
    </w:p>
    <w:p>
      <w:pPr>
        <w:pStyle w:val="TextBody"/>
        <w:spacing w:before="0" w:after="0"/>
        <w:ind w:left="0" w:right="0" w:hanging="0"/>
        <w:jc w:val="left"/>
        <w:rPr>
          <w:sz w:val="16"/>
        </w:rPr>
      </w:pPr>
      <w:r>
        <w:rPr>
          <w:sz w:val="16"/>
        </w:rPr>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F-2</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230" w:type="dxa"/>
        <w:jc w:val="left"/>
        <w:tblInd w:w="0" w:type="dxa"/>
        <w:tblCellMar>
          <w:top w:w="0" w:type="dxa"/>
          <w:left w:w="0" w:type="dxa"/>
          <w:bottom w:w="0" w:type="dxa"/>
          <w:right w:w="0" w:type="dxa"/>
        </w:tblCellMar>
      </w:tblPr>
      <w:tblGrid>
        <w:gridCol w:w="215"/>
        <w:gridCol w:w="5015"/>
      </w:tblGrid>
      <w:tr>
        <w:trPr/>
        <w:tc>
          <w:tcPr>
            <w:tcW w:w="215" w:type="dxa"/>
            <w:tcBorders/>
            <w:shd w:fill="auto" w:val="clear"/>
            <w:vAlign w:val="center"/>
          </w:tcPr>
          <w:p>
            <w:pPr>
              <w:pStyle w:val="TableContents"/>
              <w:spacing w:before="0" w:after="0"/>
              <w:jc w:val="left"/>
              <w:rPr>
                <w:b/>
                <w:spacing w:val="0"/>
              </w:rPr>
            </w:pPr>
            <w:r>
              <w:rPr>
                <w:b/>
                <w:spacing w:val="0"/>
              </w:rPr>
              <w:t>2.</w:t>
            </w:r>
          </w:p>
        </w:tc>
        <w:tc>
          <w:tcPr>
            <w:tcW w:w="50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SUMMARY OF SIGNIFICANT ACCOUNTING POLICIES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3760" w:type="dxa"/>
        <w:jc w:val="left"/>
        <w:tblInd w:w="0" w:type="dxa"/>
        <w:tblCellMar>
          <w:top w:w="0" w:type="dxa"/>
          <w:left w:w="0" w:type="dxa"/>
          <w:bottom w:w="0" w:type="dxa"/>
          <w:right w:w="0" w:type="dxa"/>
        </w:tblCellMar>
      </w:tblPr>
      <w:tblGrid>
        <w:gridCol w:w="75"/>
        <w:gridCol w:w="395"/>
        <w:gridCol w:w="3290"/>
      </w:tblGrid>
      <w:tr>
        <w:trPr/>
        <w:tc>
          <w:tcPr>
            <w:tcW w:w="7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left"/>
              <w:rPr/>
            </w:pPr>
            <w:r>
              <w:rPr/>
              <w:t>(ad)</w:t>
            </w:r>
          </w:p>
        </w:tc>
        <w:tc>
          <w:tcPr>
            <w:tcW w:w="32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Net Loss Attributable to Melco Resorts</w:t>
            </w:r>
          </w:p>
          <w:p>
            <w:pPr>
              <w:pStyle w:val="TableContents"/>
              <w:spacing w:before="0" w:after="0"/>
              <w:jc w:val="left"/>
              <w:rPr>
                <w:spacing w:val="0"/>
              </w:rPr>
            </w:pPr>
            <w:r>
              <w:rPr>
                <w:spacing w:val="0"/>
              </w:rPr>
              <w:t> </w:t>
            </w:r>
            <w:r>
              <w:rPr>
                <w:rFonts w:ascii="Times New Roman" w:hAnsi="Times New Roman"/>
                <w:b/>
                <w:spacing w:val="0"/>
                <w:sz w:val="20"/>
              </w:rPr>
              <w:t>&amp; Entertainment Limited Per Share</w:t>
            </w:r>
          </w:p>
          <w:p>
            <w:pPr>
              <w:pStyle w:val="TableContents"/>
              <w:spacing w:before="0" w:after="0"/>
              <w:jc w:val="left"/>
              <w:rPr/>
            </w:pPr>
            <w:r>
              <w:rPr/>
              <w:t> </w:t>
            </w:r>
            <w:r>
              <w:rPr>
                <w:rFonts w:ascii="Times New Roman" w:hAnsi="Times New Roman"/>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Diluted net loss attributable to Melco Resorts &amp; Entertainment Limited per share is calculated by dividing the net loss attributable to Melco Resorts &amp; Entertainment Limited by the weighted average number of ordinary shares outstanding during the year adjusted to include the potentially dilutive effect of outstanding share-based awards.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weighted average number of ordinary and ordinary equivalent shares used in the calculation of basic and diluted net loss attributable to Melco Resorts &amp; Entertainment Limited per share consisted of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270"/>
        <w:gridCol w:w="120"/>
        <w:gridCol w:w="60"/>
        <w:gridCol w:w="1400"/>
        <w:gridCol w:w="60"/>
        <w:gridCol w:w="120"/>
        <w:gridCol w:w="60"/>
        <w:gridCol w:w="1400"/>
        <w:gridCol w:w="60"/>
        <w:gridCol w:w="120"/>
        <w:gridCol w:w="60"/>
        <w:gridCol w:w="1400"/>
        <w:gridCol w:w="75"/>
      </w:tblGrid>
      <w:tr>
        <w:trPr/>
        <w:tc>
          <w:tcPr>
            <w:tcW w:w="52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74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75" w:type="dxa"/>
            <w:tcBorders/>
            <w:shd w:fill="auto"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t>2022        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5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number of ordinary shares outstanding used in the calculation of basic net loss attributable to Melco Resorts &amp; Entertainment Limited per share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1,391,154,836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1,434,087,641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1,432,052,735</w:t>
            </w:r>
          </w:p>
        </w:tc>
        <w:tc>
          <w:tcPr>
            <w:tcW w:w="75" w:type="dxa"/>
            <w:tcBorders/>
            <w:shd w:fill="CCEEFF"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640" w:type="dxa"/>
            <w:gridSpan w:val="4"/>
            <w:tcBorders/>
            <w:shd w:fill="auto" w:val="clear"/>
            <w:vAlign w:val="center"/>
          </w:tcPr>
          <w:p>
            <w:pPr>
              <w:pStyle w:val="TableContents"/>
              <w:spacing w:before="0" w:after="283"/>
              <w:rPr/>
            </w:pPr>
            <w:r>
              <w:rPr/>
              <w:t> </w:t>
            </w:r>
          </w:p>
        </w:tc>
        <w:tc>
          <w:tcPr>
            <w:tcW w:w="1640" w:type="dxa"/>
            <w:gridSpan w:val="4"/>
            <w:tcBorders/>
            <w:shd w:fill="auto" w:val="clear"/>
            <w:vAlign w:val="center"/>
          </w:tcPr>
          <w:p>
            <w:pPr>
              <w:pStyle w:val="TableContents"/>
              <w:spacing w:before="0" w:after="283"/>
              <w:rPr/>
            </w:pPr>
            <w:r>
              <w:rPr/>
              <w:t> </w:t>
            </w:r>
          </w:p>
        </w:tc>
        <w:tc>
          <w:tcPr>
            <w:tcW w:w="1655" w:type="dxa"/>
            <w:gridSpan w:val="4"/>
            <w:tcBorders/>
            <w:shd w:fill="auto"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Incremental weighted average number of ordinary shares from assumed vesting of restricted shares and exercise of share options using the treasury stock method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52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number of ordinary shares outstanding used in the calculation of diluted net loss attributable to Melco Resorts &amp; Entertainment Limited per share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1,391,154,836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1,434,087,641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0" w:type="dxa"/>
            <w:tcBorders/>
            <w:shd w:fill="CCEEFF" w:val="clear"/>
            <w:vAlign w:val="center"/>
          </w:tcPr>
          <w:p>
            <w:pPr>
              <w:pStyle w:val="TableContents"/>
              <w:spacing w:before="0" w:after="283"/>
              <w:jc w:val="right"/>
              <w:rPr/>
            </w:pPr>
            <w:r>
              <w:rPr/>
              <w:t>1,432,052,735</w:t>
            </w:r>
          </w:p>
        </w:tc>
        <w:tc>
          <w:tcPr>
            <w:tcW w:w="75" w:type="dxa"/>
            <w:tcBorders/>
            <w:shd w:fill="CCEEFF"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Anti-dilutive share options and restricted shares excluded from the calculation of diluted net loss attributable to Melco Resorts &amp; Entertainment Limited per share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44,366,752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46,532,956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right"/>
              <w:rPr/>
            </w:pPr>
            <w:r>
              <w:rPr/>
              <w:t>40,618,693</w:t>
            </w:r>
          </w:p>
        </w:tc>
        <w:tc>
          <w:tcPr>
            <w:tcW w:w="75" w:type="dxa"/>
            <w:tcBorders/>
            <w:shd w:fill="auto" w:val="clear"/>
            <w:vAlign w:val="center"/>
          </w:tcPr>
          <w:p>
            <w:pPr>
              <w:pStyle w:val="TableContents"/>
              <w:spacing w:before="0" w:after="283"/>
              <w:rPr/>
            </w:pPr>
            <w:r>
              <w:rPr/>
              <w:t> </w:t>
            </w:r>
          </w:p>
        </w:tc>
      </w:tr>
      <w:tr>
        <w:trPr/>
        <w:tc>
          <w:tcPr>
            <w:tcW w:w="52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3985" w:type="dxa"/>
        <w:jc w:val="left"/>
        <w:tblInd w:w="0" w:type="dxa"/>
        <w:tblCellMar>
          <w:top w:w="0" w:type="dxa"/>
          <w:left w:w="0" w:type="dxa"/>
          <w:bottom w:w="0" w:type="dxa"/>
          <w:right w:w="0" w:type="dxa"/>
        </w:tblCellMar>
      </w:tblPr>
      <w:tblGrid>
        <w:gridCol w:w="75"/>
        <w:gridCol w:w="380"/>
        <w:gridCol w:w="3530"/>
      </w:tblGrid>
      <w:tr>
        <w:trPr/>
        <w:tc>
          <w:tcPr>
            <w:tcW w:w="75"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jc w:val="left"/>
              <w:rPr/>
            </w:pPr>
            <w:r>
              <w:rPr/>
              <w:t>(ae)</w:t>
            </w:r>
          </w:p>
        </w:tc>
        <w:tc>
          <w:tcPr>
            <w:tcW w:w="35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Recent Changes in Accounting Standards </w:t>
            </w:r>
          </w:p>
        </w:tc>
      </w:tr>
    </w:tbl>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Recent Accounting Pronouncement Not Yet Adopted</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has evaluated the recently issued, but not yet effective, accounting pronouncements that have been issued or proposed by the Financial Accounting Standards Board or other standards-setting bodies through the filing date of these financial statements, and anticipated the future adoption of these pronouncements will not have a material effect on the Company’s financial position, </w:t>
      </w:r>
    </w:p>
    <w:p>
      <w:pPr>
        <w:pStyle w:val="TextBody"/>
        <w:spacing w:before="120" w:after="0"/>
        <w:jc w:val="left"/>
        <w:rPr>
          <w:rFonts w:ascii="Times New Roman" w:hAnsi="Times New Roman"/>
          <w:spacing w:val="0"/>
          <w:sz w:val="20"/>
        </w:rPr>
      </w:pPr>
      <w:r>
        <w:rPr>
          <w:rFonts w:ascii="Times New Roman" w:hAnsi="Times New Roman"/>
          <w:spacing w:val="0"/>
          <w:sz w:val="20"/>
        </w:rPr>
        <w:t>results</w:t>
      </w:r>
    </w:p>
    <w:p>
      <w:pPr>
        <w:pStyle w:val="TextBody"/>
        <w:spacing w:before="120" w:after="0"/>
        <w:jc w:val="left"/>
        <w:rPr>
          <w:rFonts w:ascii="Times New Roman" w:hAnsi="Times New Roman"/>
          <w:spacing w:val="0"/>
          <w:sz w:val="20"/>
        </w:rPr>
      </w:pPr>
      <w:r>
        <w:rPr>
          <w:rFonts w:ascii="Times New Roman" w:hAnsi="Times New Roman"/>
          <w:spacing w:val="0"/>
          <w:sz w:val="20"/>
        </w:rPr>
        <w:t>of operations and cash flows.</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29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5215" w:type="dxa"/>
        <w:jc w:val="left"/>
        <w:tblInd w:w="0" w:type="dxa"/>
        <w:tblCellMar>
          <w:top w:w="0" w:type="dxa"/>
          <w:left w:w="0" w:type="dxa"/>
          <w:bottom w:w="0" w:type="dxa"/>
          <w:right w:w="0" w:type="dxa"/>
        </w:tblCellMar>
      </w:tblPr>
      <w:tblGrid>
        <w:gridCol w:w="215"/>
        <w:gridCol w:w="5000"/>
      </w:tblGrid>
      <w:tr>
        <w:trPr/>
        <w:tc>
          <w:tcPr>
            <w:tcW w:w="215" w:type="dxa"/>
            <w:tcBorders/>
            <w:shd w:fill="auto" w:val="clear"/>
            <w:vAlign w:val="center"/>
          </w:tcPr>
          <w:p>
            <w:pPr>
              <w:pStyle w:val="TableContents"/>
              <w:spacing w:before="0" w:after="0"/>
              <w:jc w:val="left"/>
              <w:rPr>
                <w:b/>
                <w:spacing w:val="0"/>
              </w:rPr>
            </w:pPr>
            <w:r>
              <w:rPr>
                <w:b/>
                <w:spacing w:val="0"/>
              </w:rPr>
              <w:t>3.</w:t>
            </w:r>
          </w:p>
        </w:tc>
        <w:tc>
          <w:tcPr>
            <w:tcW w:w="50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CASH, CASH EQUIVALENTS AND RESTRICTED CASH </w:t>
            </w:r>
          </w:p>
        </w:tc>
      </w:tr>
    </w:tbl>
    <w:p>
      <w:pPr>
        <w:pStyle w:val="TextBody"/>
        <w:spacing w:before="120" w:after="0"/>
        <w:jc w:val="left"/>
        <w:rPr>
          <w:rFonts w:ascii="Times New Roman" w:hAnsi="Times New Roman"/>
          <w:spacing w:val="0"/>
          <w:sz w:val="20"/>
        </w:rPr>
      </w:pPr>
      <w:r>
        <w:rPr>
          <w:rFonts w:ascii="Times New Roman" w:hAnsi="Times New Roman"/>
          <w:spacing w:val="0"/>
          <w:sz w:val="20"/>
        </w:rPr>
        <w:t>Cash, cash equivalents and restricted cash reported within the accompanying consolidated statements of cash flows consisted of the following:</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tbl>
      <w:tblPr>
        <w:tblW w:w="6595" w:type="dxa"/>
        <w:jc w:val="left"/>
        <w:tblInd w:w="0" w:type="dxa"/>
        <w:tblCellMar>
          <w:top w:w="0" w:type="dxa"/>
          <w:left w:w="0" w:type="dxa"/>
          <w:bottom w:w="0" w:type="dxa"/>
          <w:right w:w="0" w:type="dxa"/>
        </w:tblCellMar>
      </w:tblPr>
      <w:tblGrid>
        <w:gridCol w:w="3860"/>
        <w:gridCol w:w="120"/>
        <w:gridCol w:w="140"/>
        <w:gridCol w:w="1100"/>
        <w:gridCol w:w="60"/>
        <w:gridCol w:w="120"/>
        <w:gridCol w:w="140"/>
        <w:gridCol w:w="980"/>
        <w:gridCol w:w="75"/>
      </w:tblGrid>
      <w:tr>
        <w:trPr/>
        <w:tc>
          <w:tcPr>
            <w:tcW w:w="38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8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386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1100" w:type="dxa"/>
            <w:tcBorders/>
            <w:shd w:fill="CCEEFF" w:val="clear"/>
            <w:vAlign w:val="center"/>
          </w:tcPr>
          <w:p>
            <w:pPr>
              <w:pStyle w:val="TableContents"/>
              <w:spacing w:before="0" w:after="0"/>
              <w:jc w:val="right"/>
              <w:rPr>
                <w:spacing w:val="0"/>
              </w:rPr>
            </w:pPr>
            <w:r>
              <w:rPr>
                <w:spacing w:val="0"/>
              </w:rPr>
              <w:t>1,179,491</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980" w:type="dxa"/>
            <w:tcBorders/>
            <w:shd w:fill="CCEEFF" w:val="clear"/>
            <w:vAlign w:val="center"/>
          </w:tcPr>
          <w:p>
            <w:pPr>
              <w:pStyle w:val="TableContents"/>
              <w:spacing w:before="0" w:after="0"/>
              <w:jc w:val="right"/>
              <w:rPr>
                <w:spacing w:val="0"/>
              </w:rPr>
            </w:pPr>
            <w:r>
              <w:rPr>
                <w:spacing w:val="0"/>
              </w:rPr>
              <w:t>657,013</w:t>
            </w:r>
          </w:p>
        </w:tc>
        <w:tc>
          <w:tcPr>
            <w:tcW w:w="75" w:type="dxa"/>
            <w:tcBorders/>
            <w:shd w:fill="CCEEFF" w:val="clear"/>
            <w:vAlign w:val="center"/>
          </w:tcPr>
          <w:p>
            <w:pPr>
              <w:pStyle w:val="TableContents"/>
              <w:spacing w:before="0" w:after="0"/>
              <w:rPr>
                <w:spacing w:val="0"/>
              </w:rPr>
            </w:pPr>
            <w:r>
              <w:rPr>
                <w:spacing w:val="0"/>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w:t>
            </w:r>
          </w:p>
          <w:p>
            <w:pPr>
              <w:pStyle w:val="TableContents"/>
              <w:spacing w:before="0" w:after="0"/>
              <w:rPr>
                <w:rFonts w:ascii="Times New Roman" w:hAnsi="Times New Roman"/>
                <w:sz w:val="20"/>
              </w:rPr>
            </w:pPr>
            <w:r>
              <w:rPr>
                <w:rFonts w:ascii="Times New Roman" w:hAnsi="Times New Roman"/>
                <w:sz w:val="20"/>
              </w:rPr>
              <w:t>ash equivalents</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bottom w:val="single" w:sz="6" w:space="0" w:color="000000"/>
            </w:tcBorders>
            <w:shd w:fill="auto" w:val="clear"/>
            <w:tcMar>
              <w:bottom w:w="28" w:type="dxa"/>
            </w:tcMar>
            <w:vAlign w:val="center"/>
          </w:tcPr>
          <w:p>
            <w:pPr>
              <w:pStyle w:val="TableContents"/>
              <w:spacing w:before="0" w:after="0"/>
              <w:rPr>
                <w:spacing w:val="0"/>
              </w:rPr>
            </w:pPr>
            <w:r>
              <w:rPr>
                <w:spacing w:val="0"/>
              </w:rPr>
              <w:t> </w:t>
            </w:r>
          </w:p>
        </w:tc>
        <w:tc>
          <w:tcPr>
            <w:tcW w:w="1100" w:type="dxa"/>
            <w:tcBorders>
              <w:bottom w:val="single" w:sz="6" w:space="0" w:color="000000"/>
            </w:tcBorders>
            <w:shd w:fill="auto" w:val="clear"/>
            <w:tcMar>
              <w:bottom w:w="28" w:type="dxa"/>
            </w:tcMar>
            <w:vAlign w:val="center"/>
          </w:tcPr>
          <w:p>
            <w:pPr>
              <w:pStyle w:val="TableContents"/>
              <w:spacing w:before="0" w:after="0"/>
              <w:jc w:val="right"/>
              <w:rPr>
                <w:spacing w:val="0"/>
              </w:rPr>
            </w:pPr>
            <w:r>
              <w:rPr>
                <w:spacing w:val="0"/>
              </w:rPr>
              <w:t>633,238</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bottom w:val="single" w:sz="6" w:space="0" w:color="000000"/>
            </w:tcBorders>
            <w:shd w:fill="auto" w:val="clear"/>
            <w:tcMar>
              <w:bottom w:w="28" w:type="dxa"/>
            </w:tcMar>
            <w:vAlign w:val="center"/>
          </w:tcPr>
          <w:p>
            <w:pPr>
              <w:pStyle w:val="TableContents"/>
              <w:spacing w:before="0" w:after="0"/>
              <w:rPr>
                <w:spacing w:val="0"/>
              </w:rPr>
            </w:pPr>
            <w:r>
              <w:rPr>
                <w:spacing w:val="0"/>
              </w:rPr>
              <w:t> </w:t>
            </w:r>
          </w:p>
        </w:tc>
        <w:tc>
          <w:tcPr>
            <w:tcW w:w="980" w:type="dxa"/>
            <w:tcBorders>
              <w:bottom w:val="single" w:sz="6" w:space="0" w:color="000000"/>
            </w:tcBorders>
            <w:shd w:fill="auto" w:val="clear"/>
            <w:tcMar>
              <w:bottom w:w="28" w:type="dxa"/>
            </w:tcMar>
            <w:vAlign w:val="center"/>
          </w:tcPr>
          <w:p>
            <w:pPr>
              <w:pStyle w:val="TableContents"/>
              <w:spacing w:before="0" w:after="0"/>
              <w:jc w:val="right"/>
              <w:rPr>
                <w:spacing w:val="0"/>
              </w:rPr>
            </w:pPr>
            <w:r>
              <w:rPr>
                <w:spacing w:val="0"/>
              </w:rPr>
              <w:t>995,877</w:t>
            </w:r>
          </w:p>
        </w:tc>
        <w:tc>
          <w:tcPr>
            <w:tcW w:w="75" w:type="dxa"/>
            <w:tcBorders/>
            <w:shd w:fill="auto" w:val="clear"/>
            <w:vAlign w:val="center"/>
          </w:tcPr>
          <w:p>
            <w:pPr>
              <w:pStyle w:val="TableContents"/>
              <w:spacing w:before="0" w:after="0"/>
              <w:rPr>
                <w:spacing w:val="0"/>
              </w:rPr>
            </w:pPr>
            <w:r>
              <w:rPr>
                <w:spacing w:val="0"/>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Total </w:t>
            </w:r>
          </w:p>
          <w:p>
            <w:pPr>
              <w:pStyle w:val="TableContents"/>
              <w:spacing w:before="0" w:after="0"/>
              <w:rPr>
                <w:rFonts w:ascii="Times New Roman" w:hAnsi="Times New Roman"/>
                <w:spacing w:val="0"/>
                <w:sz w:val="20"/>
              </w:rPr>
            </w:pPr>
            <w:r>
              <w:rPr>
                <w:rFonts w:ascii="Times New Roman" w:hAnsi="Times New Roman"/>
                <w:spacing w:val="0"/>
                <w:sz w:val="20"/>
              </w:rPr>
              <w:t>c</w:t>
            </w:r>
          </w:p>
          <w:p>
            <w:pPr>
              <w:pStyle w:val="TableContents"/>
              <w:spacing w:before="0" w:after="0"/>
              <w:rPr>
                <w:rFonts w:ascii="Times New Roman" w:hAnsi="Times New Roman"/>
                <w:spacing w:val="0"/>
                <w:sz w:val="20"/>
              </w:rPr>
            </w:pPr>
            <w:r>
              <w:rPr>
                <w:rFonts w:ascii="Times New Roman" w:hAnsi="Times New Roman"/>
                <w:spacing w:val="0"/>
                <w:sz w:val="20"/>
              </w:rPr>
              <w:t>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1,812,729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1,652,890</w:t>
            </w:r>
          </w:p>
        </w:tc>
        <w:tc>
          <w:tcPr>
            <w:tcW w:w="75"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restricted cash</w:t>
            </w:r>
          </w:p>
          <w:p>
            <w:pPr>
              <w:pStyle w:val="TableContents"/>
              <w:spacing w:before="0" w:after="0"/>
              <w:rPr>
                <w:rFonts w:ascii="Times New Roman" w:hAnsi="Times New Roman"/>
                <w:spacing w:val="0"/>
                <w:sz w:val="12"/>
              </w:rPr>
            </w:pPr>
            <w:r>
              <w:rPr>
                <w:rFonts w:ascii="Times New Roman" w:hAnsi="Times New Roman"/>
                <w:spacing w:val="0"/>
                <w:sz w:val="12"/>
              </w:rPr>
              <w:t>(1)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50,992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285</w:t>
            </w:r>
          </w:p>
        </w:tc>
        <w:tc>
          <w:tcPr>
            <w:tcW w:w="75" w:type="dxa"/>
            <w:tcBorders/>
            <w:shd w:fill="auto" w:val="clear"/>
            <w:vAlign w:val="center"/>
          </w:tcPr>
          <w:p>
            <w:pPr>
              <w:pStyle w:val="TableContents"/>
              <w:spacing w:before="0" w:after="283"/>
              <w:rPr/>
            </w:pPr>
            <w:r>
              <w:rPr/>
              <w:t> </w:t>
            </w:r>
          </w:p>
        </w:tc>
      </w:tr>
      <w:tr>
        <w:trPr/>
        <w:tc>
          <w:tcPr>
            <w:tcW w:w="38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pacing w:val="0"/>
                <w:sz w:val="20"/>
              </w:rPr>
            </w:pPr>
            <w:r>
              <w:rPr>
                <w:rFonts w:ascii="Times New Roman" w:hAnsi="Times New Roman"/>
                <w:spacing w:val="0"/>
                <w:sz w:val="20"/>
              </w:rPr>
              <w:t>portion of restricted cash</w:t>
            </w:r>
          </w:p>
          <w:p>
            <w:pPr>
              <w:pStyle w:val="TableContents"/>
              <w:spacing w:before="0" w:after="0"/>
              <w:rPr>
                <w:rFonts w:ascii="Times New Roman" w:hAnsi="Times New Roman"/>
                <w:spacing w:val="0"/>
                <w:sz w:val="12"/>
              </w:rPr>
            </w:pPr>
            <w:r>
              <w:rPr>
                <w:rFonts w:ascii="Times New Roman" w:hAnsi="Times New Roman"/>
                <w:spacing w:val="0"/>
                <w:sz w:val="12"/>
              </w:rPr>
              <w:t>(</w:t>
            </w:r>
          </w:p>
          <w:p>
            <w:pPr>
              <w:pStyle w:val="TableContents"/>
              <w:spacing w:before="0" w:after="0"/>
              <w:rPr>
                <w:rFonts w:ascii="Times New Roman" w:hAnsi="Times New Roman"/>
                <w:spacing w:val="0"/>
                <w:sz w:val="12"/>
              </w:rPr>
            </w:pPr>
            <w:r>
              <w:rPr>
                <w:rFonts w:ascii="Times New Roman" w:hAnsi="Times New Roman"/>
                <w:spacing w:val="0"/>
                <w:sz w:val="12"/>
              </w:rPr>
              <w:t>2</w:t>
            </w:r>
          </w:p>
          <w:p>
            <w:pPr>
              <w:pStyle w:val="TableContents"/>
              <w:spacing w:before="0" w:after="0"/>
              <w:rPr>
                <w:rFonts w:ascii="Times New Roman" w:hAnsi="Times New Roman"/>
                <w:spacing w:val="0"/>
                <w:sz w:val="12"/>
              </w:rPr>
            </w:pPr>
            <w:r>
              <w:rPr>
                <w:rFonts w:ascii="Times New Roman" w:hAnsi="Times New Roman"/>
                <w:spacing w:val="0"/>
                <w:sz w:val="12"/>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124,736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140</w:t>
            </w:r>
          </w:p>
        </w:tc>
        <w:tc>
          <w:tcPr>
            <w:tcW w:w="75" w:type="dxa"/>
            <w:tcBorders/>
            <w:shd w:fill="CCEEFF"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cash, cash equivalents and restricted cash</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r>
              <w:rPr/>
              <w:t>1,988,457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pPr>
            <w:r>
              <w:rPr/>
              <w:t>$</w:t>
            </w:r>
          </w:p>
          <w:p>
            <w:pPr>
              <w:pStyle w:val="TableContents"/>
              <w:spacing w:before="0" w:after="0"/>
              <w:rPr>
                <w:spacing w:val="0"/>
              </w:rPr>
            </w:pPr>
            <w:r>
              <w:rPr>
                <w:spacing w:val="0"/>
              </w:rPr>
              <w:t> </w:t>
            </w:r>
          </w:p>
        </w:tc>
        <w:tc>
          <w:tcPr>
            <w:tcW w:w="980" w:type="dxa"/>
            <w:tcBorders/>
            <w:shd w:fill="auto" w:val="clear"/>
            <w:vAlign w:val="center"/>
          </w:tcPr>
          <w:p>
            <w:pPr>
              <w:pStyle w:val="TableContents"/>
              <w:spacing w:before="0" w:after="283"/>
              <w:jc w:val="right"/>
              <w:rPr/>
            </w:pPr>
            <w:r>
              <w:rPr/>
              <w:t>1,653,315</w:t>
            </w:r>
          </w:p>
        </w:tc>
        <w:tc>
          <w:tcPr>
            <w:tcW w:w="75" w:type="dxa"/>
            <w:tcBorders/>
            <w:shd w:fill="auto" w:val="clear"/>
            <w:vAlign w:val="center"/>
          </w:tcPr>
          <w:p>
            <w:pPr>
              <w:pStyle w:val="TableContents"/>
              <w:spacing w:before="0" w:after="283"/>
              <w:rPr/>
            </w:pPr>
            <w:r>
              <w:rPr/>
              <w:t> </w:t>
            </w:r>
          </w:p>
        </w:tc>
      </w:tr>
      <w:tr>
        <w:trPr/>
        <w:tc>
          <w:tcPr>
            <w:tcW w:w="38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18"/>
        </w:rPr>
      </w:pPr>
      <w:r>
        <w:rPr>
          <w:rFonts w:ascii="Times New Roman" w:hAnsi="Times New Roman"/>
          <w:spacing w:val="0"/>
          <w:sz w:val="18"/>
        </w:rPr>
        <w:t>Note</w:t>
      </w:r>
    </w:p>
    <w:p>
      <w:pPr>
        <w:pStyle w:val="TextBody"/>
        <w:spacing w:before="120" w:after="0"/>
        <w:jc w:val="left"/>
        <w:rPr>
          <w:rFonts w:ascii="Times New Roman" w:hAnsi="Times New Roman"/>
          <w:spacing w:val="0"/>
          <w:sz w:val="18"/>
        </w:rPr>
      </w:pPr>
      <w:r>
        <w:rPr>
          <w:rFonts w:ascii="Times New Roman" w:hAnsi="Times New Roman"/>
          <w:spacing w:val="0"/>
          <w:sz w:val="18"/>
        </w:rPr>
        <w:t>s</w:t>
      </w:r>
    </w:p>
    <w:tbl>
      <w:tblPr>
        <w:tblW w:w="10150" w:type="dxa"/>
        <w:jc w:val="left"/>
        <w:tblInd w:w="0" w:type="dxa"/>
        <w:tblCellMar>
          <w:top w:w="0" w:type="dxa"/>
          <w:left w:w="0" w:type="dxa"/>
          <w:bottom w:w="0" w:type="dxa"/>
          <w:right w:w="0" w:type="dxa"/>
        </w:tblCellMar>
      </w:tblPr>
      <w:tblGrid>
        <w:gridCol w:w="75"/>
        <w:gridCol w:w="290"/>
        <w:gridCol w:w="9785"/>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(1)</w:t>
            </w:r>
          </w:p>
        </w:tc>
        <w:tc>
          <w:tcPr>
            <w:tcW w:w="9785"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 xml:space="preserve">As of December 31, 2022 and 2021, the current portion of restricted cash included bank time deposits of $50,971 and $275, respectively. </w:t>
            </w:r>
          </w:p>
        </w:tc>
      </w:tr>
    </w:tbl>
    <w:p>
      <w:pPr>
        <w:pStyle w:val="TextBody"/>
        <w:spacing w:before="120" w:after="0"/>
        <w:ind w:left="0" w:right="0" w:hanging="0"/>
        <w:jc w:val="left"/>
        <w:rPr>
          <w:rFonts w:ascii="Times New Roman" w:hAnsi="Times New Roman"/>
          <w:spacing w:val="0"/>
          <w:sz w:val="18"/>
        </w:rPr>
      </w:pPr>
      <w:r>
        <w:rPr>
          <w:rFonts w:ascii="Times New Roman" w:hAnsi="Times New Roman"/>
          <w:spacing w:val="0"/>
          <w:sz w:val="18"/>
        </w:rPr>
        <w:t>On September 20, 2022, Melco Resorts Macau provided a bank guarantee in an amount of MOP820,000 (equivalent to $101,942) to the Macau government to guarantee the satisfaction of any labor liabilities upon expiry of the subconcession. As stipulated in the bank guarantee contract, MOP410,000 (equivalent to $50,971) was required to be held in a cash deposit account as collateral to secure the bank guarantee. In January 2023, such bank guarantee and the cash deposited in the collateral bank account were released. The cash of MOP410,000 (equivalent to $50,971) deposited in the collateral account was included in the current portion of restricted cash in the accompanying consolidated balance sheets as of December 31, 2022.</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88"/>
        <w:gridCol w:w="9842"/>
      </w:tblGrid>
      <w:tr>
        <w:trPr/>
        <w:tc>
          <w:tcPr>
            <w:tcW w:w="75" w:type="dxa"/>
            <w:tcBorders/>
            <w:shd w:fill="auto" w:val="clear"/>
            <w:vAlign w:val="center"/>
          </w:tcPr>
          <w:p>
            <w:pPr>
              <w:pStyle w:val="TableContents"/>
              <w:spacing w:before="0" w:after="0"/>
              <w:rPr>
                <w:spacing w:val="0"/>
              </w:rPr>
            </w:pPr>
            <w:r>
              <w:rPr>
                <w:spacing w:val="0"/>
              </w:rPr>
              <w:t> </w:t>
            </w:r>
          </w:p>
        </w:tc>
        <w:tc>
          <w:tcPr>
            <w:tcW w:w="288" w:type="dxa"/>
            <w:tcBorders/>
            <w:shd w:fill="auto" w:val="clear"/>
            <w:vAlign w:val="center"/>
          </w:tcPr>
          <w:p>
            <w:pPr>
              <w:pStyle w:val="TableContents"/>
              <w:spacing w:before="0" w:after="0"/>
              <w:jc w:val="left"/>
              <w:rPr>
                <w:spacing w:val="0"/>
              </w:rPr>
            </w:pPr>
            <w:r>
              <w:rPr>
                <w:spacing w:val="0"/>
              </w:rPr>
              <w:t>(2)</w:t>
            </w:r>
          </w:p>
        </w:tc>
        <w:tc>
          <w:tcPr>
            <w:tcW w:w="9842" w:type="dxa"/>
            <w:tcBorders/>
            <w:shd w:fill="auto" w:val="clear"/>
            <w:vAlign w:val="center"/>
          </w:tcPr>
          <w:p>
            <w:pPr>
              <w:pStyle w:val="TableContents"/>
              <w:spacing w:before="0" w:after="0"/>
              <w:jc w:val="left"/>
              <w:rPr>
                <w:rFonts w:ascii="Times New Roman" w:hAnsi="Times New Roman"/>
                <w:sz w:val="18"/>
              </w:rPr>
            </w:pPr>
            <w:r>
              <w:rPr>
                <w:rFonts w:ascii="Times New Roman" w:hAnsi="Times New Roman"/>
                <w:sz w:val="18"/>
              </w:rPr>
              <w:t xml:space="preserve">As of December 31, 2022 and 2021, the non-current portion of restricted cash included bank time deposits of $124,592 and nil, respectively. </w:t>
            </w:r>
          </w:p>
        </w:tc>
      </w:tr>
    </w:tbl>
    <w:p>
      <w:pPr>
        <w:pStyle w:val="TextBody"/>
        <w:spacing w:before="120" w:after="0"/>
        <w:ind w:left="0" w:right="0" w:hanging="0"/>
        <w:jc w:val="left"/>
        <w:rPr>
          <w:rFonts w:ascii="Times New Roman" w:hAnsi="Times New Roman"/>
          <w:spacing w:val="0"/>
          <w:sz w:val="18"/>
        </w:rPr>
      </w:pPr>
      <w:r>
        <w:rPr>
          <w:rFonts w:ascii="Times New Roman" w:hAnsi="Times New Roman"/>
          <w:spacing w:val="0"/>
          <w:sz w:val="18"/>
        </w:rPr>
        <w:t xml:space="preserve">On December 9, 2022, as required by the Concession, Melco Resorts Macau provided a bank guarantee in favor of the Macau government of MOP1,000,000 (equivalent to $124,319) to secure the fulfillment of performance of certain of its legal and contractual obligations, including labor obligations. As stipulated in the bank guarantee contract, MOP1,000,000 (equivalent to $124,319), or an equivalent amount in other currencies, is required to be held in a cash deposit account as collateral in order to secure the bank guarantee. The bank guarantee will remain in effect until 180 days after the earlier of the expiration and termination of the Concession. The cash of HK$970,874 (equivalent to $124,319) deposited in the collateral bank account was included in the non-current portion of restricted cash in the accompanying consolidated balance sheets as of December 31, 2022. </w:t>
      </w:r>
    </w:p>
    <w:p>
      <w:pPr>
        <w:pStyle w:val="TextBody"/>
        <w:spacing w:before="120" w:after="0"/>
        <w:jc w:val="left"/>
        <w:rPr>
          <w:rFonts w:ascii="Times New Roman" w:hAnsi="Times New Roman"/>
          <w:sz w:val="18"/>
        </w:rPr>
      </w:pPr>
      <w:r>
        <w:rPr>
          <w:rFonts w:ascii="Times New Roman" w:hAnsi="Times New Roman"/>
          <w:sz w:val="18"/>
        </w:rPr>
      </w:r>
    </w:p>
    <w:p>
      <w:pPr>
        <w:pStyle w:val="TextBody"/>
        <w:spacing w:before="0" w:after="0"/>
        <w:jc w:val="left"/>
        <w:rPr>
          <w:spacing w:val="0"/>
        </w:rPr>
      </w:pPr>
      <w:r>
        <w:rPr>
          <w:spacing w:val="0"/>
        </w:rPr>
        <w:t> </w:t>
      </w:r>
    </w:p>
    <w:tbl>
      <w:tblPr>
        <w:tblW w:w="2815" w:type="dxa"/>
        <w:jc w:val="left"/>
        <w:tblInd w:w="0" w:type="dxa"/>
        <w:tblCellMar>
          <w:top w:w="0" w:type="dxa"/>
          <w:left w:w="0" w:type="dxa"/>
          <w:bottom w:w="0" w:type="dxa"/>
          <w:right w:w="0" w:type="dxa"/>
        </w:tblCellMar>
      </w:tblPr>
      <w:tblGrid>
        <w:gridCol w:w="215"/>
        <w:gridCol w:w="2600"/>
      </w:tblGrid>
      <w:tr>
        <w:trPr/>
        <w:tc>
          <w:tcPr>
            <w:tcW w:w="215" w:type="dxa"/>
            <w:tcBorders/>
            <w:shd w:fill="auto" w:val="clear"/>
            <w:vAlign w:val="center"/>
          </w:tcPr>
          <w:p>
            <w:pPr>
              <w:pStyle w:val="TableContents"/>
              <w:spacing w:before="0" w:after="0"/>
              <w:jc w:val="left"/>
              <w:rPr>
                <w:b/>
                <w:spacing w:val="0"/>
              </w:rPr>
            </w:pPr>
            <w:r>
              <w:rPr>
                <w:b/>
                <w:spacing w:val="0"/>
              </w:rPr>
              <w:t>4.</w:t>
            </w:r>
          </w:p>
        </w:tc>
        <w:tc>
          <w:tcPr>
            <w:tcW w:w="26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INVESTMENT SECURITIES </w:t>
            </w:r>
          </w:p>
        </w:tc>
      </w:tr>
    </w:tbl>
    <w:p>
      <w:pPr>
        <w:pStyle w:val="TextBody"/>
        <w:spacing w:before="120" w:after="0"/>
        <w:jc w:val="left"/>
        <w:rPr>
          <w:rFonts w:ascii="Times New Roman" w:hAnsi="Times New Roman"/>
          <w:sz w:val="20"/>
        </w:rPr>
      </w:pPr>
      <w:r>
        <w:rPr>
          <w:rFonts w:ascii="Times New Roman" w:hAnsi="Times New Roman"/>
          <w:sz w:val="20"/>
        </w:rPr>
        <w:t xml:space="preserve">On May 30, 2019, Melco executed a definitive purchase agreement, as amended on August 28, 2019 (collectively, the “Share Sale Agreement”) pursuant to which Melco agreed to, through its subsidiary, acquire and an independent third party, CPH Crown Holdings Pty Limited (“CPH”), agreed to sell, an aggregate of 135,350,000 shares of Crown Resorts Limited (“Crown”), an Australian-listed corporation, representing approximately 19.99% of the issued shares of Crown, in two equal tranches at Australian dollars (“AUD”) 13.00 per share. On June 6, 2019, the Company completed the acquisition of the first tranche of approximately 9.99% issued shares of Crown and recognized </w:t>
      </w:r>
    </w:p>
    <w:p>
      <w:pPr>
        <w:pStyle w:val="TextBody"/>
        <w:spacing w:before="120" w:after="0"/>
        <w:jc w:val="left"/>
        <w:rPr>
          <w:rFonts w:ascii="Times New Roman" w:hAnsi="Times New Roman"/>
          <w:spacing w:val="0"/>
          <w:sz w:val="20"/>
        </w:rPr>
      </w:pPr>
      <w:r>
        <w:rPr>
          <w:rFonts w:ascii="Times New Roman" w:hAnsi="Times New Roman"/>
          <w:spacing w:val="0"/>
          <w:sz w:val="20"/>
        </w:rPr>
        <w:t>non-current</w:t>
      </w:r>
    </w:p>
    <w:p>
      <w:pPr>
        <w:pStyle w:val="TextBody"/>
        <w:spacing w:before="120" w:after="0"/>
        <w:jc w:val="left"/>
        <w:rPr>
          <w:rFonts w:ascii="Times New Roman" w:hAnsi="Times New Roman"/>
          <w:sz w:val="20"/>
        </w:rPr>
      </w:pPr>
      <w:r>
        <w:rPr>
          <w:rFonts w:ascii="Times New Roman" w:hAnsi="Times New Roman"/>
          <w:sz w:val="20"/>
        </w:rPr>
        <w:t xml:space="preserve">investment securities of AUD880,640 (equivalent to $618,455) (including transaction costs). </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spacing w:val="0"/>
          <w:sz w:val="20"/>
        </w:rPr>
      </w:pPr>
      <w:r>
        <w:rPr>
          <w:rFonts w:ascii="Times New Roman" w:hAnsi="Times New Roman"/>
          <w:spacing w:val="0"/>
          <w:sz w:val="20"/>
        </w:rPr>
        <w:t>F-3</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770" w:type="dxa"/>
        <w:jc w:val="left"/>
        <w:tblInd w:w="0" w:type="dxa"/>
        <w:tblCellMar>
          <w:top w:w="0" w:type="dxa"/>
          <w:left w:w="0" w:type="dxa"/>
          <w:bottom w:w="0" w:type="dxa"/>
          <w:right w:w="0" w:type="dxa"/>
        </w:tblCellMar>
      </w:tblPr>
      <w:tblGrid>
        <w:gridCol w:w="215"/>
        <w:gridCol w:w="2555"/>
      </w:tblGrid>
      <w:tr>
        <w:trPr/>
        <w:tc>
          <w:tcPr>
            <w:tcW w:w="215" w:type="dxa"/>
            <w:tcBorders/>
            <w:shd w:fill="auto" w:val="clear"/>
            <w:vAlign w:val="center"/>
          </w:tcPr>
          <w:p>
            <w:pPr>
              <w:pStyle w:val="TableContents"/>
              <w:spacing w:before="0" w:after="0"/>
              <w:jc w:val="left"/>
              <w:rPr>
                <w:b/>
                <w:spacing w:val="0"/>
              </w:rPr>
            </w:pPr>
            <w:r>
              <w:rPr>
                <w:b/>
                <w:spacing w:val="0"/>
              </w:rPr>
              <w:t>4.</w:t>
            </w:r>
          </w:p>
        </w:tc>
        <w:tc>
          <w:tcPr>
            <w:tcW w:w="25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INVESTMENT SECURITIES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February 6, 2020, the Company agreed with CPH to terminate the obligation to purchase the second tranche of approximately 9.99% issued shares of Crown as contemplated under the Share Sale Agreement at no consideration.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29, 2020, the Company disposed of the first tranche of approximately 9.99% issued shares of Crown at AUD8.15 per share to an independent third party. The aggregate consideration was AUD551,551 (equivalent to $359,060). Upon completion of this disposal, the Company ceased to be a shareholder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Crown.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During the year ended December 31, 2020, the Company disposed of all of its investments in mutual funds that were mainly invested in bonds and fixed interest securities. </w:t>
      </w:r>
    </w:p>
    <w:p>
      <w:pPr>
        <w:pStyle w:val="TextBody"/>
        <w:spacing w:before="120" w:after="0"/>
        <w:jc w:val="left"/>
        <w:rPr>
          <w:rFonts w:ascii="Times New Roman" w:hAnsi="Times New Roman"/>
          <w:spacing w:val="0"/>
          <w:sz w:val="20"/>
        </w:rPr>
      </w:pPr>
      <w:r>
        <w:rPr>
          <w:rFonts w:ascii="Times New Roman" w:hAnsi="Times New Roman"/>
          <w:spacing w:val="0"/>
          <w:sz w:val="20"/>
        </w:rPr>
        <w:t>The components of losses on marketable equity securities were as follows:</w:t>
      </w:r>
    </w:p>
    <w:p>
      <w:pPr>
        <w:pStyle w:val="TextBody"/>
        <w:spacing w:before="0" w:after="0"/>
        <w:ind w:left="0" w:right="0" w:hanging="0"/>
        <w:jc w:val="left"/>
        <w:rPr>
          <w:spacing w:val="0"/>
        </w:rPr>
      </w:pPr>
      <w:r>
        <w:rPr>
          <w:spacing w:val="0"/>
        </w:rPr>
        <w:t> </w:t>
      </w:r>
    </w:p>
    <w:tbl>
      <w:tblPr>
        <w:tblW w:w="9600" w:type="dxa"/>
        <w:jc w:val="left"/>
        <w:tblInd w:w="0" w:type="dxa"/>
        <w:tblCellMar>
          <w:top w:w="0" w:type="dxa"/>
          <w:left w:w="0" w:type="dxa"/>
          <w:bottom w:w="0" w:type="dxa"/>
          <w:right w:w="0" w:type="dxa"/>
        </w:tblCellMar>
      </w:tblPr>
      <w:tblGrid>
        <w:gridCol w:w="7415"/>
        <w:gridCol w:w="120"/>
        <w:gridCol w:w="260"/>
        <w:gridCol w:w="1635"/>
        <w:gridCol w:w="170"/>
      </w:tblGrid>
      <w:tr>
        <w:trPr/>
        <w:tc>
          <w:tcPr>
            <w:tcW w:w="74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4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95" w:type="dxa"/>
            <w:gridSpan w:val="2"/>
            <w:tcBorders/>
            <w:shd w:fill="auto" w:val="clear"/>
            <w:vAlign w:val="center"/>
          </w:tcPr>
          <w:p>
            <w:pPr>
              <w:pStyle w:val="TableContents"/>
              <w:spacing w:before="0" w:after="0"/>
              <w:jc w:val="center"/>
              <w:rPr>
                <w:spacing w:val="0"/>
              </w:rPr>
            </w:pPr>
            <w:r>
              <w:rPr>
                <w:spacing w:val="0"/>
              </w:rPr>
              <w:t>    </w:t>
            </w:r>
            <w:r>
              <w:rPr>
                <w:spacing w:val="0"/>
              </w:rPr>
              <w:t>Year Ended     </w:t>
            </w:r>
          </w:p>
        </w:tc>
        <w:tc>
          <w:tcPr>
            <w:tcW w:w="170" w:type="dxa"/>
            <w:tcBorders/>
            <w:shd w:fill="auto" w:val="clear"/>
            <w:vAlign w:val="center"/>
          </w:tcPr>
          <w:p>
            <w:pPr>
              <w:pStyle w:val="TableContents"/>
              <w:spacing w:before="0" w:after="0"/>
              <w:rPr>
                <w:spacing w:val="0"/>
              </w:rPr>
            </w:pPr>
            <w:r>
              <w:rPr>
                <w:spacing w:val="0"/>
              </w:rPr>
              <w:t> </w:t>
            </w:r>
          </w:p>
        </w:tc>
      </w:tr>
      <w:tr>
        <w:trPr/>
        <w:tc>
          <w:tcPr>
            <w:tcW w:w="74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 2020</w:t>
            </w:r>
          </w:p>
        </w:tc>
        <w:tc>
          <w:tcPr>
            <w:tcW w:w="170" w:type="dxa"/>
            <w:tcBorders/>
            <w:shd w:fill="auto" w:val="clear"/>
            <w:vAlign w:val="center"/>
          </w:tcPr>
          <w:p>
            <w:pPr>
              <w:pStyle w:val="TableContents"/>
              <w:spacing w:before="0" w:after="0"/>
              <w:rPr>
                <w:spacing w:val="0"/>
              </w:rPr>
            </w:pPr>
            <w:r>
              <w:rPr>
                <w:spacing w:val="0"/>
              </w:rPr>
              <w:t> </w:t>
            </w:r>
          </w:p>
        </w:tc>
      </w:tr>
      <w:tr>
        <w:trPr/>
        <w:tc>
          <w:tcPr>
            <w:tcW w:w="74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losses recognized on market equity securities</w:t>
            </w:r>
          </w:p>
        </w:tc>
        <w:tc>
          <w:tcPr>
            <w:tcW w:w="12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w:t>
            </w:r>
          </w:p>
        </w:tc>
        <w:tc>
          <w:tcPr>
            <w:tcW w:w="1635" w:type="dxa"/>
            <w:tcBorders/>
            <w:shd w:fill="CCEEFF" w:val="clear"/>
            <w:vAlign w:val="center"/>
          </w:tcPr>
          <w:p>
            <w:pPr>
              <w:pStyle w:val="TableContents"/>
              <w:spacing w:before="0" w:after="283"/>
              <w:jc w:val="right"/>
              <w:rPr/>
            </w:pPr>
            <w:r>
              <w:rPr/>
              <w:t>(165,440</w:t>
            </w:r>
          </w:p>
        </w:tc>
        <w:tc>
          <w:tcPr>
            <w:tcW w:w="170" w:type="dxa"/>
            <w:tcBorders/>
            <w:shd w:fill="CCEEFF"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Net losses recognized on marketable equity securities sold during the year</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1635" w:type="dxa"/>
            <w:tcBorders/>
            <w:shd w:fill="auto" w:val="clear"/>
            <w:vAlign w:val="center"/>
          </w:tcPr>
          <w:p>
            <w:pPr>
              <w:pStyle w:val="TableContents"/>
              <w:spacing w:before="0" w:after="283"/>
              <w:jc w:val="right"/>
              <w:rPr/>
            </w:pPr>
            <w:r>
              <w:rPr/>
              <w:t>165,440</w:t>
            </w:r>
          </w:p>
        </w:tc>
        <w:tc>
          <w:tcPr>
            <w:tcW w:w="170" w:type="dxa"/>
            <w:tcBorders/>
            <w:shd w:fill="auto"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6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losses recognized on marketable equity securities still held at the reporting date</w:t>
            </w:r>
          </w:p>
        </w:tc>
        <w:tc>
          <w:tcPr>
            <w:tcW w:w="12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rPr/>
            </w:pPr>
            <w:r>
              <w:rPr/>
              <w:t>$</w:t>
            </w:r>
          </w:p>
        </w:tc>
        <w:tc>
          <w:tcPr>
            <w:tcW w:w="163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6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rPr>
      </w:pPr>
      <w:r>
        <w:rPr>
          <w:spacing w:val="0"/>
        </w:rPr>
        <w:t> </w:t>
      </w:r>
    </w:p>
    <w:tbl>
      <w:tblPr>
        <w:tblW w:w="3190" w:type="dxa"/>
        <w:jc w:val="left"/>
        <w:tblInd w:w="0" w:type="dxa"/>
        <w:tblCellMar>
          <w:top w:w="0" w:type="dxa"/>
          <w:left w:w="0" w:type="dxa"/>
          <w:bottom w:w="0" w:type="dxa"/>
          <w:right w:w="0" w:type="dxa"/>
        </w:tblCellMar>
      </w:tblPr>
      <w:tblGrid>
        <w:gridCol w:w="215"/>
        <w:gridCol w:w="2975"/>
      </w:tblGrid>
      <w:tr>
        <w:trPr/>
        <w:tc>
          <w:tcPr>
            <w:tcW w:w="215" w:type="dxa"/>
            <w:tcBorders/>
            <w:shd w:fill="auto" w:val="clear"/>
            <w:vAlign w:val="center"/>
          </w:tcPr>
          <w:p>
            <w:pPr>
              <w:pStyle w:val="TableContents"/>
              <w:spacing w:before="0" w:after="0"/>
              <w:jc w:val="left"/>
              <w:rPr>
                <w:b/>
                <w:spacing w:val="0"/>
              </w:rPr>
            </w:pPr>
            <w:r>
              <w:rPr>
                <w:b/>
                <w:spacing w:val="0"/>
              </w:rPr>
              <w:t>5.</w:t>
            </w:r>
          </w:p>
        </w:tc>
        <w:tc>
          <w:tcPr>
            <w:tcW w:w="29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ACCOUNTS RECEIVABLE, NET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Components of accounts receivable, net are as follows:</w:t>
      </w:r>
    </w:p>
    <w:p>
      <w:pPr>
        <w:pStyle w:val="TextBody"/>
        <w:spacing w:before="0" w:after="0"/>
        <w:ind w:left="0" w:right="0" w:hanging="0"/>
        <w:jc w:val="left"/>
        <w:rPr>
          <w:spacing w:val="0"/>
        </w:rPr>
      </w:pPr>
      <w:r>
        <w:rPr>
          <w:spacing w:val="0"/>
        </w:rPr>
        <w:t> </w:t>
      </w:r>
    </w:p>
    <w:tbl>
      <w:tblPr>
        <w:tblW w:w="5240" w:type="dxa"/>
        <w:jc w:val="left"/>
        <w:tblInd w:w="0" w:type="dxa"/>
        <w:tblCellMar>
          <w:top w:w="0" w:type="dxa"/>
          <w:left w:w="0" w:type="dxa"/>
          <w:bottom w:w="0" w:type="dxa"/>
          <w:right w:w="0" w:type="dxa"/>
        </w:tblCellMar>
      </w:tblPr>
      <w:tblGrid>
        <w:gridCol w:w="2705"/>
        <w:gridCol w:w="120"/>
        <w:gridCol w:w="140"/>
        <w:gridCol w:w="875"/>
        <w:gridCol w:w="95"/>
        <w:gridCol w:w="120"/>
        <w:gridCol w:w="140"/>
        <w:gridCol w:w="875"/>
        <w:gridCol w:w="170"/>
      </w:tblGrid>
      <w:tr>
        <w:trPr/>
        <w:tc>
          <w:tcPr>
            <w:tcW w:w="27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245"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270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27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Casino</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271,653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321,808</w:t>
            </w:r>
          </w:p>
        </w:tc>
        <w:tc>
          <w:tcPr>
            <w:tcW w:w="170"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Hotel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1,365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907</w:t>
            </w:r>
          </w:p>
        </w:tc>
        <w:tc>
          <w:tcPr>
            <w:tcW w:w="170"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218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189</w:t>
            </w:r>
          </w:p>
        </w:tc>
        <w:tc>
          <w:tcPr>
            <w:tcW w:w="170"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273,236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322,904</w:t>
            </w:r>
          </w:p>
        </w:tc>
        <w:tc>
          <w:tcPr>
            <w:tcW w:w="170"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allowances for credit losses</w:t>
            </w:r>
          </w:p>
          <w:p>
            <w:pPr>
              <w:pStyle w:val="TableContents"/>
              <w:spacing w:before="0" w:after="0"/>
              <w:rPr>
                <w:rFonts w:ascii="Times New Roman" w:hAnsi="Times New Roman"/>
                <w:spacing w:val="0"/>
                <w:sz w:val="12"/>
              </w:rPr>
            </w:pPr>
            <w:r>
              <w:rPr>
                <w:rFonts w:ascii="Times New Roman" w:hAnsi="Times New Roman"/>
                <w:spacing w:val="0"/>
                <w:sz w:val="12"/>
              </w:rPr>
              <w:t xml:space="preserve">(1)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(217,244</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(268,413</w:t>
            </w:r>
          </w:p>
        </w:tc>
        <w:tc>
          <w:tcPr>
            <w:tcW w:w="170"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55,992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54,491</w:t>
            </w:r>
          </w:p>
        </w:tc>
        <w:tc>
          <w:tcPr>
            <w:tcW w:w="170"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portion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   </w:t>
            </w:r>
            <w:r>
              <w:rPr/>
              <w:t>55,992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54,491</w:t>
            </w:r>
          </w:p>
        </w:tc>
        <w:tc>
          <w:tcPr>
            <w:tcW w:w="170"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18"/>
        </w:rPr>
      </w:pPr>
      <w:r>
        <w:rPr>
          <w:rFonts w:ascii="Times New Roman" w:hAnsi="Times New Roman"/>
          <w:spacing w:val="0"/>
          <w:sz w:val="18"/>
        </w:rPr>
        <w:t xml:space="preserve">Note </w:t>
      </w:r>
    </w:p>
    <w:tbl>
      <w:tblPr>
        <w:tblW w:w="10205" w:type="dxa"/>
        <w:jc w:val="left"/>
        <w:tblInd w:w="0" w:type="dxa"/>
        <w:tblCellMar>
          <w:top w:w="0" w:type="dxa"/>
          <w:left w:w="0" w:type="dxa"/>
          <w:bottom w:w="0" w:type="dxa"/>
          <w:right w:w="0" w:type="dxa"/>
        </w:tblCellMar>
      </w:tblPr>
      <w:tblGrid>
        <w:gridCol w:w="75"/>
        <w:gridCol w:w="260"/>
        <w:gridCol w:w="987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(1)</w:t>
            </w:r>
          </w:p>
        </w:tc>
        <w:tc>
          <w:tcPr>
            <w:tcW w:w="9870"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As of December 31, 2022 and 2021, the allowances for credit losses of $14,966</w:t>
            </w:r>
          </w:p>
          <w:p>
            <w:pPr>
              <w:pStyle w:val="TableContents"/>
              <w:spacing w:before="0" w:after="0"/>
              <w:jc w:val="left"/>
              <w:rPr>
                <w:spacing w:val="0"/>
              </w:rPr>
            </w:pPr>
            <w:r>
              <w:rPr>
                <w:spacing w:val="0"/>
              </w:rPr>
              <w:t> </w:t>
            </w:r>
          </w:p>
          <w:p>
            <w:pPr>
              <w:pStyle w:val="TableContents"/>
              <w:spacing w:before="0" w:after="0"/>
              <w:jc w:val="left"/>
              <w:rPr>
                <w:rFonts w:ascii="Times New Roman" w:hAnsi="Times New Roman"/>
                <w:spacing w:val="0"/>
                <w:sz w:val="18"/>
              </w:rPr>
            </w:pPr>
            <w:r>
              <w:rPr>
                <w:rFonts w:ascii="Times New Roman" w:hAnsi="Times New Roman"/>
                <w:spacing w:val="0"/>
                <w:sz w:val="18"/>
              </w:rPr>
              <w:t xml:space="preserve">and $14,989 are recorded as a reduction of the long-term casino accounts receivables, which are included in long-term prepayments, deposits and other assets in the accompanying consolidated balance sheets, respectively. </w:t>
            </w:r>
          </w:p>
        </w:tc>
      </w:tr>
    </w:tbl>
    <w:p>
      <w:pPr>
        <w:pStyle w:val="TextBody"/>
        <w:spacing w:before="120" w:after="0"/>
        <w:jc w:val="left"/>
        <w:rPr>
          <w:rFonts w:ascii="Times New Roman" w:hAnsi="Times New Roman"/>
          <w:spacing w:val="0"/>
          <w:sz w:val="20"/>
        </w:rPr>
      </w:pPr>
      <w:r>
        <w:rPr>
          <w:rFonts w:ascii="Times New Roman" w:hAnsi="Times New Roman"/>
          <w:spacing w:val="0"/>
          <w:sz w:val="20"/>
        </w:rPr>
        <w:t>The Company’s allowances for casino credit losses were 80.0% and 83.4% of gross casino accounts receivables as of December 31, 2022 and 2021, respectively. The Company’s allowances for credit losses from its hotel and other receivables are not material.</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z w:val="16"/>
        </w:rPr>
      </w:pPr>
      <w:r>
        <w:rPr>
          <w:sz w:val="16"/>
        </w:rPr>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F-3</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TextBody"/>
        <w:spacing w:before="0" w:after="0"/>
        <w:jc w:val="center"/>
        <w:rPr>
          <w:rFonts w:ascii="Times New Roman" w:hAnsi="Times New Roman"/>
          <w:sz w:val="20"/>
        </w:rPr>
      </w:pPr>
      <w:r>
        <w:rPr>
          <w:rFonts w:ascii="Times New Roman" w:hAnsi="Times New Roman"/>
          <w:sz w:val="20"/>
        </w:rPr>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145" w:type="dxa"/>
        <w:jc w:val="left"/>
        <w:tblInd w:w="0" w:type="dxa"/>
        <w:tblCellMar>
          <w:top w:w="0" w:type="dxa"/>
          <w:left w:w="0" w:type="dxa"/>
          <w:bottom w:w="0" w:type="dxa"/>
          <w:right w:w="0" w:type="dxa"/>
        </w:tblCellMar>
      </w:tblPr>
      <w:tblGrid>
        <w:gridCol w:w="215"/>
        <w:gridCol w:w="2930"/>
      </w:tblGrid>
      <w:tr>
        <w:trPr/>
        <w:tc>
          <w:tcPr>
            <w:tcW w:w="215" w:type="dxa"/>
            <w:tcBorders/>
            <w:shd w:fill="auto" w:val="clear"/>
            <w:vAlign w:val="center"/>
          </w:tcPr>
          <w:p>
            <w:pPr>
              <w:pStyle w:val="TableContents"/>
              <w:spacing w:before="0" w:after="0"/>
              <w:jc w:val="left"/>
              <w:rPr>
                <w:b/>
                <w:spacing w:val="0"/>
              </w:rPr>
            </w:pPr>
            <w:r>
              <w:rPr>
                <w:b/>
                <w:spacing w:val="0"/>
              </w:rPr>
              <w:t>5.</w:t>
            </w:r>
          </w:p>
        </w:tc>
        <w:tc>
          <w:tcPr>
            <w:tcW w:w="29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ACCOUNTS RECEIVABLE,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Movement in the allowances for credit losses are as follows: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5975" w:type="dxa"/>
        <w:jc w:val="left"/>
        <w:tblInd w:w="0" w:type="dxa"/>
        <w:tblCellMar>
          <w:top w:w="0" w:type="dxa"/>
          <w:left w:w="0" w:type="dxa"/>
          <w:bottom w:w="0" w:type="dxa"/>
          <w:right w:w="0" w:type="dxa"/>
        </w:tblCellMar>
      </w:tblPr>
      <w:tblGrid>
        <w:gridCol w:w="2375"/>
        <w:gridCol w:w="120"/>
        <w:gridCol w:w="140"/>
        <w:gridCol w:w="800"/>
        <w:gridCol w:w="95"/>
        <w:gridCol w:w="120"/>
        <w:gridCol w:w="140"/>
        <w:gridCol w:w="800"/>
        <w:gridCol w:w="155"/>
        <w:gridCol w:w="120"/>
        <w:gridCol w:w="140"/>
        <w:gridCol w:w="800"/>
        <w:gridCol w:w="170"/>
      </w:tblGrid>
      <w:tr>
        <w:trPr/>
        <w:tc>
          <w:tcPr>
            <w:tcW w:w="23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1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170" w:type="dxa"/>
            <w:tcBorders/>
            <w:shd w:fill="auto"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170"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beginning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268,413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333,792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258,019</w:t>
            </w:r>
          </w:p>
        </w:tc>
        <w:tc>
          <w:tcPr>
            <w:tcW w:w="170"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(Reversal of) provision</w:t>
            </w:r>
          </w:p>
          <w:p>
            <w:pPr>
              <w:pStyle w:val="TableContents"/>
              <w:spacing w:before="0" w:after="0"/>
              <w:rPr>
                <w:spacing w:val="0"/>
              </w:rPr>
            </w:pPr>
            <w:r>
              <w:rPr>
                <w:spacing w:val="0"/>
              </w:rPr>
              <w:t> </w:t>
            </w:r>
            <w:r>
              <w:rPr>
                <w:rFonts w:ascii="Times New Roman" w:hAnsi="Times New Roman"/>
                <w:spacing w:val="0"/>
                <w:sz w:val="20"/>
              </w:rPr>
              <w:t>for credit losses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(892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6,426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131,845</w:t>
            </w:r>
          </w:p>
        </w:tc>
        <w:tc>
          <w:tcPr>
            <w:tcW w:w="170"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Write-offs, net of recoveries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(49,608</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(69,712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(57,868</w:t>
            </w:r>
          </w:p>
        </w:tc>
        <w:tc>
          <w:tcPr>
            <w:tcW w:w="170"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exchange rate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(669</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(2,093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1,796</w:t>
            </w:r>
          </w:p>
        </w:tc>
        <w:tc>
          <w:tcPr>
            <w:tcW w:w="170" w:type="dxa"/>
            <w:tcBorders/>
            <w:shd w:fill="auto"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3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end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217,244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268,413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333,792</w:t>
            </w:r>
          </w:p>
        </w:tc>
        <w:tc>
          <w:tcPr>
            <w:tcW w:w="170" w:type="dxa"/>
            <w:tcBorders/>
            <w:shd w:fill="CCEEFF" w:val="clear"/>
            <w:vAlign w:val="center"/>
          </w:tcPr>
          <w:p>
            <w:pPr>
              <w:pStyle w:val="TableContents"/>
              <w:spacing w:before="0" w:after="283"/>
              <w:rPr/>
            </w:pPr>
            <w:r>
              <w:rPr/>
              <w:t> </w:t>
            </w:r>
          </w:p>
        </w:tc>
      </w:tr>
      <w:tr>
        <w:trPr/>
        <w:tc>
          <w:tcPr>
            <w:tcW w:w="23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2620" w:type="dxa"/>
        <w:jc w:val="left"/>
        <w:tblInd w:w="0" w:type="dxa"/>
        <w:tblCellMar>
          <w:top w:w="0" w:type="dxa"/>
          <w:left w:w="0" w:type="dxa"/>
          <w:bottom w:w="0" w:type="dxa"/>
          <w:right w:w="0" w:type="dxa"/>
        </w:tblCellMar>
      </w:tblPr>
      <w:tblGrid>
        <w:gridCol w:w="215"/>
        <w:gridCol w:w="2405"/>
      </w:tblGrid>
      <w:tr>
        <w:trPr/>
        <w:tc>
          <w:tcPr>
            <w:tcW w:w="215" w:type="dxa"/>
            <w:tcBorders/>
            <w:shd w:fill="auto" w:val="clear"/>
            <w:vAlign w:val="center"/>
          </w:tcPr>
          <w:p>
            <w:pPr>
              <w:pStyle w:val="TableContents"/>
              <w:spacing w:before="0" w:after="0"/>
              <w:jc w:val="left"/>
              <w:rPr>
                <w:b/>
                <w:spacing w:val="0"/>
              </w:rPr>
            </w:pPr>
            <w:r>
              <w:rPr>
                <w:b/>
                <w:spacing w:val="0"/>
              </w:rPr>
              <w:t>6.</w:t>
            </w:r>
          </w:p>
        </w:tc>
        <w:tc>
          <w:tcPr>
            <w:tcW w:w="24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ASSETS HELD FOR SALE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September 2021, the Company announced discontinuing its pursuit of a Yokohama integrated resort development in Japan. In December 2021, an external advisor was engaged to locate potential buyers and prepare marketing materials for the disposal of the Company’s assets in Japan, including Kabushiki Kaisha Okushiga Kogen Resort, a company which operates a ski resort in Nagano, Japan (the “Japan Ski Resort”) and a parcel of freehold land together with the accompanying building structures in Hakone, Japan (the “Hakone Assets”). After consideration of the relevant facts, the Company concluded the assets and liabilities of the Japan Ski Resort and the Hakone Assets met the criteria for classification as held for sale as of December 31, 2021 which is reported under the Corporate and Other segment.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major classes of assets of the Japan Ski Resort classified as assets held for sale as of December 31, 2021 were mainly comprised of: </w:t>
      </w:r>
    </w:p>
    <w:p>
      <w:pPr>
        <w:pStyle w:val="TextBody"/>
        <w:spacing w:before="0" w:after="0"/>
        <w:ind w:left="0" w:right="0" w:hanging="0"/>
        <w:jc w:val="left"/>
        <w:rPr>
          <w:spacing w:val="0"/>
        </w:rPr>
      </w:pPr>
      <w:r>
        <w:rPr>
          <w:spacing w:val="0"/>
        </w:rPr>
        <w:t> </w:t>
      </w:r>
    </w:p>
    <w:tbl>
      <w:tblPr>
        <w:tblW w:w="3225" w:type="dxa"/>
        <w:jc w:val="left"/>
        <w:tblInd w:w="0" w:type="dxa"/>
        <w:tblCellMar>
          <w:top w:w="0" w:type="dxa"/>
          <w:left w:w="0" w:type="dxa"/>
          <w:bottom w:w="0" w:type="dxa"/>
          <w:right w:w="0" w:type="dxa"/>
        </w:tblCellMar>
      </w:tblPr>
      <w:tblGrid>
        <w:gridCol w:w="2330"/>
        <w:gridCol w:w="120"/>
        <w:gridCol w:w="140"/>
        <w:gridCol w:w="560"/>
        <w:gridCol w:w="75"/>
      </w:tblGrid>
      <w:tr>
        <w:trPr/>
        <w:tc>
          <w:tcPr>
            <w:tcW w:w="23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2,217</w:t>
            </w:r>
          </w:p>
        </w:tc>
        <w:tc>
          <w:tcPr>
            <w:tcW w:w="75" w:type="dxa"/>
            <w:tcBorders/>
            <w:shd w:fill="CCEEFF"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Operating lease </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672</w:t>
            </w:r>
          </w:p>
        </w:tc>
        <w:tc>
          <w:tcPr>
            <w:tcW w:w="75" w:type="dxa"/>
            <w:tcBorders/>
            <w:shd w:fill="auto"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234</w:t>
            </w:r>
          </w:p>
        </w:tc>
        <w:tc>
          <w:tcPr>
            <w:tcW w:w="75" w:type="dxa"/>
            <w:tcBorders/>
            <w:shd w:fill="CCEEFF"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949</w:t>
            </w:r>
          </w:p>
        </w:tc>
        <w:tc>
          <w:tcPr>
            <w:tcW w:w="75"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33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4,072</w:t>
            </w:r>
          </w:p>
        </w:tc>
        <w:tc>
          <w:tcPr>
            <w:tcW w:w="75" w:type="dxa"/>
            <w:tcBorders/>
            <w:shd w:fill="CCEEFF" w:val="clear"/>
            <w:vAlign w:val="center"/>
          </w:tcPr>
          <w:p>
            <w:pPr>
              <w:pStyle w:val="TableContents"/>
              <w:spacing w:before="0" w:after="283"/>
              <w:rPr/>
            </w:pPr>
            <w:r>
              <w:rPr/>
              <w:t> </w:t>
            </w:r>
          </w:p>
        </w:tc>
      </w:tr>
      <w:tr>
        <w:trPr/>
        <w:tc>
          <w:tcPr>
            <w:tcW w:w="23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2021, the liabilities related to assets held for sale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$1,497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mainly represented accounts payable, accrued expenses and other current liabilities, and operating lease liabilities.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December 8, 2022, the Company entered into an agreement with an independent third party (the “Buyer”) to dispose of its entire interest in the Japan Ski Resort with net liabilities of $13,663 (including a loan payable to the Company of Japanese Yen (“JPY”) 2,215,180 (equivalent to $16,876)) for a consideration of JPY 0.001; and to transfer the loan receivable from the Japan Ski Resort as mentioned above of JPY2,215,180 (equivalent to $16,876) to the Buyer for a consideration of JPY0.001. The disposal was completed on December 30, 2022 and the Company recorded a loss on disposal of assets held for sale of $3,106 which is included in property charges and other in the accompanying consolidated statements of operations during the year ended December 31, 2022.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2022 and 2021, the Hakone Assets classified as assets held for sale were comprised of property and equipment, with carrying values of $8,503 and $17,705, respectively. Due to a significant decrease in the market value of the freehold land included in Hakone Assets as of December 31, 2022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F-3</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575" w:type="dxa"/>
        <w:jc w:val="left"/>
        <w:tblInd w:w="0" w:type="dxa"/>
        <w:tblCellMar>
          <w:top w:w="0" w:type="dxa"/>
          <w:left w:w="0" w:type="dxa"/>
          <w:bottom w:w="0" w:type="dxa"/>
          <w:right w:w="0" w:type="dxa"/>
        </w:tblCellMar>
      </w:tblPr>
      <w:tblGrid>
        <w:gridCol w:w="215"/>
        <w:gridCol w:w="2360"/>
      </w:tblGrid>
      <w:tr>
        <w:trPr/>
        <w:tc>
          <w:tcPr>
            <w:tcW w:w="215" w:type="dxa"/>
            <w:tcBorders/>
            <w:shd w:fill="auto" w:val="clear"/>
            <w:vAlign w:val="center"/>
          </w:tcPr>
          <w:p>
            <w:pPr>
              <w:pStyle w:val="TableContents"/>
              <w:spacing w:before="0" w:after="0"/>
              <w:jc w:val="left"/>
              <w:rPr>
                <w:b/>
                <w:spacing w:val="0"/>
              </w:rPr>
            </w:pPr>
            <w:r>
              <w:rPr>
                <w:b/>
                <w:spacing w:val="0"/>
              </w:rPr>
              <w:t>6.</w:t>
            </w:r>
          </w:p>
        </w:tc>
        <w:tc>
          <w:tcPr>
            <w:tcW w:w="23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ASSETS HELD FOR SALE</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and 2021, an impairment loss on assets held for sale of $</w:t>
      </w:r>
    </w:p>
    <w:p>
      <w:pPr>
        <w:pStyle w:val="TextBody"/>
        <w:spacing w:before="0" w:after="0"/>
        <w:jc w:val="left"/>
        <w:rPr>
          <w:rFonts w:ascii="Times New Roman" w:hAnsi="Times New Roman"/>
          <w:spacing w:val="0"/>
          <w:sz w:val="20"/>
        </w:rPr>
      </w:pPr>
      <w:r>
        <w:rPr>
          <w:rFonts w:ascii="Times New Roman" w:hAnsi="Times New Roman"/>
          <w:spacing w:val="0"/>
          <w:sz w:val="20"/>
        </w:rPr>
        <w:t>6,794</w:t>
      </w:r>
    </w:p>
    <w:p>
      <w:pPr>
        <w:pStyle w:val="TextBody"/>
        <w:spacing w:before="0" w:after="0"/>
        <w:jc w:val="left"/>
        <w:rPr>
          <w:spacing w:val="0"/>
        </w:rPr>
      </w:pPr>
      <w:r>
        <w:rPr>
          <w:spacing w:val="0"/>
        </w:rPr>
        <w:t> </w:t>
      </w:r>
      <w:r>
        <w:rPr>
          <w:rFonts w:ascii="Times New Roman" w:hAnsi="Times New Roman"/>
          <w:spacing w:val="0"/>
          <w:sz w:val="20"/>
        </w:rPr>
        <w:t>and an impairment loss on property and equipment of $</w:t>
      </w:r>
    </w:p>
    <w:p>
      <w:pPr>
        <w:pStyle w:val="TextBody"/>
        <w:spacing w:before="0" w:after="0"/>
        <w:jc w:val="left"/>
        <w:rPr>
          <w:rFonts w:ascii="Times New Roman" w:hAnsi="Times New Roman"/>
          <w:spacing w:val="0"/>
          <w:sz w:val="20"/>
        </w:rPr>
      </w:pPr>
      <w:r>
        <w:rPr>
          <w:rFonts w:ascii="Times New Roman" w:hAnsi="Times New Roman"/>
          <w:spacing w:val="0"/>
          <w:sz w:val="20"/>
        </w:rPr>
        <w:t>1,147</w:t>
      </w:r>
    </w:p>
    <w:p>
      <w:pPr>
        <w:pStyle w:val="TextBody"/>
        <w:spacing w:before="0" w:after="0"/>
        <w:jc w:val="left"/>
        <w:rPr>
          <w:spacing w:val="0"/>
        </w:rPr>
      </w:pPr>
      <w:r>
        <w:rPr>
          <w:spacing w:val="0"/>
        </w:rPr>
        <w:t> </w:t>
      </w:r>
      <w:r>
        <w:rPr>
          <w:rFonts w:ascii="Times New Roman" w:hAnsi="Times New Roman"/>
          <w:spacing w:val="0"/>
          <w:sz w:val="20"/>
        </w:rPr>
        <w:t>was provided during the years ended December 31, 2022 and 2021, respectively. The fair value of the freehold land was calculated by using level 3 input based on the direct comparison method. The impairment losses are included in property charges and other in the accompanying consolidated statements of operations.</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As of December 31, 2022, the disposal of the Hakone Assets was in progress and was anticipated to be completed within one year.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June and August 2022, the Company signed the sale and purchase agreements with buyers to sell two aircraft (the “Aircraft”) with an aggregate selling price of $15,800. Before the completion of the disposals of the Aircraft in September 2022, the Company concluded the Aircraft met the criteria for classification as assets held for sale which </w:t>
      </w:r>
    </w:p>
    <w:p>
      <w:pPr>
        <w:pStyle w:val="TextBody"/>
        <w:spacing w:before="120" w:after="0"/>
        <w:jc w:val="left"/>
        <w:rPr>
          <w:rFonts w:ascii="Times New Roman" w:hAnsi="Times New Roman"/>
          <w:spacing w:val="0"/>
          <w:sz w:val="20"/>
        </w:rPr>
      </w:pPr>
      <w:r>
        <w:rPr>
          <w:rFonts w:ascii="Times New Roman" w:hAnsi="Times New Roman"/>
          <w:spacing w:val="0"/>
          <w:sz w:val="20"/>
        </w:rPr>
        <w:t>were</w:t>
      </w:r>
    </w:p>
    <w:p>
      <w:pPr>
        <w:pStyle w:val="TextBody"/>
        <w:spacing w:before="120" w:after="0"/>
        <w:jc w:val="left"/>
        <w:rPr>
          <w:rFonts w:ascii="Times New Roman" w:hAnsi="Times New Roman"/>
          <w:spacing w:val="0"/>
          <w:sz w:val="20"/>
        </w:rPr>
      </w:pPr>
      <w:r>
        <w:rPr>
          <w:rFonts w:ascii="Times New Roman" w:hAnsi="Times New Roman"/>
          <w:spacing w:val="0"/>
          <w:sz w:val="20"/>
        </w:rPr>
        <w:t>reported under the Corporate and Other segment, and an impairment loss of $3,595 was provided for one of the aircraft due to a decrease in its market value</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Th</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 </w:t>
      </w:r>
    </w:p>
    <w:p>
      <w:pPr>
        <w:pStyle w:val="TextBody"/>
        <w:spacing w:before="120" w:after="0"/>
        <w:jc w:val="left"/>
        <w:rPr>
          <w:rFonts w:ascii="Times New Roman" w:hAnsi="Times New Roman"/>
          <w:spacing w:val="0"/>
          <w:sz w:val="20"/>
        </w:rPr>
      </w:pPr>
      <w:r>
        <w:rPr>
          <w:rFonts w:ascii="Times New Roman" w:hAnsi="Times New Roman"/>
          <w:spacing w:val="0"/>
          <w:sz w:val="20"/>
        </w:rPr>
        <w:t>Company recorded a gain on disposal of assets held for sale of $2,629</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the Aircraft. The impairment loss and gain on disposal of assets held for sale are both included in property charges and other in the accompanying consolidated statements of operations for the year ended December 31, 2022. </w:t>
      </w:r>
    </w:p>
    <w:p>
      <w:pPr>
        <w:pStyle w:val="TextBody"/>
        <w:spacing w:before="0" w:after="0"/>
        <w:ind w:left="0" w:right="0" w:hanging="0"/>
        <w:jc w:val="left"/>
        <w:rPr>
          <w:spacing w:val="0"/>
        </w:rPr>
      </w:pPr>
      <w:r>
        <w:rPr>
          <w:spacing w:val="0"/>
        </w:rPr>
        <w:t> </w:t>
      </w:r>
    </w:p>
    <w:tbl>
      <w:tblPr>
        <w:tblW w:w="3550" w:type="dxa"/>
        <w:jc w:val="left"/>
        <w:tblInd w:w="0" w:type="dxa"/>
        <w:tblCellMar>
          <w:top w:w="0" w:type="dxa"/>
          <w:left w:w="0" w:type="dxa"/>
          <w:bottom w:w="0" w:type="dxa"/>
          <w:right w:w="0" w:type="dxa"/>
        </w:tblCellMar>
      </w:tblPr>
      <w:tblGrid>
        <w:gridCol w:w="215"/>
        <w:gridCol w:w="3335"/>
      </w:tblGrid>
      <w:tr>
        <w:trPr/>
        <w:tc>
          <w:tcPr>
            <w:tcW w:w="215" w:type="dxa"/>
            <w:tcBorders/>
            <w:shd w:fill="auto" w:val="clear"/>
            <w:vAlign w:val="center"/>
          </w:tcPr>
          <w:p>
            <w:pPr>
              <w:pStyle w:val="TableContents"/>
              <w:spacing w:before="0" w:after="0"/>
              <w:jc w:val="left"/>
              <w:rPr>
                <w:b/>
                <w:spacing w:val="0"/>
              </w:rPr>
            </w:pPr>
            <w:r>
              <w:rPr>
                <w:b/>
                <w:spacing w:val="0"/>
              </w:rPr>
              <w:t>7.</w:t>
            </w:r>
          </w:p>
        </w:tc>
        <w:tc>
          <w:tcPr>
            <w:tcW w:w="33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PROPERTY AND EQUIPMENT, NET </w:t>
            </w:r>
          </w:p>
        </w:tc>
      </w:tr>
    </w:tbl>
    <w:p>
      <w:pPr>
        <w:pStyle w:val="TextBody"/>
        <w:spacing w:before="0" w:after="0"/>
        <w:jc w:val="left"/>
        <w:rPr>
          <w:spacing w:val="0"/>
        </w:rPr>
      </w:pPr>
      <w:r>
        <w:rPr>
          <w:spacing w:val="0"/>
        </w:rPr>
        <w:t> </w:t>
      </w:r>
    </w:p>
    <w:tbl>
      <w:tblPr>
        <w:tblW w:w="7010" w:type="dxa"/>
        <w:jc w:val="left"/>
        <w:tblInd w:w="0" w:type="dxa"/>
        <w:tblCellMar>
          <w:top w:w="0" w:type="dxa"/>
          <w:left w:w="0" w:type="dxa"/>
          <w:bottom w:w="0" w:type="dxa"/>
          <w:right w:w="0" w:type="dxa"/>
        </w:tblCellMar>
      </w:tblPr>
      <w:tblGrid>
        <w:gridCol w:w="4025"/>
        <w:gridCol w:w="120"/>
        <w:gridCol w:w="140"/>
        <w:gridCol w:w="1100"/>
        <w:gridCol w:w="95"/>
        <w:gridCol w:w="120"/>
        <w:gridCol w:w="140"/>
        <w:gridCol w:w="1100"/>
        <w:gridCol w:w="170"/>
      </w:tblGrid>
      <w:tr>
        <w:trPr/>
        <w:tc>
          <w:tcPr>
            <w:tcW w:w="4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695"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402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4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10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Buildings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  </w:t>
            </w:r>
            <w:r>
              <w:rPr/>
              <w:t>6,186,373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6,312,791</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Furniture, fixtures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1,112,670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1,077,769</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Leasehold improvements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1,080,737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1,165,452</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Plant and gaming machinery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246,255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267,838</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Transportation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190,843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218,017</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Construction in progress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1,464,866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1,020,551</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Freehold land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56,533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59,809</w:t>
            </w:r>
          </w:p>
        </w:tc>
        <w:tc>
          <w:tcPr>
            <w:tcW w:w="170" w:type="dxa"/>
            <w:tcBorders/>
            <w:shd w:fill="auto"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10,338,277</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10,122,227</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(4,467,372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(4,211,543</w:t>
            </w:r>
          </w:p>
        </w:tc>
        <w:tc>
          <w:tcPr>
            <w:tcW w:w="170" w:type="dxa"/>
            <w:tcBorders/>
            <w:shd w:fill="auto"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5,870,905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5,910,684</w:t>
            </w:r>
          </w:p>
        </w:tc>
        <w:tc>
          <w:tcPr>
            <w:tcW w:w="170"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As of December 31, 2022 and 2021, construction in progress, mainly in relation to Studio City and Cyprus Operations, included interest capitalized in accordance with applicable accounting standards and other direct incidental costs capitalized which, in the aggregate, amounted to $</w:t>
      </w:r>
    </w:p>
    <w:p>
      <w:pPr>
        <w:pStyle w:val="TextBody"/>
        <w:spacing w:before="120" w:after="0"/>
        <w:jc w:val="left"/>
        <w:rPr>
          <w:rFonts w:ascii="Times New Roman" w:hAnsi="Times New Roman"/>
          <w:sz w:val="20"/>
        </w:rPr>
      </w:pPr>
      <w:r>
        <w:rPr>
          <w:rFonts w:ascii="Times New Roman" w:hAnsi="Times New Roman"/>
          <w:sz w:val="20"/>
        </w:rPr>
        <w:t>176,538</w:t>
      </w:r>
    </w:p>
    <w:p>
      <w:pPr>
        <w:pStyle w:val="TextBody"/>
        <w:spacing w:before="120" w:after="0"/>
        <w:jc w:val="left"/>
        <w:rPr>
          <w:rFonts w:ascii="Times New Roman" w:hAnsi="Times New Roman"/>
          <w:spacing w:val="0"/>
          <w:sz w:val="20"/>
        </w:rPr>
      </w:pPr>
      <w:r>
        <w:rPr>
          <w:rFonts w:ascii="Times New Roman" w:hAnsi="Times New Roman"/>
          <w:spacing w:val="0"/>
          <w:sz w:val="20"/>
        </w:rPr>
        <w:t>and $</w:t>
      </w:r>
    </w:p>
    <w:p>
      <w:pPr>
        <w:pStyle w:val="TextBody"/>
        <w:spacing w:before="120" w:after="0"/>
        <w:jc w:val="left"/>
        <w:rPr>
          <w:rFonts w:ascii="Times New Roman" w:hAnsi="Times New Roman"/>
          <w:sz w:val="20"/>
        </w:rPr>
      </w:pPr>
      <w:r>
        <w:rPr>
          <w:rFonts w:ascii="Times New Roman" w:hAnsi="Times New Roman"/>
          <w:sz w:val="20"/>
        </w:rPr>
        <w:t>93,207</w:t>
      </w:r>
    </w:p>
    <w:p>
      <w:pPr>
        <w:pStyle w:val="TextBody"/>
        <w:spacing w:before="120" w:after="0"/>
        <w:jc w:val="left"/>
        <w:rPr>
          <w:rFonts w:ascii="Times New Roman" w:hAnsi="Times New Roman"/>
          <w:spacing w:val="0"/>
          <w:sz w:val="20"/>
        </w:rPr>
      </w:pPr>
      <w:r>
        <w:rPr>
          <w:rFonts w:ascii="Times New Roman" w:hAnsi="Times New Roman"/>
          <w:spacing w:val="0"/>
          <w:sz w:val="20"/>
        </w:rPr>
        <w:t>, respectively.</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depreciation and amortization expenses of property and equipment recognized for the years ended December 31, 2022, 2021 and 2020 were $454,194, $487,130 and $526,257, respectively.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cost and accumulated amortization of </w:t>
      </w:r>
    </w:p>
    <w:p>
      <w:pPr>
        <w:pStyle w:val="TextBody"/>
        <w:spacing w:before="120" w:after="0"/>
        <w:jc w:val="left"/>
        <w:rPr>
          <w:rFonts w:ascii="Times New Roman" w:hAnsi="Times New Roman"/>
          <w:spacing w:val="0"/>
          <w:sz w:val="20"/>
        </w:rPr>
      </w:pPr>
      <w:r>
        <w:rPr>
          <w:rFonts w:ascii="Times New Roman" w:hAnsi="Times New Roman"/>
          <w:spacing w:val="0"/>
          <w:sz w:val="20"/>
        </w:rPr>
        <w:t>right-of-use</w:t>
      </w:r>
    </w:p>
    <w:p>
      <w:pPr>
        <w:pStyle w:val="TextBody"/>
        <w:spacing w:before="120" w:after="0"/>
        <w:jc w:val="left"/>
        <w:rPr>
          <w:rFonts w:ascii="Times New Roman" w:hAnsi="Times New Roman"/>
          <w:spacing w:val="0"/>
          <w:sz w:val="20"/>
        </w:rPr>
      </w:pPr>
      <w:r>
        <w:rPr>
          <w:rFonts w:ascii="Times New Roman" w:hAnsi="Times New Roman"/>
          <w:spacing w:val="0"/>
          <w:sz w:val="20"/>
        </w:rPr>
        <w:t>assets held under finance lease arrangements were $</w:t>
      </w:r>
    </w:p>
    <w:p>
      <w:pPr>
        <w:pStyle w:val="TextBody"/>
        <w:spacing w:before="120" w:after="0"/>
        <w:jc w:val="left"/>
        <w:rPr>
          <w:rFonts w:ascii="Times New Roman" w:hAnsi="Times New Roman"/>
          <w:sz w:val="20"/>
        </w:rPr>
      </w:pPr>
      <w:r>
        <w:rPr>
          <w:rFonts w:ascii="Times New Roman" w:hAnsi="Times New Roman"/>
          <w:sz w:val="20"/>
        </w:rPr>
        <w:t>145,660</w:t>
      </w:r>
    </w:p>
    <w:p>
      <w:pPr>
        <w:pStyle w:val="TextBody"/>
        <w:spacing w:before="120" w:after="0"/>
        <w:jc w:val="left"/>
        <w:rPr>
          <w:rFonts w:ascii="Times New Roman" w:hAnsi="Times New Roman"/>
          <w:spacing w:val="0"/>
          <w:sz w:val="20"/>
        </w:rPr>
      </w:pPr>
      <w:r>
        <w:rPr>
          <w:rFonts w:ascii="Times New Roman" w:hAnsi="Times New Roman"/>
          <w:spacing w:val="0"/>
          <w:sz w:val="20"/>
        </w:rPr>
        <w:t>and $</w:t>
      </w:r>
    </w:p>
    <w:p>
      <w:pPr>
        <w:pStyle w:val="TextBody"/>
        <w:spacing w:before="120" w:after="0"/>
        <w:jc w:val="left"/>
        <w:rPr>
          <w:rFonts w:ascii="Times New Roman" w:hAnsi="Times New Roman"/>
          <w:sz w:val="20"/>
        </w:rPr>
      </w:pPr>
      <w:r>
        <w:rPr>
          <w:rFonts w:ascii="Times New Roman" w:hAnsi="Times New Roman"/>
          <w:sz w:val="20"/>
        </w:rPr>
        <w:t>95,310</w:t>
      </w:r>
    </w:p>
    <w:p>
      <w:pPr>
        <w:pStyle w:val="TextBody"/>
        <w:spacing w:before="120" w:after="0"/>
        <w:jc w:val="left"/>
        <w:rPr>
          <w:rFonts w:ascii="Times New Roman" w:hAnsi="Times New Roman"/>
          <w:spacing w:val="0"/>
          <w:sz w:val="20"/>
        </w:rPr>
      </w:pPr>
      <w:r>
        <w:rPr>
          <w:rFonts w:ascii="Times New Roman" w:hAnsi="Times New Roman"/>
          <w:spacing w:val="0"/>
          <w:sz w:val="20"/>
        </w:rPr>
        <w:t>as of December 31, 2022 and $</w:t>
      </w:r>
    </w:p>
    <w:p>
      <w:pPr>
        <w:pStyle w:val="TextBody"/>
        <w:spacing w:before="120" w:after="0"/>
        <w:jc w:val="left"/>
        <w:rPr>
          <w:rFonts w:ascii="Times New Roman" w:hAnsi="Times New Roman"/>
          <w:sz w:val="20"/>
        </w:rPr>
      </w:pPr>
      <w:r>
        <w:rPr>
          <w:rFonts w:ascii="Times New Roman" w:hAnsi="Times New Roman"/>
          <w:sz w:val="20"/>
        </w:rPr>
        <w:t>276,838</w:t>
      </w:r>
    </w:p>
    <w:p>
      <w:pPr>
        <w:pStyle w:val="TextBody"/>
        <w:spacing w:before="120" w:after="0"/>
        <w:jc w:val="left"/>
        <w:rPr>
          <w:rFonts w:ascii="Times New Roman" w:hAnsi="Times New Roman"/>
          <w:spacing w:val="0"/>
          <w:sz w:val="20"/>
        </w:rPr>
      </w:pPr>
      <w:r>
        <w:rPr>
          <w:rFonts w:ascii="Times New Roman" w:hAnsi="Times New Roman"/>
          <w:spacing w:val="0"/>
          <w:sz w:val="20"/>
        </w:rPr>
        <w:t>and $</w:t>
      </w:r>
    </w:p>
    <w:p>
      <w:pPr>
        <w:pStyle w:val="TextBody"/>
        <w:spacing w:before="120" w:after="0"/>
        <w:jc w:val="left"/>
        <w:rPr>
          <w:rFonts w:ascii="Times New Roman" w:hAnsi="Times New Roman"/>
          <w:sz w:val="20"/>
        </w:rPr>
      </w:pPr>
      <w:r>
        <w:rPr>
          <w:rFonts w:ascii="Times New Roman" w:hAnsi="Times New Roman"/>
          <w:sz w:val="20"/>
        </w:rPr>
        <w:t>91,530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2021, respectively. Further information on the lease arrangements is included in Note </w:t>
      </w:r>
    </w:p>
    <w:p>
      <w:pPr>
        <w:pStyle w:val="TextBody"/>
        <w:spacing w:before="120" w:after="0"/>
        <w:jc w:val="left"/>
        <w:rPr>
          <w:rFonts w:ascii="Times New Roman" w:hAnsi="Times New Roman"/>
          <w:spacing w:val="0"/>
          <w:sz w:val="20"/>
        </w:rPr>
      </w:pPr>
      <w:r>
        <w:rPr>
          <w:rFonts w:ascii="Times New Roman" w:hAnsi="Times New Roman"/>
          <w:spacing w:val="0"/>
          <w:sz w:val="20"/>
        </w:rPr>
        <w:t>14</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Reversion Assets that reverted to the Macau government at the expiration of the subconcession are owned by the Macau government. Effective as of January 1, 2023, the Reversion Assets were transferred to Melco Resorts Macau for the duration of the Concession, in return for annual payments for the right to operate the Reversion Assets as part of the Concession as disclosed in Note 1(c).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F-3</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0" w:after="0"/>
        <w:ind w:left="0" w:right="0" w:hanging="0"/>
        <w:jc w:val="center"/>
        <w:rPr>
          <w:rFonts w:ascii="Times New Roman" w:hAnsi="Times New Roman"/>
          <w:sz w:val="20"/>
        </w:rPr>
      </w:pPr>
      <w:r>
        <w:rPr>
          <w:rFonts w:ascii="Times New Roman" w:hAnsi="Times New Roman"/>
          <w:sz w:val="20"/>
        </w:rPr>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505" w:type="dxa"/>
        <w:jc w:val="left"/>
        <w:tblInd w:w="0" w:type="dxa"/>
        <w:tblCellMar>
          <w:top w:w="0" w:type="dxa"/>
          <w:left w:w="0" w:type="dxa"/>
          <w:bottom w:w="0" w:type="dxa"/>
          <w:right w:w="0" w:type="dxa"/>
        </w:tblCellMar>
      </w:tblPr>
      <w:tblGrid>
        <w:gridCol w:w="215"/>
        <w:gridCol w:w="3290"/>
      </w:tblGrid>
      <w:tr>
        <w:trPr/>
        <w:tc>
          <w:tcPr>
            <w:tcW w:w="215" w:type="dxa"/>
            <w:tcBorders/>
            <w:shd w:fill="auto" w:val="clear"/>
            <w:vAlign w:val="center"/>
          </w:tcPr>
          <w:p>
            <w:pPr>
              <w:pStyle w:val="TableContents"/>
              <w:spacing w:before="0" w:after="0"/>
              <w:jc w:val="left"/>
              <w:rPr>
                <w:b/>
                <w:spacing w:val="0"/>
              </w:rPr>
            </w:pPr>
            <w:r>
              <w:rPr>
                <w:b/>
                <w:spacing w:val="0"/>
              </w:rPr>
              <w:t>7.</w:t>
            </w:r>
          </w:p>
        </w:tc>
        <w:tc>
          <w:tcPr>
            <w:tcW w:w="32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PROPERTY AND EQUIPMENT,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Reversion Assets that reverted to the Macau government on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December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31, 2022, and included in the above table, consisted of the following: </w:t>
      </w:r>
    </w:p>
    <w:p>
      <w:pPr>
        <w:pStyle w:val="TextBody"/>
        <w:spacing w:before="0" w:after="0"/>
        <w:ind w:left="0" w:right="0" w:hanging="0"/>
        <w:jc w:val="left"/>
        <w:rPr>
          <w:spacing w:val="0"/>
        </w:rPr>
      </w:pPr>
      <w:r>
        <w:rPr>
          <w:spacing w:val="0"/>
        </w:rPr>
        <w:t> </w:t>
      </w:r>
    </w:p>
    <w:tbl>
      <w:tblPr>
        <w:tblW w:w="3995" w:type="dxa"/>
        <w:jc w:val="left"/>
        <w:tblInd w:w="0" w:type="dxa"/>
        <w:tblCellMar>
          <w:top w:w="0" w:type="dxa"/>
          <w:left w:w="0" w:type="dxa"/>
          <w:bottom w:w="0" w:type="dxa"/>
          <w:right w:w="0" w:type="dxa"/>
        </w:tblCellMar>
      </w:tblPr>
      <w:tblGrid>
        <w:gridCol w:w="2750"/>
        <w:gridCol w:w="120"/>
        <w:gridCol w:w="140"/>
        <w:gridCol w:w="875"/>
        <w:gridCol w:w="110"/>
      </w:tblGrid>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2750" w:type="dxa"/>
            <w:tcBorders/>
            <w:shd w:fill="CCEEFF" w:val="clear"/>
            <w:vAlign w:val="center"/>
          </w:tcPr>
          <w:p>
            <w:pPr>
              <w:pStyle w:val="TableContents"/>
              <w:spacing w:before="0" w:after="0"/>
              <w:rPr>
                <w:spacing w:val="0"/>
                <w:sz w:val="20"/>
              </w:rPr>
            </w:pPr>
            <w:r>
              <w:rPr>
                <w:spacing w:val="0"/>
                <w:sz w:val="20"/>
              </w:rPr>
              <w:t>Buildings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w:t>
            </w:r>
          </w:p>
        </w:tc>
        <w:tc>
          <w:tcPr>
            <w:tcW w:w="875" w:type="dxa"/>
            <w:tcBorders/>
            <w:shd w:fill="CCEEFF" w:val="clear"/>
            <w:vAlign w:val="center"/>
          </w:tcPr>
          <w:p>
            <w:pPr>
              <w:pStyle w:val="TableContents"/>
              <w:spacing w:before="0" w:after="0"/>
              <w:jc w:val="right"/>
              <w:rPr>
                <w:spacing w:val="0"/>
              </w:rPr>
            </w:pPr>
            <w:r>
              <w:rPr>
                <w:spacing w:val="0"/>
              </w:rPr>
              <w:t xml:space="preserve">349,129 </w:t>
            </w:r>
          </w:p>
        </w:tc>
        <w:tc>
          <w:tcPr>
            <w:tcW w:w="110" w:type="dxa"/>
            <w:tcBorders/>
            <w:shd w:fill="CCEEFF" w:val="clear"/>
            <w:vAlign w:val="center"/>
          </w:tcPr>
          <w:p>
            <w:pPr>
              <w:pStyle w:val="TableContents"/>
              <w:spacing w:before="0" w:after="0"/>
              <w:rPr>
                <w:spacing w:val="0"/>
              </w:rPr>
            </w:pPr>
            <w:r>
              <w:rPr>
                <w:spacing w:val="0"/>
              </w:rPr>
              <w:t> </w:t>
            </w:r>
          </w:p>
        </w:tc>
      </w:tr>
      <w:tr>
        <w:trPr/>
        <w:tc>
          <w:tcPr>
            <w:tcW w:w="2750" w:type="dxa"/>
            <w:tcBorders/>
            <w:shd w:fill="auto" w:val="clear"/>
            <w:vAlign w:val="center"/>
          </w:tcPr>
          <w:p>
            <w:pPr>
              <w:pStyle w:val="TableContents"/>
              <w:spacing w:before="0" w:after="0"/>
              <w:rPr>
                <w:spacing w:val="0"/>
                <w:sz w:val="20"/>
              </w:rPr>
            </w:pPr>
            <w:r>
              <w:rPr>
                <w:spacing w:val="0"/>
                <w:sz w:val="20"/>
              </w:rPr>
              <w:t>Furniture, fixtures and equipment</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spacing w:val="0"/>
              </w:rPr>
            </w:pPr>
            <w:r>
              <w:rPr>
                <w:spacing w:val="0"/>
              </w:rPr>
              <w:t xml:space="preserve">39,008 </w:t>
            </w:r>
          </w:p>
        </w:tc>
        <w:tc>
          <w:tcPr>
            <w:tcW w:w="110" w:type="dxa"/>
            <w:tcBorders/>
            <w:shd w:fill="auto" w:val="clear"/>
            <w:vAlign w:val="center"/>
          </w:tcPr>
          <w:p>
            <w:pPr>
              <w:pStyle w:val="TableContents"/>
              <w:spacing w:before="0" w:after="0"/>
              <w:rPr>
                <w:spacing w:val="0"/>
              </w:rPr>
            </w:pPr>
            <w:r>
              <w:rPr>
                <w:spacing w:val="0"/>
              </w:rPr>
              <w:t> </w:t>
            </w:r>
          </w:p>
        </w:tc>
      </w:tr>
      <w:tr>
        <w:trPr/>
        <w:tc>
          <w:tcPr>
            <w:tcW w:w="2750" w:type="dxa"/>
            <w:tcBorders/>
            <w:shd w:fill="CCEEFF" w:val="clear"/>
            <w:vAlign w:val="center"/>
          </w:tcPr>
          <w:p>
            <w:pPr>
              <w:pStyle w:val="TableContents"/>
              <w:spacing w:before="0" w:after="0"/>
              <w:rPr>
                <w:spacing w:val="0"/>
                <w:sz w:val="20"/>
              </w:rPr>
            </w:pPr>
            <w:r>
              <w:rPr>
                <w:spacing w:val="0"/>
                <w:sz w:val="20"/>
              </w:rPr>
              <w:t>Plant and gaming machinery</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spacing w:val="0"/>
              </w:rPr>
            </w:pPr>
            <w:r>
              <w:rPr>
                <w:spacing w:val="0"/>
              </w:rPr>
              <w:t xml:space="preserve">109,901 </w:t>
            </w:r>
          </w:p>
        </w:tc>
        <w:tc>
          <w:tcPr>
            <w:tcW w:w="110" w:type="dxa"/>
            <w:tcBorders/>
            <w:shd w:fill="CCEEFF" w:val="clear"/>
            <w:vAlign w:val="center"/>
          </w:tcPr>
          <w:p>
            <w:pPr>
              <w:pStyle w:val="TableContents"/>
              <w:spacing w:before="0" w:after="0"/>
              <w:rPr>
                <w:spacing w:val="0"/>
              </w:rPr>
            </w:pPr>
            <w:r>
              <w:rPr>
                <w:spacing w:val="0"/>
              </w:rPr>
              <w:t> </w:t>
            </w:r>
          </w:p>
        </w:tc>
      </w:tr>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 w:type="dxa"/>
            <w:tcBorders/>
            <w:shd w:fill="auto" w:val="clear"/>
            <w:vAlign w:val="center"/>
          </w:tcPr>
          <w:p>
            <w:pPr>
              <w:pStyle w:val="TableContents"/>
              <w:spacing w:before="0" w:after="0"/>
              <w:rPr>
                <w:spacing w:val="0"/>
              </w:rPr>
            </w:pPr>
            <w:r>
              <w:rPr>
                <w:spacing w:val="0"/>
              </w:rPr>
              <w:t> </w:t>
            </w:r>
          </w:p>
        </w:tc>
      </w:tr>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 </w:t>
            </w:r>
          </w:p>
        </w:tc>
        <w:tc>
          <w:tcPr>
            <w:tcW w:w="875" w:type="dxa"/>
            <w:tcBorders/>
            <w:shd w:fill="auto" w:val="clear"/>
            <w:vAlign w:val="center"/>
          </w:tcPr>
          <w:p>
            <w:pPr>
              <w:pStyle w:val="TableContents"/>
              <w:spacing w:before="0" w:after="0"/>
              <w:jc w:val="right"/>
              <w:rPr>
                <w:spacing w:val="0"/>
              </w:rPr>
            </w:pPr>
            <w:r>
              <w:rPr>
                <w:spacing w:val="0"/>
              </w:rPr>
              <w:t>498,038</w:t>
            </w:r>
          </w:p>
        </w:tc>
        <w:tc>
          <w:tcPr>
            <w:tcW w:w="1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0"/>
              <w:rPr>
                <w:spacing w:val="0"/>
              </w:rPr>
            </w:pPr>
            <w:r>
              <w:rPr>
                <w:spacing w:val="0"/>
              </w:rPr>
              <w:t> </w:t>
            </w:r>
          </w:p>
        </w:tc>
        <w:tc>
          <w:tcPr>
            <w:tcW w:w="875" w:type="dxa"/>
            <w:tcBorders/>
            <w:shd w:fill="CCEEFF" w:val="clear"/>
            <w:vAlign w:val="center"/>
          </w:tcPr>
          <w:p>
            <w:pPr>
              <w:pStyle w:val="TableContents"/>
              <w:spacing w:before="0" w:after="0"/>
              <w:jc w:val="right"/>
              <w:rPr>
                <w:spacing w:val="0"/>
              </w:rPr>
            </w:pPr>
            <w:r>
              <w:rPr>
                <w:spacing w:val="0"/>
              </w:rPr>
              <w:t>(276,581</w:t>
            </w:r>
          </w:p>
        </w:tc>
        <w:tc>
          <w:tcPr>
            <w:tcW w:w="110" w:type="dxa"/>
            <w:tcBorders/>
            <w:shd w:fill="CCEEFF" w:val="clear"/>
            <w:vAlign w:val="center"/>
          </w:tcPr>
          <w:p>
            <w:pPr>
              <w:pStyle w:val="TableContents"/>
              <w:spacing w:before="0" w:after="0"/>
              <w:rPr/>
            </w:pPr>
            <w:r>
              <w:rPr/>
              <w:t>)</w:t>
            </w:r>
          </w:p>
          <w:p>
            <w:pPr>
              <w:pStyle w:val="TableContents"/>
              <w:spacing w:before="0" w:after="0"/>
              <w:rPr>
                <w:spacing w:val="0"/>
              </w:rPr>
            </w:pPr>
            <w:r>
              <w:rPr>
                <w:spacing w:val="0"/>
              </w:rPr>
              <w:t> </w:t>
            </w:r>
          </w:p>
        </w:tc>
      </w:tr>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 w:type="dxa"/>
            <w:tcBorders/>
            <w:shd w:fill="auto" w:val="clear"/>
            <w:vAlign w:val="center"/>
          </w:tcPr>
          <w:p>
            <w:pPr>
              <w:pStyle w:val="TableContents"/>
              <w:spacing w:before="0" w:after="0"/>
              <w:rPr>
                <w:spacing w:val="0"/>
              </w:rPr>
            </w:pPr>
            <w:r>
              <w:rPr>
                <w:spacing w:val="0"/>
              </w:rPr>
              <w:t> </w:t>
            </w:r>
          </w:p>
        </w:tc>
      </w:tr>
      <w:tr>
        <w:trPr/>
        <w:tc>
          <w:tcPr>
            <w:tcW w:w="27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rPr>
            </w:pPr>
            <w:r>
              <w:rPr>
                <w:spacing w:val="0"/>
              </w:rPr>
              <w:t>$</w:t>
            </w:r>
          </w:p>
        </w:tc>
        <w:tc>
          <w:tcPr>
            <w:tcW w:w="875" w:type="dxa"/>
            <w:tcBorders/>
            <w:shd w:fill="auto" w:val="clear"/>
            <w:vAlign w:val="center"/>
          </w:tcPr>
          <w:p>
            <w:pPr>
              <w:pStyle w:val="TableContents"/>
              <w:spacing w:before="0" w:after="0"/>
              <w:jc w:val="right"/>
              <w:rPr>
                <w:spacing w:val="0"/>
              </w:rPr>
            </w:pPr>
            <w:r>
              <w:rPr>
                <w:spacing w:val="0"/>
              </w:rPr>
              <w:t xml:space="preserve">221,457 </w:t>
            </w:r>
          </w:p>
        </w:tc>
        <w:tc>
          <w:tcPr>
            <w:tcW w:w="110" w:type="dxa"/>
            <w:tcBorders/>
            <w:shd w:fill="auto" w:val="clear"/>
            <w:vAlign w:val="center"/>
          </w:tcPr>
          <w:p>
            <w:pPr>
              <w:pStyle w:val="TableContents"/>
              <w:spacing w:before="0" w:after="0"/>
              <w:rPr>
                <w:spacing w:val="0"/>
              </w:rPr>
            </w:pPr>
            <w:r>
              <w:rPr>
                <w:spacing w:val="0"/>
              </w:rPr>
              <w:t> </w:t>
            </w:r>
          </w:p>
        </w:tc>
      </w:tr>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 w:type="dxa"/>
            <w:tcBorders/>
            <w:shd w:fill="auto" w:val="clear"/>
            <w:vAlign w:val="center"/>
          </w:tcPr>
          <w:p>
            <w:pPr>
              <w:pStyle w:val="TableContents"/>
              <w:spacing w:before="0" w:after="0"/>
              <w:rPr>
                <w:spacing w:val="0"/>
              </w:rPr>
            </w:pPr>
            <w:r>
              <w:rPr>
                <w:spacing w:val="0"/>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As Melco Resorts Macau will continue to operate the Reversion Assets in the same manner as under the previous subconcession, obtain substantially all of the economic benefits and bear all of the risks arising from the use of these assets, as well as assuming it will be successful in the awarding of a new concession upon expiry of the Concession, the Company will continue to recognize these Reversion Assets as property and equipment over their remaining estimated useful lives.</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3295" w:type="dxa"/>
        <w:jc w:val="left"/>
        <w:tblInd w:w="0" w:type="dxa"/>
        <w:tblCellMar>
          <w:top w:w="0" w:type="dxa"/>
          <w:left w:w="0" w:type="dxa"/>
          <w:bottom w:w="0" w:type="dxa"/>
          <w:right w:w="0" w:type="dxa"/>
        </w:tblCellMar>
      </w:tblPr>
      <w:tblGrid>
        <w:gridCol w:w="215"/>
        <w:gridCol w:w="3080"/>
      </w:tblGrid>
      <w:tr>
        <w:trPr/>
        <w:tc>
          <w:tcPr>
            <w:tcW w:w="215" w:type="dxa"/>
            <w:tcBorders/>
            <w:shd w:fill="auto" w:val="clear"/>
            <w:vAlign w:val="center"/>
          </w:tcPr>
          <w:p>
            <w:pPr>
              <w:pStyle w:val="TableContents"/>
              <w:spacing w:before="0" w:after="0"/>
              <w:jc w:val="left"/>
              <w:rPr>
                <w:b/>
                <w:spacing w:val="0"/>
              </w:rPr>
            </w:pPr>
            <w:r>
              <w:rPr>
                <w:b/>
                <w:spacing w:val="0"/>
              </w:rPr>
              <w:t>8.</w:t>
            </w:r>
          </w:p>
        </w:tc>
        <w:tc>
          <w:tcPr>
            <w:tcW w:w="30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GAMING SUBCONCESSION, NET </w:t>
            </w:r>
          </w:p>
        </w:tc>
      </w:tr>
    </w:tbl>
    <w:p>
      <w:pPr>
        <w:pStyle w:val="TextBody"/>
        <w:spacing w:before="0" w:after="0"/>
        <w:ind w:left="0" w:right="0" w:hanging="0"/>
        <w:jc w:val="left"/>
        <w:rPr>
          <w:spacing w:val="0"/>
        </w:rPr>
      </w:pPr>
      <w:r>
        <w:rPr>
          <w:spacing w:val="0"/>
        </w:rPr>
        <w:t> </w:t>
      </w:r>
    </w:p>
    <w:tbl>
      <w:tblPr>
        <w:tblW w:w="5150" w:type="dxa"/>
        <w:jc w:val="left"/>
        <w:tblInd w:w="0" w:type="dxa"/>
        <w:tblCellMar>
          <w:top w:w="0" w:type="dxa"/>
          <w:left w:w="0" w:type="dxa"/>
          <w:bottom w:w="0" w:type="dxa"/>
          <w:right w:w="0" w:type="dxa"/>
        </w:tblCellMar>
      </w:tblPr>
      <w:tblGrid>
        <w:gridCol w:w="2615"/>
        <w:gridCol w:w="120"/>
        <w:gridCol w:w="140"/>
        <w:gridCol w:w="875"/>
        <w:gridCol w:w="95"/>
        <w:gridCol w:w="120"/>
        <w:gridCol w:w="140"/>
        <w:gridCol w:w="875"/>
        <w:gridCol w:w="170"/>
      </w:tblGrid>
      <w:tr>
        <w:trPr/>
        <w:tc>
          <w:tcPr>
            <w:tcW w:w="2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45"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70"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Deemed cost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902,441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897,866</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(902,441</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(870,801</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Gaming subconcession,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27,065</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rPr>
          <w:sz w:val="36"/>
        </w:rPr>
      </w:pPr>
      <w:r>
        <w:rPr>
          <w:sz w:val="36"/>
        </w:rPr>
      </w:r>
    </w:p>
    <w:tbl>
      <w:tblPr>
        <w:tblW w:w="4420" w:type="dxa"/>
        <w:jc w:val="left"/>
        <w:tblInd w:w="0" w:type="dxa"/>
        <w:tblCellMar>
          <w:top w:w="0" w:type="dxa"/>
          <w:left w:w="0" w:type="dxa"/>
          <w:bottom w:w="0" w:type="dxa"/>
          <w:right w:w="0" w:type="dxa"/>
        </w:tblCellMar>
      </w:tblPr>
      <w:tblGrid>
        <w:gridCol w:w="215"/>
        <w:gridCol w:w="4205"/>
      </w:tblGrid>
      <w:tr>
        <w:trPr/>
        <w:tc>
          <w:tcPr>
            <w:tcW w:w="215" w:type="dxa"/>
            <w:tcBorders/>
            <w:shd w:fill="auto" w:val="clear"/>
            <w:vAlign w:val="center"/>
          </w:tcPr>
          <w:p>
            <w:pPr>
              <w:pStyle w:val="TableContents"/>
              <w:spacing w:before="0" w:after="0"/>
              <w:jc w:val="left"/>
              <w:rPr>
                <w:b/>
                <w:spacing w:val="0"/>
              </w:rPr>
            </w:pPr>
            <w:r>
              <w:rPr>
                <w:b/>
                <w:spacing w:val="0"/>
              </w:rPr>
              <w:t>9.</w:t>
            </w:r>
          </w:p>
        </w:tc>
        <w:tc>
          <w:tcPr>
            <w:tcW w:w="42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GOODWILL AND INTANGIBLE ASSETS, NET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(a) Goodwill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changes in the carrying amounts of goodwill by segment are as follows: </w:t>
      </w:r>
    </w:p>
    <w:p>
      <w:pPr>
        <w:pStyle w:val="TextBody"/>
        <w:spacing w:before="0" w:after="0"/>
        <w:jc w:val="left"/>
        <w:rPr>
          <w:spacing w:val="0"/>
        </w:rPr>
      </w:pPr>
      <w:r>
        <w:rPr>
          <w:spacing w:val="0"/>
        </w:rPr>
        <w:t> </w:t>
      </w:r>
    </w:p>
    <w:p>
      <w:pPr>
        <w:pStyle w:val="TextBody"/>
        <w:spacing w:before="0" w:after="0"/>
        <w:jc w:val="left"/>
        <w:rPr>
          <w:sz w:val="12"/>
        </w:rPr>
      </w:pPr>
      <w:r>
        <w:rPr>
          <w:sz w:val="12"/>
        </w:rPr>
      </w:r>
    </w:p>
    <w:tbl>
      <w:tblPr>
        <w:tblW w:w="6055" w:type="dxa"/>
        <w:jc w:val="left"/>
        <w:tblInd w:w="0" w:type="dxa"/>
        <w:tblCellMar>
          <w:top w:w="0" w:type="dxa"/>
          <w:left w:w="0" w:type="dxa"/>
          <w:bottom w:w="0" w:type="dxa"/>
          <w:right w:w="0" w:type="dxa"/>
        </w:tblCellMar>
      </w:tblPr>
      <w:tblGrid>
        <w:gridCol w:w="2510"/>
        <w:gridCol w:w="120"/>
        <w:gridCol w:w="164"/>
        <w:gridCol w:w="801"/>
        <w:gridCol w:w="155"/>
        <w:gridCol w:w="60"/>
        <w:gridCol w:w="150"/>
        <w:gridCol w:w="815"/>
        <w:gridCol w:w="155"/>
        <w:gridCol w:w="60"/>
        <w:gridCol w:w="140"/>
        <w:gridCol w:w="755"/>
        <w:gridCol w:w="170"/>
      </w:tblGrid>
      <w:tr>
        <w:trPr/>
        <w:tc>
          <w:tcPr>
            <w:tcW w:w="25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5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6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Mocha</w:t>
              <w:br/>
              <w:t>and Other</w:t>
            </w:r>
          </w:p>
          <w:p>
            <w:pPr>
              <w:pStyle w:val="TableContents"/>
              <w:spacing w:before="0" w:after="0"/>
              <w:jc w:val="center"/>
              <w:rPr>
                <w:spacing w:val="0"/>
                <w:sz w:val="12"/>
              </w:rPr>
            </w:pPr>
            <w:r>
              <w:rPr>
                <w:spacing w:val="0"/>
                <w:sz w:val="12"/>
              </w:rPr>
              <w:t xml:space="preserve">(1)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6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Corporate</w:t>
              <w:br/>
              <w:t>and Other</w:t>
            </w:r>
          </w:p>
          <w:p>
            <w:pPr>
              <w:pStyle w:val="TableContents"/>
              <w:spacing w:before="0" w:after="0"/>
              <w:jc w:val="center"/>
              <w:rPr>
                <w:spacing w:val="0"/>
                <w:sz w:val="12"/>
              </w:rPr>
            </w:pPr>
            <w:r>
              <w:rPr>
                <w:spacing w:val="0"/>
                <w:sz w:val="12"/>
              </w:rPr>
              <w:t xml:space="preserve">(2)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Total</w:t>
            </w:r>
          </w:p>
        </w:tc>
        <w:tc>
          <w:tcPr>
            <w:tcW w:w="170" w:type="dxa"/>
            <w:tcBorders/>
            <w:shd w:fill="auto" w:val="clear"/>
            <w:vAlign w:val="center"/>
          </w:tcPr>
          <w:p>
            <w:pPr>
              <w:pStyle w:val="TableContents"/>
              <w:spacing w:before="0" w:after="0"/>
              <w:rPr>
                <w:spacing w:val="0"/>
              </w:rPr>
            </w:pPr>
            <w:r>
              <w:rPr>
                <w:spacing w:val="0"/>
              </w:rPr>
              <w:t> </w:t>
            </w:r>
          </w:p>
        </w:tc>
      </w:tr>
      <w:tr>
        <w:trPr/>
        <w:tc>
          <w:tcPr>
            <w:tcW w:w="25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5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January 1, 2020</w:t>
            </w:r>
          </w:p>
        </w:tc>
        <w:tc>
          <w:tcPr>
            <w:tcW w:w="12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801" w:type="dxa"/>
            <w:tcBorders/>
            <w:shd w:fill="CCEEFF" w:val="clear"/>
            <w:vAlign w:val="center"/>
          </w:tcPr>
          <w:p>
            <w:pPr>
              <w:pStyle w:val="TableContents"/>
              <w:spacing w:before="0" w:after="283"/>
              <w:jc w:val="right"/>
              <w:rPr/>
            </w:pPr>
            <w:r>
              <w:rPr/>
              <w:t>81,820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jc w:val="right"/>
              <w:rPr/>
            </w:pPr>
            <w:r>
              <w:rPr/>
              <w:t>13,800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95,620</w:t>
            </w:r>
          </w:p>
        </w:tc>
        <w:tc>
          <w:tcPr>
            <w:tcW w:w="170" w:type="dxa"/>
            <w:tcBorders/>
            <w:shd w:fill="CCEEFF"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(13,867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(13,867</w:t>
            </w:r>
          </w:p>
        </w:tc>
        <w:tc>
          <w:tcPr>
            <w:tcW w:w="170" w:type="dxa"/>
            <w:tcBorders/>
            <w:shd w:fill="auto" w:val="clear"/>
            <w:vAlign w:val="center"/>
          </w:tcPr>
          <w:p>
            <w:pPr>
              <w:pStyle w:val="TableContents"/>
              <w:spacing w:before="0" w:after="283"/>
              <w:rPr/>
            </w:pPr>
            <w:r>
              <w:rPr/>
              <w:t>) </w:t>
            </w:r>
          </w:p>
        </w:tc>
      </w:tr>
      <w:tr>
        <w:trPr/>
        <w:tc>
          <w:tcPr>
            <w:tcW w:w="25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 currency translations</w:t>
            </w:r>
          </w:p>
        </w:tc>
        <w:tc>
          <w:tcPr>
            <w:tcW w:w="12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01" w:type="dxa"/>
            <w:tcBorders/>
            <w:shd w:fill="CCEEFF" w:val="clear"/>
            <w:vAlign w:val="center"/>
          </w:tcPr>
          <w:p>
            <w:pPr>
              <w:pStyle w:val="TableContents"/>
              <w:spacing w:before="0" w:after="283"/>
              <w:jc w:val="right"/>
              <w:rPr/>
            </w:pPr>
            <w:r>
              <w:rPr/>
              <w:t>383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67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450</w:t>
            </w:r>
          </w:p>
        </w:tc>
        <w:tc>
          <w:tcPr>
            <w:tcW w:w="170" w:type="dxa"/>
            <w:tcBorders/>
            <w:shd w:fill="CCEEFF"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December 31, 2020</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jc w:val="right"/>
              <w:rPr/>
            </w:pPr>
            <w:r>
              <w:rPr/>
              <w:t>82,203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82,203</w:t>
            </w:r>
          </w:p>
        </w:tc>
        <w:tc>
          <w:tcPr>
            <w:tcW w:w="170" w:type="dxa"/>
            <w:tcBorders/>
            <w:shd w:fill="auto" w:val="clear"/>
            <w:vAlign w:val="center"/>
          </w:tcPr>
          <w:p>
            <w:pPr>
              <w:pStyle w:val="TableContents"/>
              <w:spacing w:before="0" w:after="283"/>
              <w:rPr/>
            </w:pPr>
            <w:r>
              <w:rPr/>
              <w:t> </w:t>
            </w:r>
          </w:p>
        </w:tc>
      </w:tr>
      <w:tr>
        <w:trPr/>
        <w:tc>
          <w:tcPr>
            <w:tcW w:w="25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 currency translations</w:t>
            </w:r>
          </w:p>
        </w:tc>
        <w:tc>
          <w:tcPr>
            <w:tcW w:w="12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01" w:type="dxa"/>
            <w:tcBorders/>
            <w:shd w:fill="CCEEFF" w:val="clear"/>
            <w:vAlign w:val="center"/>
          </w:tcPr>
          <w:p>
            <w:pPr>
              <w:pStyle w:val="TableContents"/>
              <w:spacing w:before="0" w:after="283"/>
              <w:jc w:val="right"/>
              <w:rPr/>
            </w:pPr>
            <w:r>
              <w:rPr/>
              <w:t>(482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(482</w:t>
            </w:r>
          </w:p>
        </w:tc>
        <w:tc>
          <w:tcPr>
            <w:tcW w:w="170" w:type="dxa"/>
            <w:tcBorders/>
            <w:shd w:fill="CCEEFF"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December 31, 2021</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 </w:t>
            </w:r>
          </w:p>
        </w:tc>
        <w:tc>
          <w:tcPr>
            <w:tcW w:w="801" w:type="dxa"/>
            <w:tcBorders/>
            <w:shd w:fill="auto" w:val="clear"/>
            <w:vAlign w:val="center"/>
          </w:tcPr>
          <w:p>
            <w:pPr>
              <w:pStyle w:val="TableContents"/>
              <w:spacing w:before="0" w:after="283"/>
              <w:jc w:val="right"/>
              <w:rPr/>
            </w:pPr>
            <w:r>
              <w:rPr/>
              <w:t>81,721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55" w:type="dxa"/>
            <w:tcBorders/>
            <w:shd w:fill="auto" w:val="clear"/>
            <w:vAlign w:val="center"/>
          </w:tcPr>
          <w:p>
            <w:pPr>
              <w:pStyle w:val="TableContents"/>
              <w:spacing w:before="0" w:after="283"/>
              <w:jc w:val="right"/>
              <w:rPr/>
            </w:pPr>
            <w:r>
              <w:rPr/>
              <w:t>81,721</w:t>
            </w:r>
          </w:p>
        </w:tc>
        <w:tc>
          <w:tcPr>
            <w:tcW w:w="170" w:type="dxa"/>
            <w:tcBorders/>
            <w:shd w:fill="auto" w:val="clear"/>
            <w:vAlign w:val="center"/>
          </w:tcPr>
          <w:p>
            <w:pPr>
              <w:pStyle w:val="TableContents"/>
              <w:spacing w:before="0" w:after="283"/>
              <w:rPr/>
            </w:pPr>
            <w:r>
              <w:rPr/>
              <w:t> </w:t>
            </w:r>
          </w:p>
        </w:tc>
      </w:tr>
      <w:tr>
        <w:trPr/>
        <w:tc>
          <w:tcPr>
            <w:tcW w:w="25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 currency translations</w:t>
            </w:r>
          </w:p>
        </w:tc>
        <w:tc>
          <w:tcPr>
            <w:tcW w:w="12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801" w:type="dxa"/>
            <w:tcBorders/>
            <w:shd w:fill="CCEEFF" w:val="clear"/>
            <w:vAlign w:val="center"/>
          </w:tcPr>
          <w:p>
            <w:pPr>
              <w:pStyle w:val="TableContents"/>
              <w:spacing w:before="0" w:after="283"/>
              <w:jc w:val="right"/>
              <w:rPr/>
            </w:pPr>
            <w:r>
              <w:rPr/>
              <w:t>(115</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rPr/>
            </w:pPr>
            <w:r>
              <w:rPr/>
              <w:t> </w:t>
            </w:r>
          </w:p>
        </w:tc>
        <w:tc>
          <w:tcPr>
            <w:tcW w:w="81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55" w:type="dxa"/>
            <w:tcBorders/>
            <w:shd w:fill="CCEEFF" w:val="clear"/>
            <w:vAlign w:val="center"/>
          </w:tcPr>
          <w:p>
            <w:pPr>
              <w:pStyle w:val="TableContents"/>
              <w:spacing w:before="0" w:after="283"/>
              <w:jc w:val="right"/>
              <w:rPr/>
            </w:pPr>
            <w:r>
              <w:rPr/>
              <w:t>(115</w:t>
            </w:r>
          </w:p>
        </w:tc>
        <w:tc>
          <w:tcPr>
            <w:tcW w:w="170" w:type="dxa"/>
            <w:tcBorders/>
            <w:shd w:fill="CCEEFF" w:val="clear"/>
            <w:vAlign w:val="center"/>
          </w:tcPr>
          <w:p>
            <w:pPr>
              <w:pStyle w:val="TableContents"/>
              <w:spacing w:before="0" w:after="283"/>
              <w:rPr/>
            </w:pPr>
            <w:r>
              <w:rPr/>
              <w:t>)</w:t>
            </w:r>
          </w:p>
        </w:tc>
      </w:tr>
      <w:tr>
        <w:trPr/>
        <w:tc>
          <w:tcPr>
            <w:tcW w:w="25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1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December 31, 2022</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w:t>
            </w:r>
          </w:p>
        </w:tc>
        <w:tc>
          <w:tcPr>
            <w:tcW w:w="801" w:type="dxa"/>
            <w:tcBorders/>
            <w:shd w:fill="auto" w:val="clear"/>
            <w:vAlign w:val="center"/>
          </w:tcPr>
          <w:p>
            <w:pPr>
              <w:pStyle w:val="TableContents"/>
              <w:spacing w:before="0" w:after="283"/>
              <w:jc w:val="right"/>
              <w:rPr/>
            </w:pPr>
            <w:r>
              <w:rPr/>
              <w:t>81,606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jc w:val="right"/>
              <w:rPr/>
            </w:pPr>
            <w:r>
              <w:rPr/>
              <w:t>81,606</w:t>
            </w:r>
          </w:p>
        </w:tc>
        <w:tc>
          <w:tcPr>
            <w:tcW w:w="170" w:type="dxa"/>
            <w:tcBorders/>
            <w:shd w:fill="auto" w:val="clear"/>
            <w:vAlign w:val="center"/>
          </w:tcPr>
          <w:p>
            <w:pPr>
              <w:pStyle w:val="TableContents"/>
              <w:spacing w:before="0" w:after="283"/>
              <w:rPr/>
            </w:pPr>
            <w:r>
              <w:rPr/>
              <w:t> </w:t>
            </w:r>
          </w:p>
        </w:tc>
      </w:tr>
      <w:tr>
        <w:trPr/>
        <w:tc>
          <w:tcPr>
            <w:tcW w:w="25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1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18"/>
        </w:rPr>
      </w:pPr>
      <w:r>
        <w:rPr>
          <w:rFonts w:ascii="Times New Roman" w:hAnsi="Times New Roman"/>
          <w:spacing w:val="0"/>
          <w:sz w:val="18"/>
        </w:rPr>
        <w:t xml:space="preserve">Notes </w:t>
      </w:r>
    </w:p>
    <w:tbl>
      <w:tblPr>
        <w:tblW w:w="10205" w:type="dxa"/>
        <w:jc w:val="left"/>
        <w:tblInd w:w="0" w:type="dxa"/>
        <w:tblCellMar>
          <w:top w:w="0" w:type="dxa"/>
          <w:left w:w="0" w:type="dxa"/>
          <w:bottom w:w="0" w:type="dxa"/>
          <w:right w:w="0" w:type="dxa"/>
        </w:tblCellMar>
      </w:tblPr>
      <w:tblGrid>
        <w:gridCol w:w="75"/>
        <w:gridCol w:w="254"/>
        <w:gridCol w:w="9876"/>
      </w:tblGrid>
      <w:tr>
        <w:trPr/>
        <w:tc>
          <w:tcPr>
            <w:tcW w:w="75"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jc w:val="left"/>
              <w:rPr/>
            </w:pPr>
            <w:r>
              <w:rPr/>
              <w:t>(1)</w:t>
            </w:r>
          </w:p>
        </w:tc>
        <w:tc>
          <w:tcPr>
            <w:tcW w:w="9876"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The amount represents goodwill which arose from the acquisition of Mocha Slot Group Limited and its subsidiaries by the Company in 2006. As of December 31, 2022, the gross amount of goodwill and accumulated impairment losses were $81,606</w:t>
            </w:r>
          </w:p>
          <w:p>
            <w:pPr>
              <w:pStyle w:val="TableContents"/>
              <w:spacing w:before="0" w:after="0"/>
              <w:jc w:val="left"/>
              <w:rPr>
                <w:spacing w:val="0"/>
              </w:rPr>
            </w:pPr>
            <w:r>
              <w:rPr>
                <w:spacing w:val="0"/>
              </w:rPr>
              <w:t> </w:t>
            </w:r>
          </w:p>
          <w:p>
            <w:pPr>
              <w:pStyle w:val="TableContents"/>
              <w:spacing w:before="0" w:after="0"/>
              <w:jc w:val="left"/>
              <w:rPr>
                <w:rFonts w:ascii="Times New Roman" w:hAnsi="Times New Roman"/>
                <w:spacing w:val="0"/>
                <w:sz w:val="18"/>
              </w:rPr>
            </w:pPr>
            <w:r>
              <w:rPr>
                <w:rFonts w:ascii="Times New Roman" w:hAnsi="Times New Roman"/>
                <w:spacing w:val="0"/>
                <w:sz w:val="18"/>
              </w:rPr>
              <w:t xml:space="preserve">and nil, respectively.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F-3</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4375" w:type="dxa"/>
        <w:jc w:val="left"/>
        <w:tblInd w:w="0" w:type="dxa"/>
        <w:tblCellMar>
          <w:top w:w="0" w:type="dxa"/>
          <w:left w:w="0" w:type="dxa"/>
          <w:bottom w:w="0" w:type="dxa"/>
          <w:right w:w="0" w:type="dxa"/>
        </w:tblCellMar>
      </w:tblPr>
      <w:tblGrid>
        <w:gridCol w:w="215"/>
        <w:gridCol w:w="4160"/>
      </w:tblGrid>
      <w:tr>
        <w:trPr/>
        <w:tc>
          <w:tcPr>
            <w:tcW w:w="215" w:type="dxa"/>
            <w:tcBorders/>
            <w:shd w:fill="auto" w:val="clear"/>
            <w:vAlign w:val="center"/>
          </w:tcPr>
          <w:p>
            <w:pPr>
              <w:pStyle w:val="TableContents"/>
              <w:spacing w:before="0" w:after="0"/>
              <w:jc w:val="left"/>
              <w:rPr>
                <w:b/>
                <w:spacing w:val="0"/>
              </w:rPr>
            </w:pPr>
            <w:r>
              <w:rPr>
                <w:b/>
                <w:spacing w:val="0"/>
              </w:rPr>
              <w:t>9.</w:t>
            </w:r>
          </w:p>
        </w:tc>
        <w:tc>
          <w:tcPr>
            <w:tcW w:w="41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GOODWILL AND INTANGIBLE ASSETS,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(a) Goodwill</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z w:val="12"/>
        </w:rPr>
      </w:pPr>
      <w:r>
        <w:rPr>
          <w:sz w:val="12"/>
        </w:rPr>
      </w:r>
    </w:p>
    <w:tbl>
      <w:tblPr>
        <w:tblW w:w="10205" w:type="dxa"/>
        <w:jc w:val="left"/>
        <w:tblInd w:w="0" w:type="dxa"/>
        <w:tblCellMar>
          <w:top w:w="0" w:type="dxa"/>
          <w:left w:w="0" w:type="dxa"/>
          <w:bottom w:w="0" w:type="dxa"/>
          <w:right w:w="0" w:type="dxa"/>
        </w:tblCellMar>
      </w:tblPr>
      <w:tblGrid>
        <w:gridCol w:w="75"/>
        <w:gridCol w:w="266"/>
        <w:gridCol w:w="9864"/>
      </w:tblGrid>
      <w:tr>
        <w:trPr/>
        <w:tc>
          <w:tcPr>
            <w:tcW w:w="75"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0"/>
              <w:jc w:val="left"/>
              <w:rPr>
                <w:spacing w:val="0"/>
              </w:rPr>
            </w:pPr>
            <w:r>
              <w:rPr>
                <w:spacing w:val="0"/>
              </w:rPr>
              <w:t>(2)</w:t>
            </w:r>
          </w:p>
        </w:tc>
        <w:tc>
          <w:tcPr>
            <w:tcW w:w="9864"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 xml:space="preserve">The amount represents goodwill which arose from the acquisition of Japan Ski Resort in 2019. The disposal of the Japan Ski Resort was completed on December 30, 2022 as disclosed in Note 6.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(b) Intangible Assets,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Intangible assets, net consisted of the following: </w:t>
      </w:r>
    </w:p>
    <w:p>
      <w:pPr>
        <w:pStyle w:val="TextBody"/>
        <w:spacing w:before="0" w:after="0"/>
        <w:jc w:val="left"/>
        <w:rPr>
          <w:spacing w:val="0"/>
        </w:rPr>
      </w:pPr>
      <w:r>
        <w:rPr>
          <w:spacing w:val="0"/>
        </w:rPr>
        <w:t> </w:t>
      </w:r>
    </w:p>
    <w:tbl>
      <w:tblPr>
        <w:tblW w:w="5890" w:type="dxa"/>
        <w:jc w:val="left"/>
        <w:tblInd w:w="0" w:type="dxa"/>
        <w:tblCellMar>
          <w:top w:w="0" w:type="dxa"/>
          <w:left w:w="0" w:type="dxa"/>
          <w:bottom w:w="0" w:type="dxa"/>
          <w:right w:w="0" w:type="dxa"/>
        </w:tblCellMar>
      </w:tblPr>
      <w:tblGrid>
        <w:gridCol w:w="3185"/>
        <w:gridCol w:w="120"/>
        <w:gridCol w:w="140"/>
        <w:gridCol w:w="960"/>
        <w:gridCol w:w="95"/>
        <w:gridCol w:w="120"/>
        <w:gridCol w:w="140"/>
        <w:gridCol w:w="960"/>
        <w:gridCol w:w="170"/>
      </w:tblGrid>
      <w:tr>
        <w:trPr/>
        <w:tc>
          <w:tcPr>
            <w:tcW w:w="31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15" w:type="dxa"/>
            <w:gridSpan w:val="6"/>
            <w:tcBorders>
              <w:bottom w:val="single" w:sz="8" w:space="0" w:color="000000"/>
            </w:tcBorders>
            <w:shd w:fill="auto" w:val="clear"/>
            <w:tcMar>
              <w:bottom w:w="28" w:type="dxa"/>
            </w:tcMar>
            <w:vAlign w:val="center"/>
          </w:tcPr>
          <w:p>
            <w:pPr>
              <w:pStyle w:val="TableContents"/>
              <w:spacing w:before="0" w:after="283"/>
              <w:jc w:val="center"/>
              <w:rPr/>
            </w:pPr>
            <w:r>
              <w:rPr/>
              <w:t>December 31,</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17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Indefinite-lived intangible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Trademarks of Mocha Clubs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60" w:type="dxa"/>
            <w:tcBorders/>
            <w:shd w:fill="auto" w:val="clear"/>
            <w:vAlign w:val="center"/>
          </w:tcPr>
          <w:p>
            <w:pPr>
              <w:pStyle w:val="TableContents"/>
              <w:spacing w:before="0" w:after="283"/>
              <w:jc w:val="right"/>
              <w:rPr/>
            </w:pPr>
            <w:r>
              <w:rPr/>
              <w:t>4,204</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60" w:type="dxa"/>
            <w:tcBorders/>
            <w:shd w:fill="auto" w:val="clear"/>
            <w:vAlign w:val="center"/>
          </w:tcPr>
          <w:p>
            <w:pPr>
              <w:pStyle w:val="TableContents"/>
              <w:spacing w:before="0" w:after="283"/>
              <w:jc w:val="right"/>
              <w:rPr/>
            </w:pPr>
            <w:r>
              <w:rPr/>
              <w:t>4,210</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indefinite-lived intangible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4,204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4,210</w:t>
            </w:r>
          </w:p>
        </w:tc>
        <w:tc>
          <w:tcPr>
            <w:tcW w:w="170" w:type="dxa"/>
            <w:tcBorders/>
            <w:shd w:fill="CCEEFF"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Finite-lived intangible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Internal-use</w:t>
            </w:r>
          </w:p>
          <w:p>
            <w:pPr>
              <w:pStyle w:val="TableContents"/>
              <w:spacing w:before="0" w:after="0"/>
              <w:rPr>
                <w:rFonts w:ascii="Times New Roman" w:hAnsi="Times New Roman"/>
                <w:sz w:val="20"/>
              </w:rPr>
            </w:pPr>
            <w:r>
              <w:rPr>
                <w:rFonts w:ascii="Times New Roman" w:hAnsi="Times New Roman"/>
                <w:sz w:val="20"/>
              </w:rPr>
              <w:t>software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59,434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56,106</w:t>
            </w:r>
          </w:p>
        </w:tc>
        <w:tc>
          <w:tcPr>
            <w:tcW w:w="170" w:type="dxa"/>
            <w:tcBorders/>
            <w:shd w:fill="CCEEFF"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(29,383</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(19,331</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30,051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36,775</w:t>
            </w:r>
          </w:p>
        </w:tc>
        <w:tc>
          <w:tcPr>
            <w:tcW w:w="170" w:type="dxa"/>
            <w:tcBorders/>
            <w:shd w:fill="CCEEFF"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Proprietary rights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11,926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11,942</w:t>
            </w:r>
          </w:p>
        </w:tc>
        <w:tc>
          <w:tcPr>
            <w:tcW w:w="17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(2,571</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(1,380</w:t>
            </w:r>
          </w:p>
        </w:tc>
        <w:tc>
          <w:tcPr>
            <w:tcW w:w="170" w:type="dxa"/>
            <w:tcBorders/>
            <w:shd w:fill="CCEEFF"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9,355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60" w:type="dxa"/>
            <w:tcBorders/>
            <w:shd w:fill="auto" w:val="clear"/>
            <w:vAlign w:val="center"/>
          </w:tcPr>
          <w:p>
            <w:pPr>
              <w:pStyle w:val="TableContents"/>
              <w:spacing w:before="0" w:after="283"/>
              <w:jc w:val="right"/>
              <w:rPr/>
            </w:pPr>
            <w:r>
              <w:rPr/>
              <w:t>10,562</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finite-lived intangible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39,406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60" w:type="dxa"/>
            <w:tcBorders/>
            <w:shd w:fill="CCEEFF" w:val="clear"/>
            <w:vAlign w:val="center"/>
          </w:tcPr>
          <w:p>
            <w:pPr>
              <w:pStyle w:val="TableContents"/>
              <w:spacing w:before="0" w:after="283"/>
              <w:jc w:val="right"/>
              <w:rPr/>
            </w:pPr>
            <w:r>
              <w:rPr/>
              <w:t>47,337</w:t>
            </w:r>
          </w:p>
        </w:tc>
        <w:tc>
          <w:tcPr>
            <w:tcW w:w="170" w:type="dxa"/>
            <w:tcBorders/>
            <w:shd w:fill="CCEEFF"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intangible assets,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60" w:type="dxa"/>
            <w:tcBorders/>
            <w:shd w:fill="auto" w:val="clear"/>
            <w:vAlign w:val="center"/>
          </w:tcPr>
          <w:p>
            <w:pPr>
              <w:pStyle w:val="TableContents"/>
              <w:spacing w:before="0" w:after="283"/>
              <w:jc w:val="right"/>
              <w:rPr/>
            </w:pPr>
            <w:r>
              <w:rPr/>
              <w:t>43,610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60" w:type="dxa"/>
            <w:tcBorders/>
            <w:shd w:fill="auto" w:val="clear"/>
            <w:vAlign w:val="center"/>
          </w:tcPr>
          <w:p>
            <w:pPr>
              <w:pStyle w:val="TableContents"/>
              <w:spacing w:before="0" w:after="283"/>
              <w:jc w:val="right"/>
              <w:rPr/>
            </w:pPr>
            <w:r>
              <w:rPr/>
              <w:t>51,547</w:t>
            </w:r>
          </w:p>
        </w:tc>
        <w:tc>
          <w:tcPr>
            <w:tcW w:w="170" w:type="dxa"/>
            <w:tcBorders/>
            <w:shd w:fill="auto"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Trademarks arose from the acquisition of Mocha Slot Group Limited and its subsidiaries by the Company in 2006. The changes in carrying amounts of trademarks represented the exchange differences arising from foreign currency translations at the balance sheet date.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November 2020, the Company completed an asset acquisition of the proprietary rights relating to an entertainment show in City of Dreams for a cash consideration of $12,000. The estimated useful life of the proprietary rights is 10 years. The carrying amount of the proprietary rights included the exchange differences arising from foreign currency translations at the balance sheet date. </w:t>
      </w:r>
    </w:p>
    <w:p>
      <w:pPr>
        <w:pStyle w:val="TextBody"/>
        <w:spacing w:before="120" w:after="0"/>
        <w:jc w:val="left"/>
        <w:rPr>
          <w:rFonts w:ascii="Times New Roman" w:hAnsi="Times New Roman"/>
          <w:spacing w:val="0"/>
          <w:sz w:val="20"/>
        </w:rPr>
      </w:pPr>
      <w:r>
        <w:rPr>
          <w:rFonts w:ascii="Times New Roman" w:hAnsi="Times New Roman"/>
          <w:spacing w:val="0"/>
          <w:sz w:val="20"/>
        </w:rPr>
        <w:t>The amortization expenses of finite-lived intangible assets (other than gaming subconcession) recognized for the years ended December 31, 2022, 2021 and 2020 were $11,343, $11,555 and $6,342, respectively.</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F-3</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4375" w:type="dxa"/>
        <w:jc w:val="left"/>
        <w:tblInd w:w="0" w:type="dxa"/>
        <w:tblCellMar>
          <w:top w:w="0" w:type="dxa"/>
          <w:left w:w="0" w:type="dxa"/>
          <w:bottom w:w="0" w:type="dxa"/>
          <w:right w:w="0" w:type="dxa"/>
        </w:tblCellMar>
      </w:tblPr>
      <w:tblGrid>
        <w:gridCol w:w="215"/>
        <w:gridCol w:w="4160"/>
      </w:tblGrid>
      <w:tr>
        <w:trPr/>
        <w:tc>
          <w:tcPr>
            <w:tcW w:w="215" w:type="dxa"/>
            <w:tcBorders/>
            <w:shd w:fill="auto" w:val="clear"/>
            <w:vAlign w:val="center"/>
          </w:tcPr>
          <w:p>
            <w:pPr>
              <w:pStyle w:val="TableContents"/>
              <w:spacing w:before="0" w:after="0"/>
              <w:jc w:val="left"/>
              <w:rPr>
                <w:b/>
                <w:spacing w:val="0"/>
              </w:rPr>
            </w:pPr>
            <w:r>
              <w:rPr>
                <w:b/>
                <w:spacing w:val="0"/>
              </w:rPr>
              <w:t>9.</w:t>
            </w:r>
          </w:p>
        </w:tc>
        <w:tc>
          <w:tcPr>
            <w:tcW w:w="41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GOODWILL AND INTANGIBLE ASSETS,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(b) Intangible Assets, Net</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As of December 31, 2022, the estimated future amortization expenses of finite-lived intangible assets are as follows: </w:t>
      </w:r>
    </w:p>
    <w:p>
      <w:pPr>
        <w:pStyle w:val="TextBody"/>
        <w:spacing w:before="0" w:after="0"/>
        <w:jc w:val="left"/>
        <w:rPr>
          <w:spacing w:val="0"/>
        </w:rPr>
      </w:pPr>
      <w:r>
        <w:rPr>
          <w:spacing w:val="0"/>
        </w:rPr>
        <w:t> </w:t>
      </w:r>
    </w:p>
    <w:tbl>
      <w:tblPr>
        <w:tblW w:w="3195" w:type="dxa"/>
        <w:jc w:val="left"/>
        <w:tblInd w:w="0" w:type="dxa"/>
        <w:tblCellMar>
          <w:top w:w="0" w:type="dxa"/>
          <w:left w:w="0" w:type="dxa"/>
          <w:bottom w:w="0" w:type="dxa"/>
          <w:right w:w="0" w:type="dxa"/>
        </w:tblCellMar>
      </w:tblPr>
      <w:tblGrid>
        <w:gridCol w:w="2180"/>
        <w:gridCol w:w="120"/>
        <w:gridCol w:w="140"/>
        <w:gridCol w:w="680"/>
        <w:gridCol w:w="75"/>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Year ending December 31,</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8,970</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4,692</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3,815</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3,371</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2027</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3,342</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Over 2027</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15,216</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39,406</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sz w:val="20"/>
        </w:rPr>
      </w:pPr>
      <w:r>
        <w:rPr>
          <w:rFonts w:ascii="Times New Roman" w:hAnsi="Times New Roman"/>
          <w:sz w:val="20"/>
        </w:rPr>
      </w:r>
    </w:p>
    <w:tbl>
      <w:tblPr>
        <w:tblW w:w="6160" w:type="dxa"/>
        <w:jc w:val="left"/>
        <w:tblInd w:w="0" w:type="dxa"/>
        <w:tblCellMar>
          <w:top w:w="0" w:type="dxa"/>
          <w:left w:w="0" w:type="dxa"/>
          <w:bottom w:w="0" w:type="dxa"/>
          <w:right w:w="0" w:type="dxa"/>
        </w:tblCellMar>
      </w:tblPr>
      <w:tblGrid>
        <w:gridCol w:w="335"/>
        <w:gridCol w:w="5825"/>
      </w:tblGrid>
      <w:tr>
        <w:trPr/>
        <w:tc>
          <w:tcPr>
            <w:tcW w:w="335" w:type="dxa"/>
            <w:tcBorders/>
            <w:shd w:fill="auto" w:val="clear"/>
            <w:vAlign w:val="center"/>
          </w:tcPr>
          <w:p>
            <w:pPr>
              <w:pStyle w:val="TableContents"/>
              <w:spacing w:before="0" w:after="0"/>
              <w:jc w:val="left"/>
              <w:rPr>
                <w:b/>
                <w:spacing w:val="0"/>
              </w:rPr>
            </w:pPr>
            <w:r>
              <w:rPr>
                <w:b/>
                <w:spacing w:val="0"/>
              </w:rPr>
              <w:t>10.</w:t>
            </w:r>
          </w:p>
        </w:tc>
        <w:tc>
          <w:tcPr>
            <w:tcW w:w="58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LONG-TERM PREPAYMENTS, DEPOSITS AND OTHER ASSETS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Long-term prepayments, deposits and other assets consisted of the following: </w:t>
      </w:r>
    </w:p>
    <w:p>
      <w:pPr>
        <w:pStyle w:val="TextBody"/>
        <w:spacing w:before="0" w:after="0"/>
        <w:jc w:val="left"/>
        <w:rPr>
          <w:spacing w:val="0"/>
        </w:rPr>
      </w:pPr>
      <w:r>
        <w:rPr>
          <w:spacing w:val="0"/>
        </w:rPr>
        <w:t> </w:t>
      </w:r>
    </w:p>
    <w:tbl>
      <w:tblPr>
        <w:tblW w:w="9175" w:type="dxa"/>
        <w:jc w:val="left"/>
        <w:tblInd w:w="0" w:type="dxa"/>
        <w:tblCellMar>
          <w:top w:w="0" w:type="dxa"/>
          <w:left w:w="0" w:type="dxa"/>
          <w:bottom w:w="0" w:type="dxa"/>
          <w:right w:w="0" w:type="dxa"/>
        </w:tblCellMar>
      </w:tblPr>
      <w:tblGrid>
        <w:gridCol w:w="6920"/>
        <w:gridCol w:w="120"/>
        <w:gridCol w:w="140"/>
        <w:gridCol w:w="800"/>
        <w:gridCol w:w="60"/>
        <w:gridCol w:w="120"/>
        <w:gridCol w:w="140"/>
        <w:gridCol w:w="800"/>
        <w:gridCol w:w="75"/>
      </w:tblGrid>
      <w:tr>
        <w:trPr/>
        <w:tc>
          <w:tcPr>
            <w:tcW w:w="69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9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06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69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69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prepayments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31,191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24,978</w:t>
            </w:r>
          </w:p>
        </w:tc>
        <w:tc>
          <w:tcPr>
            <w:tcW w:w="75" w:type="dxa"/>
            <w:tcBorders/>
            <w:shd w:fill="CCEEFF" w:val="clear"/>
            <w:vAlign w:val="center"/>
          </w:tcPr>
          <w:p>
            <w:pPr>
              <w:pStyle w:val="TableContents"/>
              <w:spacing w:before="0" w:after="283"/>
              <w:rPr/>
            </w:pPr>
            <w:r>
              <w:rPr/>
              <w:t> </w:t>
            </w:r>
          </w:p>
        </w:tc>
      </w:tr>
      <w:tr>
        <w:trPr/>
        <w:tc>
          <w:tcPr>
            <w:tcW w:w="69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financing costs,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27,218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35,987</w:t>
            </w:r>
          </w:p>
        </w:tc>
        <w:tc>
          <w:tcPr>
            <w:tcW w:w="75" w:type="dxa"/>
            <w:tcBorders/>
            <w:shd w:fill="auto" w:val="clear"/>
            <w:vAlign w:val="center"/>
          </w:tcPr>
          <w:p>
            <w:pPr>
              <w:pStyle w:val="TableContents"/>
              <w:spacing w:before="0" w:after="283"/>
              <w:rPr/>
            </w:pPr>
            <w:r>
              <w:rPr/>
              <w:t> </w:t>
            </w:r>
          </w:p>
        </w:tc>
      </w:tr>
      <w:tr>
        <w:trPr/>
        <w:tc>
          <w:tcPr>
            <w:tcW w:w="69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25,904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30,647</w:t>
            </w:r>
          </w:p>
        </w:tc>
        <w:tc>
          <w:tcPr>
            <w:tcW w:w="75" w:type="dxa"/>
            <w:tcBorders/>
            <w:shd w:fill="CCEEFF" w:val="clear"/>
            <w:vAlign w:val="center"/>
          </w:tcPr>
          <w:p>
            <w:pPr>
              <w:pStyle w:val="TableContents"/>
              <w:spacing w:before="0" w:after="283"/>
              <w:rPr/>
            </w:pPr>
            <w:r>
              <w:rPr/>
              <w:t> </w:t>
            </w:r>
          </w:p>
        </w:tc>
      </w:tr>
      <w:tr>
        <w:trPr/>
        <w:tc>
          <w:tcPr>
            <w:tcW w:w="69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Advance payments for construction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25,602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27,993</w:t>
            </w:r>
          </w:p>
        </w:tc>
        <w:tc>
          <w:tcPr>
            <w:tcW w:w="75" w:type="dxa"/>
            <w:tcBorders/>
            <w:shd w:fill="auto" w:val="clear"/>
            <w:vAlign w:val="center"/>
          </w:tcPr>
          <w:p>
            <w:pPr>
              <w:pStyle w:val="TableContents"/>
              <w:spacing w:before="0" w:after="283"/>
              <w:rPr/>
            </w:pPr>
            <w:r>
              <w:rPr/>
              <w:t> </w:t>
            </w:r>
          </w:p>
        </w:tc>
      </w:tr>
      <w:tr>
        <w:trPr/>
        <w:tc>
          <w:tcPr>
            <w:tcW w:w="69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Deposits for acquisition of property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19,494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20,332</w:t>
            </w:r>
          </w:p>
        </w:tc>
        <w:tc>
          <w:tcPr>
            <w:tcW w:w="75" w:type="dxa"/>
            <w:tcBorders/>
            <w:shd w:fill="CCEEFF" w:val="clear"/>
            <w:vAlign w:val="center"/>
          </w:tcPr>
          <w:p>
            <w:pPr>
              <w:pStyle w:val="TableContents"/>
              <w:spacing w:before="0" w:after="283"/>
              <w:rPr/>
            </w:pPr>
            <w:r>
              <w:rPr/>
              <w:t> </w:t>
            </w:r>
          </w:p>
        </w:tc>
      </w:tr>
      <w:tr>
        <w:trPr/>
        <w:tc>
          <w:tcPr>
            <w:tcW w:w="69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long-term assets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19,298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23,677</w:t>
            </w:r>
          </w:p>
        </w:tc>
        <w:tc>
          <w:tcPr>
            <w:tcW w:w="75" w:type="dxa"/>
            <w:tcBorders/>
            <w:shd w:fill="auto" w:val="clear"/>
            <w:vAlign w:val="center"/>
          </w:tcPr>
          <w:p>
            <w:pPr>
              <w:pStyle w:val="TableContents"/>
              <w:spacing w:before="0" w:after="283"/>
              <w:rPr/>
            </w:pPr>
            <w:r>
              <w:rPr/>
              <w:t> </w:t>
            </w:r>
          </w:p>
        </w:tc>
      </w:tr>
      <w:tr>
        <w:trPr/>
        <w:tc>
          <w:tcPr>
            <w:tcW w:w="69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deposits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9,971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11,581</w:t>
            </w:r>
          </w:p>
        </w:tc>
        <w:tc>
          <w:tcPr>
            <w:tcW w:w="75" w:type="dxa"/>
            <w:tcBorders/>
            <w:shd w:fill="CCEEFF" w:val="clear"/>
            <w:vAlign w:val="center"/>
          </w:tcPr>
          <w:p>
            <w:pPr>
              <w:pStyle w:val="TableContents"/>
              <w:spacing w:before="0" w:after="283"/>
              <w:rPr/>
            </w:pPr>
            <w:r>
              <w:rPr/>
              <w:t> </w:t>
            </w:r>
          </w:p>
        </w:tc>
      </w:tr>
      <w:tr>
        <w:trPr/>
        <w:tc>
          <w:tcPr>
            <w:tcW w:w="69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Input value-added tax,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1,947</w:t>
            </w:r>
          </w:p>
        </w:tc>
        <w:tc>
          <w:tcPr>
            <w:tcW w:w="75" w:type="dxa"/>
            <w:tcBorders/>
            <w:shd w:fill="auto" w:val="clear"/>
            <w:vAlign w:val="center"/>
          </w:tcPr>
          <w:p>
            <w:pPr>
              <w:pStyle w:val="TableContents"/>
              <w:spacing w:before="0" w:after="283"/>
              <w:rPr/>
            </w:pPr>
            <w:r>
              <w:rPr/>
              <w:t> </w:t>
            </w:r>
          </w:p>
        </w:tc>
      </w:tr>
      <w:tr>
        <w:trPr/>
        <w:tc>
          <w:tcPr>
            <w:tcW w:w="69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casino accounts receivables, net of allowances for credit losses of $14,966</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$14,989</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xml:space="preserve">—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69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69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prepayments, deposits and other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159,697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pPr>
            <w:r>
              <w:rPr/>
              <w:t>$</w:t>
            </w:r>
          </w:p>
          <w:p>
            <w:pPr>
              <w:pStyle w:val="TableContents"/>
              <w:spacing w:before="0" w:after="0"/>
              <w:rPr>
                <w:spacing w:val="0"/>
              </w:rPr>
            </w:pPr>
            <w:r>
              <w:rPr>
                <w:spacing w:val="0"/>
              </w:rPr>
              <w:t> </w:t>
            </w:r>
          </w:p>
          <w:p>
            <w:pPr>
              <w:pStyle w:val="TableContents"/>
              <w:spacing w:before="0" w:after="0"/>
              <w:rPr>
                <w:spacing w:val="0"/>
              </w:rPr>
            </w:pPr>
            <w:r>
              <w:rPr>
                <w:spacing w:val="0"/>
              </w:rPr>
              <w:t> </w:t>
            </w:r>
          </w:p>
          <w:p>
            <w:pPr>
              <w:pStyle w:val="TableContents"/>
              <w:spacing w:before="0" w:after="0"/>
              <w:rPr>
                <w:spacing w:val="0"/>
              </w:rPr>
            </w:pPr>
            <w:r>
              <w:rPr>
                <w:spacing w:val="0"/>
              </w:rPr>
              <w:t xml:space="preserve">  </w:t>
            </w:r>
          </w:p>
        </w:tc>
        <w:tc>
          <w:tcPr>
            <w:tcW w:w="800" w:type="dxa"/>
            <w:tcBorders/>
            <w:shd w:fill="auto" w:val="clear"/>
            <w:vAlign w:val="center"/>
          </w:tcPr>
          <w:p>
            <w:pPr>
              <w:pStyle w:val="TableContents"/>
              <w:spacing w:before="0" w:after="283"/>
              <w:jc w:val="right"/>
              <w:rPr/>
            </w:pPr>
            <w:r>
              <w:rPr/>
              <w:t>177,142</w:t>
            </w:r>
          </w:p>
        </w:tc>
        <w:tc>
          <w:tcPr>
            <w:tcW w:w="75" w:type="dxa"/>
            <w:tcBorders/>
            <w:shd w:fill="auto" w:val="clear"/>
            <w:vAlign w:val="center"/>
          </w:tcPr>
          <w:p>
            <w:pPr>
              <w:pStyle w:val="TableContents"/>
              <w:spacing w:before="0" w:after="283"/>
              <w:rPr/>
            </w:pPr>
            <w:r>
              <w:rPr/>
              <w:t> </w:t>
            </w:r>
          </w:p>
        </w:tc>
      </w:tr>
      <w:tr>
        <w:trPr/>
        <w:tc>
          <w:tcPr>
            <w:tcW w:w="69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During the years ended December 31, 2022, 2021 and 2020, provisions for input value-added tax expected to be </w:t>
      </w:r>
    </w:p>
    <w:p>
      <w:pPr>
        <w:pStyle w:val="TextBody"/>
        <w:spacing w:before="120" w:after="0"/>
        <w:jc w:val="left"/>
        <w:rPr>
          <w:rFonts w:ascii="Times New Roman" w:hAnsi="Times New Roman"/>
          <w:spacing w:val="0"/>
          <w:sz w:val="20"/>
        </w:rPr>
      </w:pPr>
      <w:r>
        <w:rPr>
          <w:rFonts w:ascii="Times New Roman" w:hAnsi="Times New Roman"/>
          <w:spacing w:val="0"/>
          <w:sz w:val="20"/>
        </w:rPr>
        <w:t>non-recoverable</w:t>
      </w:r>
    </w:p>
    <w:p>
      <w:pPr>
        <w:pStyle w:val="TextBody"/>
        <w:spacing w:before="120" w:after="0"/>
        <w:jc w:val="left"/>
        <w:rPr>
          <w:rFonts w:ascii="Times New Roman" w:hAnsi="Times New Roman"/>
          <w:spacing w:val="0"/>
          <w:sz w:val="20"/>
        </w:rPr>
      </w:pPr>
      <w:r>
        <w:rPr>
          <w:rFonts w:ascii="Times New Roman" w:hAnsi="Times New Roman"/>
          <w:spacing w:val="0"/>
          <w:sz w:val="20"/>
        </w:rPr>
        <w:t>from the tax authority in the Philippines for City of Dreams Manila amounting to $</w:t>
      </w:r>
    </w:p>
    <w:p>
      <w:pPr>
        <w:pStyle w:val="TextBody"/>
        <w:spacing w:before="120" w:after="0"/>
        <w:jc w:val="left"/>
        <w:rPr>
          <w:rFonts w:ascii="Times New Roman" w:hAnsi="Times New Roman"/>
          <w:sz w:val="20"/>
        </w:rPr>
      </w:pPr>
      <w:r>
        <w:rPr>
          <w:rFonts w:ascii="Times New Roman" w:hAnsi="Times New Roman"/>
          <w:sz w:val="20"/>
        </w:rPr>
        <w:t xml:space="preserve">5,714, $3,023 and $5,786, respectively, were recognized in the accompanying consolidated statements of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Long-term casino accounts receivables, net represent receivables from casino customers where settlements are not expected within the next year. Reclassifications to current accounts receivable, net, are made when settlement of such balances are expected to occur within one year. </w:t>
      </w:r>
    </w:p>
    <w:p>
      <w:pPr>
        <w:pStyle w:val="TextBody"/>
        <w:spacing w:lineRule="atLeast" w:line="160"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240" w:after="0"/>
        <w:jc w:val="center"/>
        <w:rPr>
          <w:rFonts w:ascii="Times New Roman" w:hAnsi="Times New Roman"/>
          <w:sz w:val="20"/>
        </w:rPr>
      </w:pPr>
      <w:r>
        <w:rPr>
          <w:rFonts w:ascii="Times New Roman" w:hAnsi="Times New Roman"/>
          <w:sz w:val="20"/>
        </w:rPr>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z w:val="24"/>
        </w:rPr>
      </w:pPr>
      <w:r>
        <w:rPr>
          <w:sz w:val="24"/>
        </w:rPr>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11.</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LAND USE RIGHTS, NET </w:t>
            </w:r>
          </w:p>
        </w:tc>
      </w:tr>
    </w:tbl>
    <w:p>
      <w:pPr>
        <w:pStyle w:val="TextBody"/>
        <w:spacing w:before="0" w:after="0"/>
        <w:ind w:left="0" w:right="0" w:hanging="0"/>
        <w:jc w:val="left"/>
        <w:rPr>
          <w:spacing w:val="0"/>
        </w:rPr>
      </w:pPr>
      <w:r>
        <w:rPr>
          <w:spacing w:val="0"/>
        </w:rPr>
        <w:t> </w:t>
      </w:r>
    </w:p>
    <w:tbl>
      <w:tblPr>
        <w:tblW w:w="5420" w:type="dxa"/>
        <w:jc w:val="left"/>
        <w:tblInd w:w="0" w:type="dxa"/>
        <w:tblCellMar>
          <w:top w:w="0" w:type="dxa"/>
          <w:left w:w="0" w:type="dxa"/>
          <w:bottom w:w="0" w:type="dxa"/>
          <w:right w:w="0" w:type="dxa"/>
        </w:tblCellMar>
      </w:tblPr>
      <w:tblGrid>
        <w:gridCol w:w="2615"/>
        <w:gridCol w:w="120"/>
        <w:gridCol w:w="140"/>
        <w:gridCol w:w="980"/>
        <w:gridCol w:w="95"/>
        <w:gridCol w:w="120"/>
        <w:gridCol w:w="140"/>
        <w:gridCol w:w="1040"/>
        <w:gridCol w:w="170"/>
      </w:tblGrid>
      <w:tr>
        <w:trPr/>
        <w:tc>
          <w:tcPr>
            <w:tcW w:w="2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515"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26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26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Altira 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r>
              <w:rPr/>
              <w:t>145,922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    </w:t>
            </w:r>
            <w:r>
              <w:rPr/>
              <w:t>146,128</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City of Dreams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398,068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398,630</w:t>
            </w:r>
          </w:p>
        </w:tc>
        <w:tc>
          <w:tcPr>
            <w:tcW w:w="170"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Studio City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651,094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652,014</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1,195,084</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1,196,772</w:t>
            </w:r>
          </w:p>
        </w:tc>
        <w:tc>
          <w:tcPr>
            <w:tcW w:w="170"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accumulated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(524,212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(502,190</w:t>
            </w:r>
          </w:p>
        </w:tc>
        <w:tc>
          <w:tcPr>
            <w:tcW w:w="170" w:type="dxa"/>
            <w:tcBorders/>
            <w:shd w:fill="CCEEFF"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Land use rights,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670,872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694,582</w:t>
            </w:r>
          </w:p>
        </w:tc>
        <w:tc>
          <w:tcPr>
            <w:tcW w:w="170"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rPr>
          <w:sz w:val="36"/>
        </w:rPr>
      </w:pPr>
      <w:r>
        <w:rPr>
          <w:sz w:val="36"/>
        </w:rPr>
      </w:r>
    </w:p>
    <w:tbl>
      <w:tblPr>
        <w:tblW w:w="5860" w:type="dxa"/>
        <w:jc w:val="left"/>
        <w:tblInd w:w="0" w:type="dxa"/>
        <w:tblCellMar>
          <w:top w:w="0" w:type="dxa"/>
          <w:left w:w="0" w:type="dxa"/>
          <w:bottom w:w="0" w:type="dxa"/>
          <w:right w:w="0" w:type="dxa"/>
        </w:tblCellMar>
      </w:tblPr>
      <w:tblGrid>
        <w:gridCol w:w="335"/>
        <w:gridCol w:w="5525"/>
      </w:tblGrid>
      <w:tr>
        <w:trPr/>
        <w:tc>
          <w:tcPr>
            <w:tcW w:w="335" w:type="dxa"/>
            <w:tcBorders/>
            <w:shd w:fill="auto" w:val="clear"/>
            <w:vAlign w:val="center"/>
          </w:tcPr>
          <w:p>
            <w:pPr>
              <w:pStyle w:val="TableContents"/>
              <w:spacing w:before="0" w:after="0"/>
              <w:jc w:val="left"/>
              <w:rPr>
                <w:b/>
                <w:spacing w:val="0"/>
              </w:rPr>
            </w:pPr>
            <w:r>
              <w:rPr>
                <w:b/>
                <w:spacing w:val="0"/>
              </w:rPr>
              <w:t>12.</w:t>
            </w:r>
          </w:p>
        </w:tc>
        <w:tc>
          <w:tcPr>
            <w:tcW w:w="55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ACCRUED EXPENSES AND OTHER CURRENT LIABILITIES </w:t>
            </w:r>
          </w:p>
        </w:tc>
      </w:tr>
    </w:tbl>
    <w:p>
      <w:pPr>
        <w:pStyle w:val="TextBody"/>
        <w:spacing w:before="0" w:after="0"/>
        <w:ind w:left="0" w:right="0" w:hanging="0"/>
        <w:jc w:val="left"/>
        <w:rPr>
          <w:spacing w:val="0"/>
        </w:rPr>
      </w:pPr>
      <w:r>
        <w:rPr>
          <w:spacing w:val="0"/>
        </w:rPr>
        <w:t> </w:t>
      </w:r>
    </w:p>
    <w:p>
      <w:pPr>
        <w:pStyle w:val="TextBody"/>
        <w:spacing w:before="0" w:after="0"/>
        <w:jc w:val="left"/>
        <w:rPr>
          <w:sz w:val="12"/>
        </w:rPr>
      </w:pPr>
      <w:r>
        <w:rPr>
          <w:sz w:val="12"/>
        </w:rPr>
      </w:r>
    </w:p>
    <w:tbl>
      <w:tblPr>
        <w:tblW w:w="6910" w:type="dxa"/>
        <w:jc w:val="left"/>
        <w:tblInd w:w="0" w:type="dxa"/>
        <w:tblCellMar>
          <w:top w:w="0" w:type="dxa"/>
          <w:left w:w="0" w:type="dxa"/>
          <w:bottom w:w="0" w:type="dxa"/>
          <w:right w:w="0" w:type="dxa"/>
        </w:tblCellMar>
      </w:tblPr>
      <w:tblGrid>
        <w:gridCol w:w="4235"/>
        <w:gridCol w:w="120"/>
        <w:gridCol w:w="140"/>
        <w:gridCol w:w="980"/>
        <w:gridCol w:w="60"/>
        <w:gridCol w:w="120"/>
        <w:gridCol w:w="140"/>
        <w:gridCol w:w="1040"/>
        <w:gridCol w:w="75"/>
      </w:tblGrid>
      <w:tr>
        <w:trPr/>
        <w:tc>
          <w:tcPr>
            <w:tcW w:w="42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2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48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423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42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Advance customer deposits and ticket sales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r>
              <w:rPr/>
              <w:t>278,591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    </w:t>
            </w:r>
            <w:r>
              <w:rPr/>
              <w:t>309,718</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expenses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123,032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105,637</w:t>
            </w:r>
          </w:p>
        </w:tc>
        <w:tc>
          <w:tcPr>
            <w:tcW w:w="7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expense and other accruals and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97,933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87,089</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Staff cost accruals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96,219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86,294</w:t>
            </w:r>
          </w:p>
        </w:tc>
        <w:tc>
          <w:tcPr>
            <w:tcW w:w="7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Construction cost payables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76,173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128,383</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Gaming tax and license fee accruals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48,688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85,468</w:t>
            </w:r>
          </w:p>
        </w:tc>
        <w:tc>
          <w:tcPr>
            <w:tcW w:w="7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gaming chips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37,354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72,147</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payables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35,747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36,397</w:t>
            </w:r>
          </w:p>
        </w:tc>
        <w:tc>
          <w:tcPr>
            <w:tcW w:w="7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Loyalty program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15,568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24,350</w:t>
            </w:r>
          </w:p>
        </w:tc>
        <w:tc>
          <w:tcPr>
            <w:tcW w:w="75" w:type="dxa"/>
            <w:tcBorders/>
            <w:shd w:fill="CCEEFF"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423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jc w:val="right"/>
              <w:rPr/>
            </w:pPr>
            <w:r>
              <w:rPr/>
              <w:t> </w:t>
            </w:r>
            <w:r>
              <w:rPr/>
              <w:t>809,305</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jc w:val="right"/>
              <w:rPr/>
            </w:pPr>
            <w:r>
              <w:rPr/>
              <w:t>935,483</w:t>
            </w:r>
          </w:p>
        </w:tc>
        <w:tc>
          <w:tcPr>
            <w:tcW w:w="75" w:type="dxa"/>
            <w:tcBorders/>
            <w:shd w:fill="FFFFFF" w:val="clear"/>
            <w:vAlign w:val="center"/>
          </w:tcPr>
          <w:p>
            <w:pPr>
              <w:pStyle w:val="TableContents"/>
              <w:spacing w:before="0" w:after="283"/>
              <w:rPr/>
            </w:pPr>
            <w:r>
              <w:rPr/>
              <w:t> </w:t>
            </w:r>
          </w:p>
        </w:tc>
      </w:tr>
      <w:tr>
        <w:trPr/>
        <w:tc>
          <w:tcPr>
            <w:tcW w:w="423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1040" w:type="dxa"/>
            <w:tcBorders/>
            <w:shd w:fill="FFFFFF"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FFFF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710" w:type="dxa"/>
        <w:jc w:val="left"/>
        <w:tblInd w:w="0" w:type="dxa"/>
        <w:tblCellMar>
          <w:top w:w="0" w:type="dxa"/>
          <w:left w:w="0" w:type="dxa"/>
          <w:bottom w:w="0" w:type="dxa"/>
          <w:right w:w="0" w:type="dxa"/>
        </w:tblCellMar>
      </w:tblPr>
      <w:tblGrid>
        <w:gridCol w:w="335"/>
        <w:gridCol w:w="2375"/>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LONG-TERM DEBT, NET </w:t>
            </w:r>
          </w:p>
        </w:tc>
      </w:tr>
    </w:tbl>
    <w:p>
      <w:pPr>
        <w:pStyle w:val="TextBody"/>
        <w:spacing w:before="120" w:after="0"/>
        <w:jc w:val="left"/>
        <w:rPr>
          <w:rFonts w:ascii="Times New Roman" w:hAnsi="Times New Roman"/>
          <w:spacing w:val="0"/>
          <w:sz w:val="20"/>
        </w:rPr>
      </w:pPr>
      <w:r>
        <w:rPr>
          <w:rFonts w:ascii="Times New Roman" w:hAnsi="Times New Roman"/>
          <w:spacing w:val="0"/>
          <w:sz w:val="20"/>
        </w:rPr>
        <w:t>Long-term debt, net consisted of the following:</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460"/>
        <w:gridCol w:w="120"/>
        <w:gridCol w:w="140"/>
        <w:gridCol w:w="980"/>
        <w:gridCol w:w="95"/>
        <w:gridCol w:w="120"/>
        <w:gridCol w:w="140"/>
        <w:gridCol w:w="980"/>
        <w:gridCol w:w="170"/>
      </w:tblGrid>
      <w:tr>
        <w:trPr/>
        <w:tc>
          <w:tcPr>
            <w:tcW w:w="7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55" w:type="dxa"/>
            <w:gridSpan w:val="6"/>
            <w:tcBorders/>
            <w:shd w:fill="auto" w:val="clear"/>
            <w:vAlign w:val="center"/>
          </w:tcPr>
          <w:p>
            <w:pPr>
              <w:pStyle w:val="TableContents"/>
              <w:spacing w:before="0" w:after="283"/>
              <w:jc w:val="center"/>
              <w:rPr/>
            </w:pPr>
            <w:r>
              <w:rPr/>
              <w:t>December 31,</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pPr>
            <w:r>
              <w:rPr/>
              <w:t>     </w:t>
            </w:r>
            <w:r>
              <w:rPr/>
              <w:t>2022     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jc w:val="center"/>
              <w:rPr/>
            </w:pPr>
            <w:r>
              <w:rPr/>
              <w:t>2021</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Senior Notes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2017 4.875% Senior Notes, due 2025 (net of unamortized deferred financing costs and original issue premiums of $9,552</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$13,161,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  </w:t>
            </w:r>
            <w:r>
              <w:rPr/>
              <w:t>990,448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986,839</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2019 5.250% Senior Notes, due 2026 (net of unamortized deferred financing costs of $2,981</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$3,776,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497,019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496,224</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2019 5.625% Senior Notes, due 2027 (net of unamortized deferred financing costs of $4,178</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$4,954,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595,822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595,046</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2019 5.375% Senior Notes, due 2029 (net of unamortized deferred financing costs and original issue premiums of $1,845</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$2,041,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1,148,155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1,147,959</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2020 5.750% Senior Notes, due 2028 (net of unamortized deferred financing costs and original issue premiums of $2,743</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$3,393,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847,257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846,607</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2020 6.000% SC Notes, due 2025 (net of unamortized deferred financing costs of $2,692</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$3,658,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497,308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496,342</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2020 6.500% SC Notes, due 2028 (net of unamortized deferred financing costs of $3,598</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$4,186,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496,402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495,814</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2021 5.000% Studio City Notes, due 2029 (net of unamortized deferred financing costs and original issue premiums of $4,228</w:t>
            </w:r>
          </w:p>
          <w:p>
            <w:pPr>
              <w:pStyle w:val="TableContents"/>
              <w:spacing w:before="0" w:after="0"/>
              <w:rPr>
                <w:spacing w:val="0"/>
              </w:rPr>
            </w:pPr>
            <w:r>
              <w:rPr>
                <w:spacing w:val="0"/>
              </w:rPr>
              <w:t> </w:t>
            </w:r>
          </w:p>
          <w:p>
            <w:pPr>
              <w:pStyle w:val="TableContents"/>
              <w:spacing w:before="0" w:after="0"/>
              <w:rPr>
                <w:rFonts w:ascii="Times New Roman" w:hAnsi="Times New Roman"/>
                <w:spacing w:val="0"/>
                <w:sz w:val="20"/>
              </w:rPr>
            </w:pPr>
            <w:r>
              <w:rPr>
                <w:rFonts w:ascii="Times New Roman" w:hAnsi="Times New Roman"/>
                <w:spacing w:val="0"/>
                <w:sz w:val="20"/>
              </w:rPr>
              <w:t>and $4,798,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1,095,772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1,095,202</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 7.000% Studio City Secured Notes, due 2027 (net of unamortized deferred financing costs of $5,134)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344,866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410" w:type="dxa"/>
            <w:gridSpan w:val="4"/>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Credit Facilities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2015 Credit Facilities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128</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2020 Credit Facilities</w:t>
            </w:r>
          </w:p>
          <w:p>
            <w:pPr>
              <w:pStyle w:val="TableContents"/>
              <w:spacing w:before="0" w:after="0"/>
              <w:rPr>
                <w:rFonts w:ascii="Times New Roman" w:hAnsi="Times New Roman"/>
                <w:spacing w:val="0"/>
                <w:sz w:val="12"/>
              </w:rPr>
            </w:pPr>
            <w:r>
              <w:rPr>
                <w:rFonts w:ascii="Times New Roman" w:hAnsi="Times New Roman"/>
                <w:spacing w:val="0"/>
                <w:sz w:val="12"/>
              </w:rPr>
              <w:t xml:space="preserve">(1)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1,899,203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399,693</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2016 Studio City Credit Facilities</w:t>
            </w:r>
          </w:p>
          <w:p>
            <w:pPr>
              <w:pStyle w:val="TableContents"/>
              <w:spacing w:before="0" w:after="0"/>
              <w:rPr>
                <w:rFonts w:ascii="Times New Roman" w:hAnsi="Times New Roman"/>
                <w:spacing w:val="0"/>
                <w:sz w:val="12"/>
              </w:rPr>
            </w:pPr>
            <w:r>
              <w:rPr>
                <w:rFonts w:ascii="Times New Roman" w:hAnsi="Times New Roman"/>
                <w:spacing w:val="0"/>
                <w:sz w:val="12"/>
              </w:rPr>
              <w:t xml:space="preserve">(2)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128</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8,412,508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6,559,982</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long-term debt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(322,500</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(128</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8,090,008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6,559,854</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18"/>
        </w:rPr>
      </w:pPr>
      <w:r>
        <w:rPr>
          <w:rFonts w:ascii="Times New Roman" w:hAnsi="Times New Roman"/>
          <w:spacing w:val="0"/>
          <w:sz w:val="18"/>
        </w:rPr>
        <w:t xml:space="preserve">Notes </w:t>
      </w:r>
    </w:p>
    <w:tbl>
      <w:tblPr>
        <w:tblW w:w="10205" w:type="dxa"/>
        <w:jc w:val="left"/>
        <w:tblInd w:w="0" w:type="dxa"/>
        <w:tblCellMar>
          <w:top w:w="0" w:type="dxa"/>
          <w:left w:w="0" w:type="dxa"/>
          <w:bottom w:w="0" w:type="dxa"/>
          <w:right w:w="0" w:type="dxa"/>
        </w:tblCellMar>
      </w:tblPr>
      <w:tblGrid>
        <w:gridCol w:w="75"/>
        <w:gridCol w:w="281"/>
        <w:gridCol w:w="9849"/>
      </w:tblGrid>
      <w:tr>
        <w:trPr/>
        <w:tc>
          <w:tcPr>
            <w:tcW w:w="75" w:type="dxa"/>
            <w:tcBorders/>
            <w:shd w:fill="auto" w:val="clear"/>
            <w:vAlign w:val="center"/>
          </w:tcPr>
          <w:p>
            <w:pPr>
              <w:pStyle w:val="TableContents"/>
              <w:spacing w:before="0" w:after="283"/>
              <w:rPr/>
            </w:pPr>
            <w:r>
              <w:rPr/>
              <w:t> </w:t>
            </w:r>
          </w:p>
        </w:tc>
        <w:tc>
          <w:tcPr>
            <w:tcW w:w="281" w:type="dxa"/>
            <w:tcBorders/>
            <w:shd w:fill="auto" w:val="clear"/>
            <w:vAlign w:val="center"/>
          </w:tcPr>
          <w:p>
            <w:pPr>
              <w:pStyle w:val="TableContents"/>
              <w:spacing w:before="0" w:after="283"/>
              <w:jc w:val="left"/>
              <w:rPr/>
            </w:pPr>
            <w:r>
              <w:rPr/>
              <w:t>(1)</w:t>
            </w:r>
          </w:p>
        </w:tc>
        <w:tc>
          <w:tcPr>
            <w:tcW w:w="9849"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As of December 31, 2022 and 2021, the unamortized deferred financing costs related to the revolving credit facility of the 2020 Credit Facilities of $26,885</w:t>
            </w:r>
          </w:p>
          <w:p>
            <w:pPr>
              <w:pStyle w:val="TableContents"/>
              <w:spacing w:before="0" w:after="0"/>
              <w:jc w:val="left"/>
              <w:rPr>
                <w:spacing w:val="0"/>
              </w:rPr>
            </w:pPr>
            <w:r>
              <w:rPr>
                <w:spacing w:val="0"/>
              </w:rPr>
              <w:t> </w:t>
            </w:r>
          </w:p>
          <w:p>
            <w:pPr>
              <w:pStyle w:val="TableContents"/>
              <w:spacing w:before="0" w:after="0"/>
              <w:jc w:val="left"/>
              <w:rPr>
                <w:rFonts w:ascii="Times New Roman" w:hAnsi="Times New Roman"/>
                <w:spacing w:val="0"/>
                <w:sz w:val="18"/>
              </w:rPr>
            </w:pPr>
            <w:r>
              <w:rPr>
                <w:rFonts w:ascii="Times New Roman" w:hAnsi="Times New Roman"/>
                <w:spacing w:val="0"/>
                <w:sz w:val="18"/>
              </w:rPr>
              <w:br/>
              <w:t xml:space="preserve">and $35,598 are included in long-term prepayments, deposits and other assets in the accompanying consolidated balance sheet, respectively. </w:t>
            </w:r>
          </w:p>
        </w:tc>
      </w:tr>
    </w:tbl>
    <w:tbl>
      <w:tblPr>
        <w:tblW w:w="10205" w:type="dxa"/>
        <w:jc w:val="left"/>
        <w:tblInd w:w="0" w:type="dxa"/>
        <w:tblCellMar>
          <w:top w:w="0" w:type="dxa"/>
          <w:left w:w="0" w:type="dxa"/>
          <w:bottom w:w="0" w:type="dxa"/>
          <w:right w:w="0" w:type="dxa"/>
        </w:tblCellMar>
      </w:tblPr>
      <w:tblGrid>
        <w:gridCol w:w="75"/>
        <w:gridCol w:w="272"/>
        <w:gridCol w:w="9858"/>
      </w:tblGrid>
      <w:tr>
        <w:trPr/>
        <w:tc>
          <w:tcPr>
            <w:tcW w:w="75"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jc w:val="left"/>
              <w:rPr/>
            </w:pPr>
            <w:r>
              <w:rPr/>
              <w:t>(2)</w:t>
            </w:r>
          </w:p>
        </w:tc>
        <w:tc>
          <w:tcPr>
            <w:tcW w:w="9858"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As of December 31, 2022 and 2021, the unamortized deferred financing costs related to the 2016 SC Revolving Credit Facility of the 2016 Studio City Credit Facilities of $333</w:t>
            </w:r>
          </w:p>
          <w:p>
            <w:pPr>
              <w:pStyle w:val="TableContents"/>
              <w:spacing w:before="0" w:after="0"/>
              <w:jc w:val="left"/>
              <w:rPr>
                <w:spacing w:val="0"/>
              </w:rPr>
            </w:pPr>
            <w:r>
              <w:rPr>
                <w:spacing w:val="0"/>
              </w:rPr>
              <w:t> </w:t>
            </w:r>
          </w:p>
          <w:p>
            <w:pPr>
              <w:pStyle w:val="TableContents"/>
              <w:spacing w:before="0" w:after="0"/>
              <w:jc w:val="left"/>
              <w:rPr>
                <w:rFonts w:ascii="Times New Roman" w:hAnsi="Times New Roman"/>
                <w:spacing w:val="0"/>
                <w:sz w:val="18"/>
              </w:rPr>
            </w:pPr>
            <w:r>
              <w:rPr>
                <w:rFonts w:ascii="Times New Roman" w:hAnsi="Times New Roman"/>
                <w:spacing w:val="0"/>
                <w:sz w:val="18"/>
              </w:rPr>
              <w:t xml:space="preserve">and $389 are included in long-term prepayments, deposits and other assets in the accompanying consolidated balance sheets, respectively.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(a) Senior Notes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2017 4.875% Senior Notes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On June 6, 2017, Melco Resorts Finance Limited (“Melco Resorts Finance”), a subsidiary of Melco, issued $</w:t>
      </w:r>
    </w:p>
    <w:p>
      <w:pPr>
        <w:pStyle w:val="TextBody"/>
        <w:spacing w:before="120" w:after="0"/>
        <w:jc w:val="left"/>
        <w:rPr>
          <w:rFonts w:ascii="Times New Roman" w:hAnsi="Times New Roman"/>
          <w:spacing w:val="0"/>
          <w:sz w:val="20"/>
        </w:rPr>
      </w:pPr>
      <w:r>
        <w:rPr>
          <w:rFonts w:ascii="Times New Roman" w:hAnsi="Times New Roman"/>
          <w:spacing w:val="0"/>
          <w:sz w:val="20"/>
        </w:rPr>
        <w:t>650,000 in aggregate principal amount of 4.875% senior notes due June 6, 2025 at an issue price of 100% of the principal amount (the “First 2017 4.875% Senior Notes”); and on July 3, 2017, Melco Resorts Finance</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2017 4.875% Senior Notes </w:t>
      </w:r>
    </w:p>
    <w:p>
      <w:pPr>
        <w:pStyle w:val="TextBody"/>
        <w:spacing w:before="120" w:after="0"/>
        <w:jc w:val="left"/>
        <w:rPr>
          <w:rFonts w:ascii="Times New Roman" w:hAnsi="Times New Roman"/>
          <w:i w:val="false"/>
          <w:caps w:val="false"/>
          <w:smallCaps w:val="false"/>
          <w:spacing w:val="0"/>
          <w:sz w:val="20"/>
        </w:rPr>
      </w:pPr>
      <w:r>
        <w:rPr>
          <w:rFonts w:ascii="Times New Roman" w:hAnsi="Times New Roman"/>
          <w:i w:val="false"/>
          <w:caps w:val="false"/>
          <w:smallCaps w:val="false"/>
          <w:spacing w:val="0"/>
          <w:sz w:val="20"/>
        </w:rPr>
        <w:t>-</w:t>
      </w:r>
    </w:p>
    <w:p>
      <w:pPr>
        <w:pStyle w:val="TextBody"/>
        <w:spacing w:before="120" w:after="0"/>
        <w:jc w:val="left"/>
        <w:rPr>
          <w:rFonts w:ascii="Times New Roman" w:hAnsi="Times New Roman"/>
          <w:sz w:val="20"/>
        </w:rPr>
      </w:pPr>
      <w:r>
        <w:rPr>
          <w:rFonts w:ascii="Times New Roman" w:hAnsi="Times New Roman"/>
          <w:sz w:val="20"/>
        </w:rPr>
        <w:t>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further issued $350,000 in aggregate principal amount of 4.875%</w:t>
      </w:r>
    </w:p>
    <w:p>
      <w:pPr>
        <w:pStyle w:val="TextBody"/>
        <w:spacing w:before="0" w:after="0"/>
        <w:jc w:val="left"/>
        <w:rPr>
          <w:spacing w:val="0"/>
        </w:rPr>
      </w:pPr>
      <w:r>
        <w:rPr>
          <w:spacing w:val="0"/>
        </w:rPr>
        <w:t> </w:t>
      </w:r>
      <w:r>
        <w:rPr>
          <w:rFonts w:ascii="Times New Roman" w:hAnsi="Times New Roman"/>
          <w:spacing w:val="0"/>
          <w:sz w:val="20"/>
        </w:rPr>
        <w:t xml:space="preserve">senior notes due June 6, 2025 at an issue price of 100.75% of the principal amount (the “Second 2017 4.875% Senior Notes” and together with the First 2017 4.875% Senior Notes, collectively referred to as the “2017 4.875% Senior Notes”). The interest on the 2017 4.875% Senior Notes is accrued at a rate of 4.875% per annum and is payable semi-annually in arrears on June 6 and December 6 of each year. The 2017 4.875%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all of the indebtedness of Melco Resorts Finance’s subsidiaries. The net proceeds from the offering of the First 2017 4.875% Senior Notes were used to partly fund the redemption of the previous senior notes of Melco Resorts Finance and the net proceeds from the offering of the Second 2017 4.875% Senior Notes were used to repay the 2015 Revolving Credit Facility (as described below).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Resorts Finance had the option to redeem all or a portion of the 2017 4.875% Senior Notes at any time prior to June 6, 2020, at a “make-whole” redemption price. On or after June 6, 2020, Melco Resorts Finance has the option to redeem all or a portion of the 2017 4.875% Senior Notes at any time at fixed redemption prices that decline ratably over time. In addition, Melco Resorts Finance had the option to redeem up to 35% of the 2017 4.875% Senior Notes with the net cash proceeds from one or more equity offerings at a fixed redemption price at any time prior to June 6, 2020. Further, under certain circumstances and subject to certain exceptions as more fully described in the indenture, Melco Resorts Finance also has the option to redeem in whole, but not in part the 2017 4.875% Senior Notes at fixed redemption prices. In certain events that relate to a change of control or a termination of the gaming concession of Melco Resorts Macau and subject to certain exceptions as more fully described in the indenture, each holder of the 2017 4.875% Senior Notes will have the right to require Melco Resorts Finance to repurchase all or any part of such holder’s 2017 4.875% Senior Notes at a fixed redemption price.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indenture governing the 2017 4.875% Senior Notes contains certain covenants that, subject to certain exceptions and conditions, limit the ability of Melco Resorts Finance to, among other things, effect a consolidation or merger or sell assets. The indenture governing the 2017 4.875% Senior Notes also contains conditions and events of default customary for such financings.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2019 5.250% Senior Notes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26, 2019, Melco Resorts Finance issued $500,000 in aggregate principal amount of 5.250% senior notes due April 26, 2026 at an issue price of 100% of the principal amount (the “2019 5.250% Senior Notes”). The interest on the 2019 5.250% Senior Notes is accrued at a rate of 5.250% per annum, payable semi-annually in arrears on April 26 and October 26 of each year. The 2019 5.250%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2019 5.250% Senior Notes were used to partially repay the 2015 Revolving Credit Facility in May 2019.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39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2019 5.250% Senior Notes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Melco Resorts Finance had the option to redeem all or a portion of the 2019 5.250% Senior Notes at any time prior to April 26, 2022, at a “make-whole” redemption price. On or after April 26, 2022, Melco Resorts Finance has the option to redeem all or a portion of the 2019 5.250% Senior Notes at any time at fixed redemption prices that decline ratably over time. In addition, Melco Resorts Finance had the option to redeem up to 35% of the 2019 5.250% Senior Notes with the net cash proceeds from one or more equity offerings at a fixed redemption price at any time prior to April 26, 2022. Further, under certain circumstances and subject to certain exceptions as more fully described in the indenture, Melco Resorts Finance also has the option to redeem in whole, but not in part the 2019 5.250% Senior Notes at fixed redemption prices. In certain events that relate to a change of control or a termination of the gaming concession of Melco Resorts Macau and subject to certain exceptions as more fully described in the indenture, each holder of the 2019 5.250% Senior Notes will have the right to require Melco Resorts Finance to repurchase all or any part of such holder’s 2019 5.250% Senior Notes at a fixed redemption price.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indenture governing the 2019 5.250% Senior Notes contains certain covenants that, subject to certain exceptions and conditions, limit the ability of Melco Resorts Finance to, among other things, effect a consolidation or merger or sell assets. The indenture governing the 2019 5.250% Senior Notes also contains conditions and events of default customary for such financings.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2019 5.625% Senior Notes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July 17, 2019, Melco Resorts Finance issued $600,000 in aggregate principal amount of 5.625% senior notes due July 17, 2027 at an issue price of 100% of the principal amount (the “2019 5.625% Senior Notes”). The interest on the 2019 5.625% Senior Notes is accrued at a rate of 5.625% per annum, payable semi-annually in arrears on January 17 and July 17 of each year and commenced on January 17, 2020. The 2019 5.625%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2019 5.625% Senior Notes were used to partially repay the 2015 Revolving Credit Facility in July 2019. </w:t>
      </w:r>
    </w:p>
    <w:p>
      <w:pPr>
        <w:pStyle w:val="TextBody"/>
        <w:spacing w:before="120" w:after="0"/>
        <w:jc w:val="left"/>
        <w:rPr>
          <w:rFonts w:ascii="Times New Roman" w:hAnsi="Times New Roman"/>
          <w:spacing w:val="0"/>
          <w:sz w:val="20"/>
        </w:rPr>
      </w:pPr>
      <w:r>
        <w:rPr>
          <w:rFonts w:ascii="Times New Roman" w:hAnsi="Times New Roman"/>
          <w:spacing w:val="0"/>
          <w:sz w:val="20"/>
        </w:rPr>
        <w:t>Melco Resorts Finance had the option to redeem all or a portion of the 2019 5.625% Senior Notes at any time prior to July 17, 2022, at a “make-whole” redemption price. On or after July 17, 2022, Melco Resorts Finance has the option to redeem all or a portion of the 2019 5.625% Senior Notes at any time at fixed redemption prices that decline ratably over time. In addition, Melco Resorts Finance had the option to redeem up to 35% of the 2019 5.625% Senior Notes with the net cash proceeds from one or more equity offerings at a fixed redemption price at any time prior to July 17, 2022. Further, under certain circumstances and subject to certain exceptions as more fully described in the indenture, Melco Resorts Finance also has the option to redeem in whole, but not in part the 2019 5.625% Senior Notes at fixed redemption prices. In certain events that relate to a change of control or a termination of the gaming concession of Melco Resorts Macau and subject to certain exceptions as more fully described in the indenture, each holder of the 2019 5.625% Senior Notes will have the right to require Melco Resorts Finance to repurchase all or any part of such holder’s 2019 5.625% Senior Notes at a fixed</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redemption price.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2019 5.625% Senior Notes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indenture governing the 2019 5.625% Senior Notes contains certain covenants that, subject to certain exceptions and conditions, limit the ability of Melco Resorts Finance to, among other things, effect a consolidation or merger or sell assets. The indenture governing the 2019 5.625% Senior Notes also contains conditions and events of default customary for such financings.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2019 5.375% Senior Notes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December 4, 2019, Melco Resorts Finance issued $900,000 in aggregate principal amount of 5.375% senior notes due December 4, 2029 at an issue price of 100% of the principal amount (the “First 2019 5.375% Senior Notes”); and on January 21, 2021, Melco Resorts Finance further issued $250,000 in aggregate principal amount of 5.375% senior notes due December 4, 2029 at an issue price of 103.25% of the principal amount (the “Additional 2019 5.375% Senior Notes” and together with the First 2019 5.375% Senior Notes, the “2019 5.375% Senior Notes”). The Additional 2019 5.375% Senior Notes are consolidated and form a single series with the First 2019 5.375% Senior Notes. The interest on the 2019 5.375% Senior Notes is accrued at a rate of 5.375% per annum, payable semi-annually in arrears on June 4 and December 4 of each year and commenced on June 4, 2020. The 2019 5.375%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First 2019 5.375% Senior Notes were used to repay the outstanding borrowing of the 2015 Revolving Credit Facility in full and to partially prepay the 2015 Term Loan Facility (as described below) in December 2019. The net proceeds from the offering of the Additional 2019 5.375% Senior Notes were used to repay the 2020 Credit Facilities (as described below) in January 2021.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Resorts Finance has the option to redeem all or a portion of the 2019 5.375% Senior Notes at any time prior to December 4, 2024 at a “make-whole” redemption price. On or after December 4, 2024, Melco Resorts Finance has the option to redeem all or a portion of the 2019 5.375% Senior Notes at any time at fixed redemption prices that decline ratably over time. In addition, Melco Resorts Finance has the option to redeem up to 35% of the 2019 5.375% Senior Notes with the net cash proceeds from one or more equity offerings at a fixed redemption price at any time prior to December 4, 2024. Further, under certain circumstances and subject to certain exceptions as more fully described in the indenture, Melco Resorts Finance also has the option to redeem in whole, but not in part the 2019 5.375% Senior Notes at fixed redemption prices. In certain events that relate to a change of control or a termination of the gaming concession of Melco Resorts Macau and subject to certain exceptions as more fully described in the indenture, each holder of the 2019 5.375% Senior Notes will have the right to require Melco Resorts Finance to repurchase all or any part of such holder’s 2019 5.375% Senior Notes at a fixed redemption price.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indenture governing the 2019 5.375% Senior Notes contains certain covenants that, subject to certain exceptions and conditions, limit the ability of Melco Resorts Finance to, among other things, effect a consolidation or merger or sell assets. The indenture governing the 2019 5.375% Senior Notes also contains conditions and events of default customary for such financings.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2020 5.750% Senior Notes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On July 21, 2020, Melco Resorts Finance issued $500,000 in aggregate principal amount of 5.750% senior notes due July 21, 2028 at an issue price of 100% of the principal amount (the “First 2020 5.750% Senior Notes”); and on August 11, 2020, Melco Resorts Finance further issued $350,000 in aggregate principal amount of 5.750% senior notes due July 21, 2028 at an issue price of 101% of the principal amount (the “Second 2020 5.750% Senior Notes” and together with the First 2020 5.750% Senior Notes, the “2020 5.750% Senior Notes”). The Second 2020 5.750% Senior Notes are consolidated and form a single series with the First 2020 5.750% Senior Notes. The interest on the 2020 5.750% Senior Notes is accrued at a rate of 5.750% per annum, payable semi-annually in arrears on January 21 and July 21 of each year and commenced on January 21, 2021. The 2020 5.750% Senior Notes are general obligations of Melco Resorts Finance, rank equally in right of payment to all existing and future senior indebtedness of Melco Resorts Finance, rank senior in right of payment to any existing and future subordinated indebtedness of Melco Resorts Finance and are effectively subordinated to all of Melco Resorts Finance’s existing and future secured indebtedness to the extent of the value of the assets securing such debt and to the indebtedness of Melco Resorts Finance’s subsidiaries. The net proceeds from the offering of the 2020 5.750%</w:t>
      </w:r>
    </w:p>
    <w:p>
      <w:pPr>
        <w:pStyle w:val="TextBody"/>
        <w:spacing w:before="120" w:after="0"/>
        <w:ind w:left="0" w:right="0" w:hanging="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Senior Notes were partially used to repay the 2020 Credit Facilities in July 2020 and with the remaining amount used for general corporate purposes.</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Melco Resorts Finance has the option to redeem all or a portion of the 2020 5.750% Senior Notes at any time prior to July 21, 2023 at a “make-whole” redemption price. On or after July 21, 2023, Melco Resorts Finance has the option to redeem all or a portion of the 2020 5.750% Senior Notes at any time at fixed redemption prices that decline ratably over time. In addition, Melco Resorts Finance has the option to redeem up to 35% of the 2020 5.750% Senior Notes with the net cash proceeds from one or more equity offerings at a fixed redemption price at any time prior to July 21, 2023. Further, under certain circumstances and subject to certain exceptions as more fully described in the indenture, Melco Resorts Finance also has the option to redeem in whole, but not in part the 2020 5.750% Senior Notes at fixed redemption prices. In certain events that relate to a change of control or a termination of the gaming concession of Melco Resorts Macau and subject to certain exceptions as more fully described in the indenture, each holder of the 2020 5.750% Senior Notes will have the right to require Melco Resorts Finance to repurchase all or any part of such holder’s 2020 5.750% Senior Notes at a fixed redemption price.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indenture governing the 20</w:t>
      </w:r>
    </w:p>
    <w:p>
      <w:pPr>
        <w:pStyle w:val="TextBody"/>
        <w:spacing w:before="120" w:after="0"/>
        <w:jc w:val="left"/>
        <w:rPr>
          <w:rFonts w:ascii="Times New Roman" w:hAnsi="Times New Roman"/>
          <w:spacing w:val="0"/>
          <w:sz w:val="20"/>
        </w:rPr>
      </w:pPr>
      <w:r>
        <w:rPr>
          <w:rFonts w:ascii="Times New Roman" w:hAnsi="Times New Roman"/>
          <w:spacing w:val="0"/>
          <w:sz w:val="20"/>
        </w:rPr>
        <w:t>20</w:t>
      </w:r>
    </w:p>
    <w:p>
      <w:pPr>
        <w:pStyle w:val="TextBody"/>
        <w:spacing w:before="120" w:after="0"/>
        <w:jc w:val="left"/>
        <w:rPr>
          <w:rFonts w:ascii="Times New Roman" w:hAnsi="Times New Roman"/>
          <w:spacing w:val="0"/>
          <w:sz w:val="20"/>
        </w:rPr>
      </w:pPr>
      <w:r>
        <w:rPr>
          <w:rFonts w:ascii="Times New Roman" w:hAnsi="Times New Roman"/>
          <w:spacing w:val="0"/>
          <w:sz w:val="20"/>
        </w:rPr>
        <w:t>5.75</w:t>
      </w:r>
    </w:p>
    <w:p>
      <w:pPr>
        <w:pStyle w:val="TextBody"/>
        <w:spacing w:before="120" w:after="0"/>
        <w:jc w:val="left"/>
        <w:rPr>
          <w:rFonts w:ascii="Times New Roman" w:hAnsi="Times New Roman"/>
          <w:spacing w:val="0"/>
          <w:sz w:val="20"/>
        </w:rPr>
      </w:pPr>
      <w:r>
        <w:rPr>
          <w:rFonts w:ascii="Times New Roman" w:hAnsi="Times New Roman"/>
          <w:spacing w:val="0"/>
          <w:sz w:val="20"/>
        </w:rPr>
        <w:t>0</w:t>
      </w:r>
    </w:p>
    <w:p>
      <w:pPr>
        <w:pStyle w:val="TextBody"/>
        <w:spacing w:before="120" w:after="0"/>
        <w:jc w:val="left"/>
        <w:rPr>
          <w:rFonts w:ascii="Times New Roman" w:hAnsi="Times New Roman"/>
          <w:spacing w:val="0"/>
          <w:sz w:val="20"/>
        </w:rPr>
      </w:pPr>
      <w:r>
        <w:rPr>
          <w:rFonts w:ascii="Times New Roman" w:hAnsi="Times New Roman"/>
          <w:spacing w:val="0"/>
          <w:sz w:val="20"/>
        </w:rPr>
        <w:t>% Senior Notes contains certain covenants that, subject to certain exceptions and conditions, limit the ability of Melco Resorts Finance to, among other things, effect a consolidation or merger or sell assets. The indenture governing the 20</w:t>
      </w:r>
    </w:p>
    <w:p>
      <w:pPr>
        <w:pStyle w:val="TextBody"/>
        <w:spacing w:before="120" w:after="0"/>
        <w:jc w:val="left"/>
        <w:rPr>
          <w:rFonts w:ascii="Times New Roman" w:hAnsi="Times New Roman"/>
          <w:spacing w:val="0"/>
          <w:sz w:val="20"/>
        </w:rPr>
      </w:pPr>
      <w:r>
        <w:rPr>
          <w:rFonts w:ascii="Times New Roman" w:hAnsi="Times New Roman"/>
          <w:spacing w:val="0"/>
          <w:sz w:val="20"/>
        </w:rPr>
        <w:t>20</w:t>
      </w:r>
    </w:p>
    <w:p>
      <w:pPr>
        <w:pStyle w:val="TextBody"/>
        <w:spacing w:before="120" w:after="0"/>
        <w:jc w:val="left"/>
        <w:rPr>
          <w:rFonts w:ascii="Times New Roman" w:hAnsi="Times New Roman"/>
          <w:spacing w:val="0"/>
          <w:sz w:val="20"/>
        </w:rPr>
      </w:pPr>
      <w:r>
        <w:rPr>
          <w:rFonts w:ascii="Times New Roman" w:hAnsi="Times New Roman"/>
          <w:spacing w:val="0"/>
          <w:sz w:val="20"/>
        </w:rPr>
        <w:t>5.75</w:t>
      </w:r>
    </w:p>
    <w:p>
      <w:pPr>
        <w:pStyle w:val="TextBody"/>
        <w:spacing w:before="120" w:after="0"/>
        <w:jc w:val="left"/>
        <w:rPr>
          <w:rFonts w:ascii="Times New Roman" w:hAnsi="Times New Roman"/>
          <w:spacing w:val="0"/>
          <w:sz w:val="20"/>
        </w:rPr>
      </w:pPr>
      <w:r>
        <w:rPr>
          <w:rFonts w:ascii="Times New Roman" w:hAnsi="Times New Roman"/>
          <w:spacing w:val="0"/>
          <w:sz w:val="20"/>
        </w:rPr>
        <w:t>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Senior Notes also contains conditions and events of default customary for such financings.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i/>
          <w:spacing w:val="0"/>
          <w:sz w:val="20"/>
        </w:rPr>
      </w:pPr>
      <w:r>
        <w:rPr>
          <w:rFonts w:ascii="Times New Roman" w:hAnsi="Times New Roman"/>
          <w:i/>
          <w:spacing w:val="0"/>
          <w:sz w:val="20"/>
        </w:rPr>
        <w:t>2020 Studio City Notes</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On July 15, 2020, Studio City Finance Limited (“Studio City Finance”), a subsidiary of Melco, issued $</w:t>
      </w:r>
    </w:p>
    <w:p>
      <w:pPr>
        <w:pStyle w:val="TextBody"/>
        <w:spacing w:before="120" w:after="0"/>
        <w:jc w:val="left"/>
        <w:rPr>
          <w:rFonts w:ascii="Times New Roman" w:hAnsi="Times New Roman"/>
          <w:spacing w:val="0"/>
          <w:sz w:val="20"/>
        </w:rPr>
      </w:pPr>
      <w:r>
        <w:rPr>
          <w:rFonts w:ascii="Times New Roman" w:hAnsi="Times New Roman"/>
          <w:spacing w:val="0"/>
          <w:sz w:val="20"/>
        </w:rPr>
        <w:t>500,000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aggregate principal amount of </w:t>
      </w:r>
    </w:p>
    <w:p>
      <w:pPr>
        <w:pStyle w:val="TextBody"/>
        <w:spacing w:before="120" w:after="0"/>
        <w:jc w:val="left"/>
        <w:rPr>
          <w:rFonts w:ascii="Times New Roman" w:hAnsi="Times New Roman"/>
          <w:spacing w:val="0"/>
          <w:sz w:val="20"/>
        </w:rPr>
      </w:pPr>
      <w:r>
        <w:rPr>
          <w:rFonts w:ascii="Times New Roman" w:hAnsi="Times New Roman"/>
          <w:spacing w:val="0"/>
          <w:sz w:val="20"/>
        </w:rPr>
        <w:t>6.000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senior notes due </w:t>
      </w:r>
    </w:p>
    <w:p>
      <w:pPr>
        <w:pStyle w:val="TextBody"/>
        <w:spacing w:before="120" w:after="0"/>
        <w:jc w:val="left"/>
        <w:rPr>
          <w:rFonts w:ascii="Times New Roman" w:hAnsi="Times New Roman"/>
          <w:spacing w:val="0"/>
          <w:sz w:val="20"/>
        </w:rPr>
      </w:pPr>
      <w:r>
        <w:rPr>
          <w:rFonts w:ascii="Times New Roman" w:hAnsi="Times New Roman"/>
          <w:spacing w:val="0"/>
          <w:sz w:val="20"/>
        </w:rPr>
        <w:t>July 15, 2025</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an issue price of </w:t>
      </w:r>
    </w:p>
    <w:p>
      <w:pPr>
        <w:pStyle w:val="TextBody"/>
        <w:spacing w:before="120" w:after="0"/>
        <w:jc w:val="left"/>
        <w:rPr>
          <w:rFonts w:ascii="Times New Roman" w:hAnsi="Times New Roman"/>
          <w:spacing w:val="0"/>
          <w:sz w:val="20"/>
        </w:rPr>
      </w:pPr>
      <w:r>
        <w:rPr>
          <w:rFonts w:ascii="Times New Roman" w:hAnsi="Times New Roman"/>
          <w:spacing w:val="0"/>
          <w:sz w:val="20"/>
        </w:rPr>
        <w:t>100</w:t>
      </w:r>
    </w:p>
    <w:p>
      <w:pPr>
        <w:pStyle w:val="TextBody"/>
        <w:spacing w:before="120" w:after="0"/>
        <w:jc w:val="left"/>
        <w:rPr>
          <w:rFonts w:ascii="Times New Roman" w:hAnsi="Times New Roman"/>
          <w:spacing w:val="0"/>
          <w:sz w:val="20"/>
        </w:rPr>
      </w:pPr>
      <w:r>
        <w:rPr>
          <w:rFonts w:ascii="Times New Roman" w:hAnsi="Times New Roman"/>
          <w:spacing w:val="0"/>
          <w:sz w:val="20"/>
        </w:rPr>
        <w:t>% of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2020 Studio City Notes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the principal amount (the “2020 6.000% SC Notes”) and $</w:t>
      </w:r>
    </w:p>
    <w:p>
      <w:pPr>
        <w:pStyle w:val="TextBody"/>
        <w:spacing w:before="0" w:after="0"/>
        <w:jc w:val="left"/>
        <w:rPr>
          <w:rFonts w:ascii="Times New Roman" w:hAnsi="Times New Roman"/>
          <w:spacing w:val="0"/>
          <w:sz w:val="20"/>
        </w:rPr>
      </w:pPr>
      <w:r>
        <w:rPr>
          <w:rFonts w:ascii="Times New Roman" w:hAnsi="Times New Roman"/>
          <w:spacing w:val="0"/>
          <w:sz w:val="20"/>
        </w:rPr>
        <w:t>500,000</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in aggregate principal amount of </w:t>
      </w:r>
    </w:p>
    <w:p>
      <w:pPr>
        <w:pStyle w:val="TextBody"/>
        <w:spacing w:before="0" w:after="0"/>
        <w:jc w:val="left"/>
        <w:rPr>
          <w:rFonts w:ascii="Times New Roman" w:hAnsi="Times New Roman"/>
          <w:spacing w:val="0"/>
          <w:sz w:val="20"/>
        </w:rPr>
      </w:pPr>
      <w:r>
        <w:rPr>
          <w:rFonts w:ascii="Times New Roman" w:hAnsi="Times New Roman"/>
          <w:spacing w:val="0"/>
          <w:sz w:val="20"/>
        </w:rPr>
        <w:t>6.500</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 senior notes due </w:t>
      </w:r>
    </w:p>
    <w:p>
      <w:pPr>
        <w:pStyle w:val="TextBody"/>
        <w:spacing w:before="0" w:after="0"/>
        <w:jc w:val="left"/>
        <w:rPr>
          <w:rFonts w:ascii="Times New Roman" w:hAnsi="Times New Roman"/>
          <w:spacing w:val="0"/>
          <w:sz w:val="20"/>
        </w:rPr>
      </w:pPr>
      <w:r>
        <w:rPr>
          <w:rFonts w:ascii="Times New Roman" w:hAnsi="Times New Roman"/>
          <w:spacing w:val="0"/>
          <w:sz w:val="20"/>
        </w:rPr>
        <w:t>January 15, 2028</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at an issue price of </w:t>
      </w:r>
    </w:p>
    <w:p>
      <w:pPr>
        <w:pStyle w:val="TextBody"/>
        <w:spacing w:before="0" w:after="0"/>
        <w:jc w:val="left"/>
        <w:rPr>
          <w:rFonts w:ascii="Times New Roman" w:hAnsi="Times New Roman"/>
          <w:spacing w:val="0"/>
          <w:sz w:val="20"/>
        </w:rPr>
      </w:pPr>
      <w:r>
        <w:rPr>
          <w:rFonts w:ascii="Times New Roman" w:hAnsi="Times New Roman"/>
          <w:spacing w:val="0"/>
          <w:sz w:val="20"/>
        </w:rPr>
        <w:t>100</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 of the principal amount (the “2020 6.500% SC Notes” and together with 2020 6.000% SC Notes, the “2020 Studio City Notes”). The interest on the 2020 6.000% SC Notes and 2020 6.500% SC Notes is accrued at a rate of 6.000% and 6.500% per annum, respectively, payable semi-annually in arrears on January 15 and July 15 of each year and commenced on January 15, 2021. The 2020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net proceeds from the offering of the 2020 Studio City Notes were partially used to redeem in full the previous senior secured notes of Studio City Company Limited (“Studio City Company”), a subsidiary of Melco, with accrued interest and redemption premium in August 2020 and with the remaining amount used for the capital expenditures of the remaining development project at Studio City.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All of the existing subsidiaries of Studio City Finance and any other future restricted subsidiaries that provide guarantees of certain specified indebtedness (including the 2016 Studio City Credit Facilities as described below) (the “2020 Studio City Notes Guarantors”) jointly, severally and unconditionally guarantee the 2020 Studio City Notes on a senior basis (the “2020 Studio City Notes Guarantees”). The 2020 Studio City Notes Guarantees are general obligations of the 2020 Studio City Notes Guarantors, rank equally in right of payment to all existing and future senior indebtedness of the 2020 Studio City Notes Guarantors and rank senior in right of payment to any existing and future subordinated indebtedness of the 2020 Studio City Notes Guarantors. The 2020 Studio City Notes Guarantees are effectively subordinated to the 2020 Studio City Notes Guarantors’ obligations under all existing and any future secured indebtedness to the extent of the value of such property and assets securing such indebtedness.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At any time prior to July 15, 2022, Studio City Finance had the options i) to redeem all or a portion of the 2020 6.000% SC Notes at a “make-whole” redemption price; and ii) to redeem up to 35% of the 2020 6.000% SC Notes with the net cash proceeds of certain equity offerings at a fixed redemption price. Thereafter, Studio City Finance has the option to redeem all or a portion of the 2020 6.000% SC Notes at any time at fixed redemption prices that decline ratably over time. At any time prior to July 15, 2023, Studio City Finance has the options i) to redeem all or a portion of the 2020 6.500% SC Notes at a “make-whole” redemption price; and ii) to redeem up to 35% of the 2020 6.500%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SC Notes with the net cash proceeds of certain equity offerings at a fixed redemption price. Thereafter, Studio City Finance has the option to redeem all or a portion of the 2020 6.500% SC Notes at any time at fixed redemption prices that decline ratably over time. Further, under certain circumstances and subject to certain exceptions as more fully described in the indenture governing the 2020 Studio City Notes, Studio City Finance also has the option to redeem in whole, but not in part the 2020 Studio City Notes at fixed redemption prices. In certain events that relate to a change of control or a termination of the gaming concession of Melco Resorts Macau and subject to certain exceptions as more fully described in the indenture governing the 2020 Studio City Notes, each holder of the 2020 Studio City Notes will have the right to require Studio City Finance to repurchase all or any part of such holder’s 2020 Studio City Notes at a fixed redemption price. </w:t>
      </w:r>
    </w:p>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2020 Studio City Notes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indenture governing the 2020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The indenture governing the 2020 Studio City Notes also contains conditions and events of default customary for such financings.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are provisions under the indenture governing the 2020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2022, the net assets of Studio City Finance and its restricted subsidiaries of approximately $887,000 were restricted from being distributed under the terms of the 2020 Studio City Notes.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2021 5.000% Studio City Notes </w:t>
      </w:r>
    </w:p>
    <w:p>
      <w:pPr>
        <w:pStyle w:val="TextBody"/>
        <w:spacing w:before="120" w:after="0"/>
        <w:jc w:val="left"/>
        <w:rPr>
          <w:rFonts w:ascii="Times New Roman" w:hAnsi="Times New Roman"/>
          <w:spacing w:val="0"/>
          <w:sz w:val="20"/>
        </w:rPr>
      </w:pPr>
      <w:r>
        <w:rPr>
          <w:rFonts w:ascii="Times New Roman" w:hAnsi="Times New Roman"/>
          <w:spacing w:val="0"/>
          <w:sz w:val="20"/>
        </w:rPr>
        <w:t>On January 14, 2021, Studio City Finance issued $750,000 in aggregate principal amount of 5.000% senior notes due January 15, 2029 at an issue price of 100% of the principal amount (the “First 2021 5.000% Studio City Notes”); and on May 20, 2021, Studio City Finance further issued $350,000 in aggregate principal amount of 5.000% senior notes due January 15, 2029 at an issue price of 101.50% of the principal amount (the “Additional 2021 5.000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Studio City Notes” and together with the First 2021 5.000% Studio City Notes, the “2021 5.000% Studio City Notes”). The Additional 2021 5.000% Studio City Notes are consolidated and form a single series with the First 2021 5.000% Studio City Notes. The interest on the 2021 5.000% Studio City Notes is accrued at a rate of 5.000% per annum, payable semi-annually in arrears on January 15 and July 15 of each year and commenced on July 15, 2021. The 2021 5.000% Studio City Notes are general obligations of Studio City Finance, rank equally in right of payment to all existing and future senior indebtedness of Studio City Finance, rank senior in right of payment to any existing and future subordinated indebtedness of Studio City Finance and are effectively subordinated to all of Studio City Finance’s existing and future secured indebtedness to the extent of the value of the property and assets securing such indebtedness.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net proceeds from the offering of the 2021 5.000% Studio City Notes were partially used to fund the conditional tender offer and the remaining outstanding balance with accrued interest of previous senior notes of Studio City Finance in February 2021; and with the remaining balance to partially fund the capital expenditures of the remaining development project at Studio City and for general corporate purposes.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All of the existing subsidiaries of Studio City Finance and any other future restricted subsidiaries that provide guarantees of certain specified indebtedness (including the 2016 Studio City Credit Facilities) (the “2021 5.000% Studio City Notes Guarantors”) jointly, severally and unconditionally guarantee the 2021 5.000% Studio City Notes on a senior basis (the “2021 5.000% Studio City Notes Guarantees”). The 2021 5.000% Studio City Notes Guarantees are general obligations of the 2021 5.000% Studio City Notes Guarantors, rank equally in right of payment to all existing and future senior indebtedness of the 2021 5.000% Studio City Notes Guarantors and rank senior in right of payment to any existing and future subordinated indebtedness of the 2021 5.000% Studio City Notes Guarantors. The 2021 5.000% Studio City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2021 5.000% Studio City Notes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Notes Guarantees are effectively subordinated to the 2021 5.000% Studio City Notes Guarantors’ obligations under all existing and any future secured indebtedness to the extent of the value of such property and assets securing such indebtedness.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any time prior to January 15, 2024, Studio City Finance has the options i) to redeem all or a portion of the 2021 5.000% Studio City Notes at a “make-whole” redemption price; and ii) to redeem up to 35% of the 2021 5.000% Studio City Notes with the net cash proceeds of certain equity offerings at a fixed redemption price. Thereafter, Studio City Finance has the option to redeem all or a portion of the 2021 5.000% Studio City Notes at any time at fixed redemption prices that decline ratably over time. Further, under certain circumstances and subject to certain exceptions as more fully described in the indenture governing the 2021 5.000% Studio City Notes, Studio City Finance also has the option to redeem in whole, but not in part the 2021 5.000% Studio City Notes at fixed redemption prices. In certain events that relate to a change of control or a termination of the gaming concession of Melco Resorts Macau and subject to certain exceptions as more fully described in the indenture governing the 2021 5.000% Studio City Notes, each holder of the 2021 5.000% Studio City Notes will have the right to require Studio City Finance to repurchase all or any part of such holder’s 2021 5.000% Studio City Notes at a fixed redemption price.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indenture governing the 2021 5.000%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 (viii) effect a consolidation or merger. The indenture governing the 2021 5.000% Studio City Notes also contains conditions and events of default customary for such financings.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are provisions under the indenture governing the 2021 5.000% Studio City Notes that limit or prohibit certain payments of dividends and other distributions by Studio City Finance and its restricted subsidiaries to companies or persons who are not Studio City Finance or restricted subsidiaries of Studio City Finance, subject to certain exceptions and conditions. As of December 31, 2022, the net assets of Studio City Finance and its restricted subsidiaries of approximately $887,000 were restricted from being distributed under the terms of the 2021 5.000% Studio City Notes.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2022 7.000% Studio City Secured Notes </w:t>
      </w:r>
    </w:p>
    <w:p>
      <w:pPr>
        <w:pStyle w:val="TextBody"/>
        <w:spacing w:before="120" w:after="0"/>
        <w:jc w:val="left"/>
        <w:rPr>
          <w:rFonts w:ascii="Times New Roman" w:hAnsi="Times New Roman"/>
          <w:spacing w:val="0"/>
          <w:sz w:val="20"/>
        </w:rPr>
      </w:pPr>
      <w:r>
        <w:rPr>
          <w:rFonts w:ascii="Times New Roman" w:hAnsi="Times New Roman"/>
          <w:spacing w:val="0"/>
          <w:sz w:val="20"/>
        </w:rPr>
        <w:t>On February 16, 2022, Studio City Company issued $350,000 in aggregate principal amount of 7.000% senior secured notes due February 15, 2027 at an issue price of 100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of the principal amount (the “2022 7.000% Studio City Secured Notes”). The interest on the 2022 7.000% Studio City Secured Notes is accrued at a rate of 7.000% per annum, payable semi-annually in arrears on February 15 and August 15 of each year and commenced on August 15, 2022. The 2022 </w:t>
      </w:r>
    </w:p>
    <w:p>
      <w:pPr>
        <w:pStyle w:val="TextBody"/>
        <w:spacing w:before="120" w:after="0"/>
        <w:jc w:val="left"/>
        <w:rPr>
          <w:rFonts w:ascii="Times New Roman" w:hAnsi="Times New Roman"/>
          <w:spacing w:val="0"/>
          <w:sz w:val="20"/>
        </w:rPr>
      </w:pPr>
      <w:r>
        <w:rPr>
          <w:rFonts w:ascii="Times New Roman" w:hAnsi="Times New Roman"/>
          <w:spacing w:val="0"/>
          <w:sz w:val="20"/>
        </w:rPr>
        <w:t>7.000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Studio City Secured Notes are senior secured obligations of Studio City Company, rank equally in right of payment to all existing and future senior indebtedness of Studio City Company (although any liabilities in respect of obligations under the 2016 Studio City Credit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F-4</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2022 7.000% Studio City Secured Notes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Facilities (as described below) that are secured by common collateral securing the 2022 7.000% Studio City Secured Notes will have priority over the 2022 7.000%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2022 7.000% Studio City Secured Notes, to the extent of the assets securing such indebtedness. The net proceeds from the offering of the 2022 7.000% Studio City Secured Notes will be used to fund the capital expenditures of the remaining development project at Studio City and for general corporate purposes.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Studio City Investments Limited (“Studio City Investments”), a subsidiary of Melco, all of its existing subsidiaries (other than Studio City Company) and any other future restricted subsidiaries that provide guarantees of certain specified indebtedness (including the 2016 Studio City Credit Facilities) (the “2022 7.000% Studio City Secured Notes Guarantors”) jointly, severally and unconditionally guarantee the 2022 7.000% Studio City Secured Notes on a senior basis (the “2022 7.000% Studio City Secured Notes Guarantees”). The 2022 7.000% Studio City Secured Notes Guarantees are senior obligations of the 2022 7.000% Studio City Secured Notes Guarantors, rank equally in right of payment to all existing and future senior indebtedness of the 2022 7.000% Studio City Secured Notes Guarantors and rank senior in right of payment to any existing and future subordinated indebtedness of the 2022 7.000% Studio City Secured Notes Guarantors. The 2022 7.000% Studio City Secured Notes Guarantees are pari passu to the 2022 7.000% Studio City Secured Notes Guarantors’ obligations under the 2016 Studio City Credit Facilities, and effectively subordinated to any future secured indebtedness that is secured by assets that do not secure the 2022 7.000% Studio City Secured Notes and the 2022 7.000% Studio City Secured Notes Guarantees, to the extent of the value of the assets.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2022 7.000% Studio City Secured Notes are secured, on an equal basis with the 2016 Studio City Credit Facilities, by substantially all of the material assets of Studio City Investments and its subsidiaries (although obligations under the 2016 Studio City Credit Facilities that are secured by the common collateral securing the 2022 7.000% Studio City Secured Notes will have priority over the 2022 7.000% Studio City Secured Notes with respect to any proceeds received upon any enforcement action of such common collateral); in addition, in line with the 2016 Studio City Credit Facilities, the 2022 7.000% Studio City Secured Notes are also secured by certain specified bank accounts. </w:t>
      </w:r>
    </w:p>
    <w:p>
      <w:pPr>
        <w:pStyle w:val="TextBody"/>
        <w:spacing w:before="120" w:after="0"/>
        <w:jc w:val="left"/>
        <w:rPr>
          <w:rFonts w:ascii="Times New Roman" w:hAnsi="Times New Roman"/>
          <w:spacing w:val="0"/>
          <w:sz w:val="20"/>
        </w:rPr>
      </w:pPr>
      <w:r>
        <w:rPr>
          <w:rFonts w:ascii="Times New Roman" w:hAnsi="Times New Roman"/>
          <w:spacing w:val="0"/>
          <w:sz w:val="20"/>
        </w:rPr>
        <w:t>At any time prior to February 15, 2024, Studio City Company has the options i) to redeem all or a portion of the 2022 7.000% Studio City Secured Notes at a “make-whole” redemption price; and ii) to redeem up to 35</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of the 2022 7.000% Studio City Secured Notes with the net cash proceeds of certain equity offerings at a fixed redemption price. Thereafter, Studio City Company has the option to redeem all or a portion of the 2022 7.000% Studio City Secured Notes at any time at fixed redemption prices that decline ratably over time. Further, under certain circumstances and subject to certain exceptions as more fully described in the indenture governing the 2022 7.000% Studio City Secured Notes, Studio City Company also has the option to redeem in whole, but not in part the 2022 7.000% Studio City Secured Notes at fixed redemption prices. In certain events that relate to a change of control or a termination of the gaming concession of Melco Resorts Macau and subject to certain exceptions as more fully described in the indenture governing the 2022 7.000% Studio City Secured Notes, each holder of the 2022 7.000% Studio City Secured Notes will have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(a) Senior Notes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2022 7.000% Studio City Secured Notes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right to require Studio City Company to repurchase all or any part of such holder’s 2022 7.000% Studio City Secured Notes at a fixed redemption price.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indenture governing the 2022 7.000%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2022 7.000% Studio City Secured Notes also contains conditions and events of default customary for such financings.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are provisions under the indenture governing the 2022 7.000%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2022, the net assets of Studio City Investments and its restricted subsidiaries of approximately $821,000 were restricted from being distributed under the terms of the 2022 7.000% Studio City Secured Notes.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(b) Credit Facilities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2015 Credit Facilities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June 29, 2015, Melco Resorts Macau (the “Borrower”) amended and restated the Borrower’s prior senior secured credit facilities agreement from Hong Kong dollars (“HK$”) 9,362,160 (equivalent to $1,203,362) to a HK$13,650,000 (equivalent to $1,750,000) senior secured credit facilities agreement (the “2015 Credit Facilities”), comprising a HK$3,900,000 (equivalent to $500,000) term loan facility (the “2015 Term Loan Facility”) and a HK$9,750,000 (equivalent to $1,250,000) multicurrency revolving credit facility (the “2015 Revolving Credit Facility”).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On May 6, 2020, MCO Nominee One Limited (“MCO Nominee One”), a subsidiary of Melco, drew down HK$</w:t>
      </w:r>
    </w:p>
    <w:p>
      <w:pPr>
        <w:pStyle w:val="TextBody"/>
        <w:spacing w:before="120" w:after="0"/>
        <w:jc w:val="left"/>
        <w:rPr>
          <w:rFonts w:ascii="Times New Roman" w:hAnsi="Times New Roman"/>
          <w:spacing w:val="0"/>
          <w:sz w:val="20"/>
        </w:rPr>
      </w:pPr>
      <w:r>
        <w:rPr>
          <w:rFonts w:ascii="Times New Roman" w:hAnsi="Times New Roman"/>
          <w:spacing w:val="0"/>
          <w:sz w:val="20"/>
        </w:rPr>
        <w:t>2,730,000</w:t>
      </w:r>
    </w:p>
    <w:p>
      <w:pPr>
        <w:pStyle w:val="TextBody"/>
        <w:spacing w:before="120" w:after="0"/>
        <w:ind w:left="0" w:right="0" w:hanging="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pacing w:val="0"/>
          <w:sz w:val="20"/>
        </w:rPr>
      </w:pPr>
      <w:r>
        <w:rPr>
          <w:rFonts w:ascii="Times New Roman" w:hAnsi="Times New Roman"/>
          <w:spacing w:val="0"/>
          <w:sz w:val="20"/>
        </w:rPr>
        <w:t>equivalent to $</w:t>
      </w:r>
    </w:p>
    <w:p>
      <w:pPr>
        <w:pStyle w:val="TextBody"/>
        <w:spacing w:before="120" w:after="0"/>
        <w:jc w:val="left"/>
        <w:rPr>
          <w:rFonts w:ascii="Times New Roman" w:hAnsi="Times New Roman"/>
          <w:sz w:val="20"/>
        </w:rPr>
      </w:pPr>
      <w:r>
        <w:rPr>
          <w:rFonts w:ascii="Times New Roman" w:hAnsi="Times New Roman"/>
          <w:sz w:val="20"/>
        </w:rPr>
        <w:t>352,189</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of the revolving credit facility under the 2020 Credit Facilities (as described below) and, on May 7, 2020, the Company used a portion of the proceeds from such drawdown to repay all outstanding loan amounts under the 2015 Credit Facilities, together with accrued interest and associated costs, other than HK</w:t>
      </w:r>
    </w:p>
    <w:p>
      <w:pPr>
        <w:pStyle w:val="TextBody"/>
        <w:spacing w:before="120" w:after="0"/>
        <w:jc w:val="left"/>
        <w:rPr>
          <w:rFonts w:ascii="Times New Roman" w:hAnsi="Times New Roman"/>
          <w:spacing w:val="0"/>
          <w:sz w:val="20"/>
        </w:rPr>
      </w:pPr>
      <w:r>
        <w:rPr>
          <w:rFonts w:ascii="Times New Roman" w:hAnsi="Times New Roman"/>
          <w:spacing w:val="0"/>
          <w:sz w:val="20"/>
        </w:rPr>
        <w:t>$1,000 (equivalent to $129</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which remained outstanding under the 2015 Term Loan Facility. Following the repayment of outstanding amounts under the 2015 Credit Facilities, together with accrued interest and associated costs, on May 7, 2020, all other commitments under the 2015 Term Loan Facility and a part of the commitments under the 2015 Revolving Credit Facility were cancelled. Post-cancellation, the available commitments under the 2015 Revolving Credit Facility were H</w:t>
      </w:r>
    </w:p>
    <w:p>
      <w:pPr>
        <w:pStyle w:val="TextBody"/>
        <w:spacing w:before="120" w:after="0"/>
        <w:jc w:val="left"/>
        <w:rPr>
          <w:rFonts w:ascii="Times New Roman" w:hAnsi="Times New Roman"/>
          <w:spacing w:val="0"/>
          <w:sz w:val="20"/>
        </w:rPr>
      </w:pPr>
      <w:r>
        <w:rPr>
          <w:rFonts w:ascii="Times New Roman" w:hAnsi="Times New Roman"/>
          <w:spacing w:val="0"/>
          <w:sz w:val="20"/>
        </w:rPr>
        <w:t>K$1,000 (equivalent to $128), collateralized by cash of HK$2,130 (equivalent to $273</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The Company recorded a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loss on extinguishment of debt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$1,236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and a cost associated with debt modification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$310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(b) Credit Facilities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2015 Credit Facilities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year ended December 31, 2020 in connection with this repayment and a part of the 2015 Revolving Credit Facility commitment cancellation.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Compliance with certain provisions of the 2015 Credit Facilities were waived pursuant to a waiver letter from Bank of China Limited, Macau Branch (in its capacity as the sole lender under the 2015 Credit Facilities) (“BOC Macau”) to the Borrower dated April 29, 2020 (the “Waiver Letter”), as subsequently extended pursuant to extension request letters dated April 6, 2022 and December 14, 2022. Pursuant to the terms of the Waiver Letter, BOC Macau agreed, among other things, to relax the Borrower’s obligations under the 2015 Credit Facilities by way of a waiver of (i) the maturity date of the 2015 Credit Facilities; (ii) the repayment term of the 2015 Term Loan Facility; (iii) interest rate of the borrowings; (iv) the requirement to comply with substantially all information undertakings, financial covenants, general undertakings and mandatory prepayment provisions; (v) the requirement to make substantially all of the representations, and (vi) certain current and/or future defaults and events of default that may arise under the terms of the 2015 Credit Facilities, subject to certain conditions and terms.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terms of the Waiver Letter, the maturity date of the 2015 Credit Facilities was extended from (i) June 29, 2021 in respect of the 2015 Term Loan Facility; and (ii) June 29, 2020 in respect of the 2015 Revolving Credit Facility, in each case to June 24, 2022. Subsequent to that, the maturity date of the 2015 Credit Facilities, and the continuing applicability of the various waivers provided under the Waiver Letter, were further extended to a later date (the “Extended Termination Date”), being (i) December 31, 2022 pursuant to an extension request letter dated April 6, 2022; and (ii) June 24, 2024 pursuant to a further extension request letter dated December 14, 2022. The 2015 Term Loan Facility was originally repayable in quarterly instalments according to an amortization schedule. Pursuant to the terms of the Waiver Letter (as amended and extended), the 2015 Term Loan Facility is repayable in full on the Extended Termination Date (as amended and extended). Each loan made under the 2015 Revolving Credit Facility is repayable in full on the last day of an agreed upon interest period in respect of the loan, generally ranging from one to six months, or rolling over subject to compliance with certain covenants and satisfaction of conditions precedent.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Borrowings under the 2015 Credit Facilities bore interest at the Hong Kong Interbank Offered Rate (“HIBOR”) plus a margin ranging from 1.25% to 2.50% per annum as adjusted in accordance with the leverage ratio in respect of the 2015 Borrowing Group (as described below). The Borrower was permitted to select an interest period for borrowings under the 2015 Credit Facilities ranging from one to six months or any other agreed period. Pursuant to the Waiver Letter, borrowings under the 2015 Credit Facilities bear interest at HIBOR plus a margin of 1% per annum</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 xml:space="preserve">As of December 31, 2022, the outstanding principal amount of the 2015 Term Loan Facility and the 2015 Revolving Credit Facility was HK$1,000 (equivalent to $128) and nil, respectively, and the available borrowing capacity under 2015 Revolving Credit Facility was HK$1,000 (equivalent to $128).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indebtedness under the 2015 Credit Facilities is guaranteed by the borrowing group which includes the Borrower and certain of its subsidiaries as defined under the 2015 Credit Facilities (the “2015 Borrowing Group”). Security for the 2015 Credit Facilities includes: a first-priority interest in substantially all assets of the 2015 Borrowing Group, the issued share capital and equity interests and certain buildings, fixtures and equipment of the 2015 Borrowing Group and certain other excluded assets and customary security.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(b) Credit Facilities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2015 Credit Facilities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With effect from May 7, 2020, the provisions that limited certain payments of dividends and other distributions by the 2015 Borrowing Group to companies or persons who were not members of the 2015 Borrowing Group were waived pursuant to the terms of the Waiver Letter.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Under the 2015 Credit Facilities, in the event of a change of control, the Borrower may be required, at the election of any lender under the 2015 Credit Facilities, to repay such lender in full. In addition, termination or rescission of Melco Resort Macau’s concession contract or land concessions would constitute an event of default. As with substantially all of the undertakings and covenants under the 2015 Credit Facilities, however, these provisions are subject to a continuing waiver under the terms of the Waiver Letter.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Borrower is obligated to pay a commitment fee on the undrawn amount of the 2015 Revolving Credit Facility and recognized loan commitment fees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$1, $1 and $1,512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years ended December 31, 2022, 2021 and 2020, respectively.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2020 Credit Facilities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29, 2020, MCO Nominee One entered into a senior credit facilities agreement with a syndicate of banks (the “2020 Credit Facilities”) for a HK$14,850,000 (equivalent to $1,915,947) revolving credit facility with a term of five years. The maturity date of the 2020 Credit Facilities is April 29, 2025. Each loan made under the 2020 Credit Facilities is repayable in full on the last day of an agreed upon interest period in respect of the loan, generally ranging from one to six months, or rolling over subject to compliance with certain covenants and satisfaction of conditions precedent. MCO Nominee One is also subject to mandatory prepayment requirements in respect of various amounts as specified in the 2020 Credit Facilities. In the event of a change of control or if Melco Resorts Macau’s concession contract or land concessions are terminated or otherwise expire on its terms, MCO Nominee One may be required, at the election of any lender under the 2020 Credit Facilities, to repay such lender in full.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indebtedness under the 2020 Credit Facilities is guaranteed by Melco Resorts Macau and MCO Investments Limited (“MCO Investments”), a subsidiary of Melco. The 2020 Credit Facilities are unsecured.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2020 Credit Facilities contain certain covenants customary for such financings including, but not limited to, limitations on, except as permitted (i) incurring additional liens; (ii) incurring additional indebtedness (including guarantees); (iii) the disposal of certain key assets; and (iv) carrying on businesses which are not the permitted business activities of MCO Investments and its subsidiaries. The 2020 Credit Facilities also contain conditions and events of default customary for such financings and the financial covenants including a leverage ratio, total leverage ratio and interest cover ratio. </w:t>
      </w:r>
    </w:p>
    <w:p>
      <w:pPr>
        <w:pStyle w:val="TextBody"/>
        <w:spacing w:before="120" w:after="0"/>
        <w:jc w:val="left"/>
        <w:rPr>
          <w:rFonts w:ascii="Times New Roman" w:hAnsi="Times New Roman"/>
          <w:spacing w:val="0"/>
          <w:sz w:val="20"/>
        </w:rPr>
      </w:pPr>
      <w:r>
        <w:rPr>
          <w:rFonts w:ascii="Times New Roman" w:hAnsi="Times New Roman"/>
          <w:spacing w:val="0"/>
          <w:sz w:val="20"/>
        </w:rPr>
        <w:t>Borrowings under the 2020 Credit Facilities bear interest at HIBOR plus a margin ranging from 1.00% to 2.00% per annum as adjusted in accordance with the leverage ratio in respect of MCO Nominee One and certain of its specified subsidiaries. MCO Nominee One may select an interest period for borrowings under the 2020 Credit Facilities ranging from one to six months or any other agreed period. MCO Nominee One is obligated to pay a commitment fee quarterly in arrears from April 29, 2020 on the undrawn amount of the 2020 Credit Facilities and recognized loan commitment fees of $5,978, $10,613 and $6,022 during the years ended December 31, 2022, 2021 and 2020</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respectively.</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49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(b) Credit Facilities</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2020 Credit Facilities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On November 26, 2020, MCO Nominee One received confirmation that the majority of lenders of the 2020 Credit Facilities consented and agreed to waive certain financial condition covenants contained in the facility agreement under the 2020 Credit Facilities, in each case in respect of the relevant periods ended on the following applicable test dates: (a) December 31, 2020; (b) March 31, 2021; (c) June 30, 2021; (d) September 30, 2021; and (e) December 31, 2021. Such consent became effective on December 2, 2020.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November 5, 2021, MCO Nominee One received confirmation that the majority of lenders of the 2020 Credit Facilities consented and agreed to waive certain financial condition covenants contained in the facility agreement under the 2020 Credit Facilities, in each case in respect of the relevant periods ended on the following applicable test dates: (a) March 31, 2022; (b) June 30, 2022; (c) September 30, 2022; and (d) December 31, 2022. Such consent became effective on November 9, 2021.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August 16, 2022, the MCO Nominee One received confirmation that the majority of lenders of the 2020 Credit Facilities have consented and agreed to a waiver extension of certain financial condition covenants contained in the facility agreement under the 2020 Credit Facilities. The existing waiver remains valid in respect of the relevant periods ended on the December 31, 2022 test date, and the waiver extension granted extends the waiver for the relevant periods ended or ending on the following applicable test dates: (a) March 31, 2023; (b) June 30, 2023; (c) September 30, 2023; (d) December 31, 2023; and (e) March 31, 2024. Such consent became effective on August 17, 2022.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As of December 31, 2022, the outstanding principal amount of the 2020 Credit Facilities was $1,899,203, which consists of</w:t>
      </w:r>
    </w:p>
    <w:p>
      <w:pPr>
        <w:pStyle w:val="TextBody"/>
        <w:spacing w:before="120" w:after="0"/>
        <w:jc w:val="left"/>
        <w:rPr>
          <w:spacing w:val="0"/>
        </w:rPr>
      </w:pPr>
      <w:r>
        <w:rPr>
          <w:spacing w:val="0"/>
        </w:rPr>
        <w:t> </w:t>
      </w:r>
      <w:r>
        <w:rPr>
          <w:rFonts w:ascii="Times New Roman" w:hAnsi="Times New Roman"/>
          <w:spacing w:val="0"/>
          <w:sz w:val="20"/>
        </w:rPr>
        <w:t>HK</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$8,428,047</w:t>
      </w:r>
    </w:p>
    <w:p>
      <w:pPr>
        <w:pStyle w:val="TextBody"/>
        <w:spacing w:before="120" w:after="0"/>
        <w:jc w:val="left"/>
        <w:rPr>
          <w:spacing w:val="0"/>
        </w:rPr>
      </w:pPr>
      <w:r>
        <w:rPr>
          <w:spacing w:val="0"/>
        </w:rPr>
        <w: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(equivalent to $1,079,203) and $820,000, and the available unused borrowing capacity under the 2020 Credit Facilities was</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nil</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2016 Studio City Credit Facilities </w:t>
      </w:r>
    </w:p>
    <w:p>
      <w:pPr>
        <w:pStyle w:val="TextBody"/>
        <w:spacing w:before="120" w:after="0"/>
        <w:jc w:val="left"/>
        <w:rPr>
          <w:rFonts w:ascii="Times New Roman" w:hAnsi="Times New Roman"/>
          <w:spacing w:val="0"/>
          <w:sz w:val="20"/>
        </w:rPr>
      </w:pPr>
      <w:r>
        <w:rPr>
          <w:rFonts w:ascii="Times New Roman" w:hAnsi="Times New Roman"/>
          <w:spacing w:val="0"/>
          <w:sz w:val="20"/>
        </w:rPr>
        <w:t>On November 30, 2016, Studio City Company (the “Studio City Borrower”) amended and restated the Studio City Borrower’s prior senior secured credit facilities agreement from HK$10,855,880 (equivalent to $1,395,357) to a HK$234,000 (equivalent to $30,077) senior secured credit facilities agreement (the “2016 Studio City Credit Facilities”), comprising a HK$1,000 (equivalent to $129) term loan facility (the “2016 SC Term Loan Facility”) and a HK$233,000 (equivalent to $29,948</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revolving credit facility (the “2016 SC Revolving Credit Facility”). As of December 31, 2022, the outstanding principal amount of the 2016 SC Term Loan Facility and the 2016 SC Revolving Credit Facility were HK$1,000 (equivalent to $128) and nil, respectively, and the available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unused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borrowing capacity under the 2016 SC Revolving Credit Facility was HK$233,000 (equivalent to $29,835).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March 15, 2021, Studio City Company amended the terms of the 2016 Studio City Credit Facilities, including the extension of the maturity date for the 2016 SC Term Loan Facility and the 2016 SC Revolving Credit Facility from November 30, 2021 to January 15, 2028 (the “Extended Maturity Date”). The 2016 SC Term Loan Facility shall be repaid at the Extended Maturity Date with no interim amortization payments. The 2016 SC Revolving Credit Facility is available up to the date that is one month prior to the 2016 SC Revolving Credit Facility’s Extended Maturity Date. Changes have also been made to the covenants in order to align them with those of certain other financings at Studio City Finance, including amending the threshold sizes and measurement dates of the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covenants.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F-5</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(b) Credit Facilities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2016 Studio City Credit Facilities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2016 SC Term Loan Facility is collateralized by cash of HK</w:t>
      </w:r>
    </w:p>
    <w:p>
      <w:pPr>
        <w:pStyle w:val="TextBody"/>
        <w:spacing w:before="120" w:after="0"/>
        <w:jc w:val="left"/>
        <w:rPr>
          <w:rFonts w:ascii="Times New Roman" w:hAnsi="Times New Roman"/>
          <w:spacing w:val="0"/>
          <w:sz w:val="20"/>
        </w:rPr>
      </w:pPr>
      <w:r>
        <w:rPr>
          <w:rFonts w:ascii="Times New Roman" w:hAnsi="Times New Roman"/>
          <w:spacing w:val="0"/>
          <w:sz w:val="20"/>
        </w:rPr>
        <w:t>$1,012 (equivalent to $130</w:t>
      </w:r>
    </w:p>
    <w:p>
      <w:pPr>
        <w:pStyle w:val="TextBody"/>
        <w:spacing w:before="120" w:after="0"/>
        <w:jc w:val="left"/>
        <w:rPr>
          <w:rFonts w:ascii="Times New Roman" w:hAnsi="Times New Roman"/>
          <w:spacing w:val="0"/>
          <w:sz w:val="20"/>
        </w:rPr>
      </w:pPr>
      <w:r>
        <w:rPr>
          <w:rFonts w:ascii="Times New Roman" w:hAnsi="Times New Roman"/>
          <w:spacing w:val="0"/>
          <w:sz w:val="20"/>
        </w:rPr>
        <w:t>). The Studio City Borrower is subject to mandatory prepayment requirements in respect of various amounts of the 2016</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SC Revolving Credit Facility as specified in the </w:t>
      </w:r>
    </w:p>
    <w:p>
      <w:pPr>
        <w:pStyle w:val="TextBody"/>
        <w:spacing w:before="120" w:after="0"/>
        <w:jc w:val="left"/>
        <w:rPr>
          <w:rFonts w:ascii="Times New Roman" w:hAnsi="Times New Roman"/>
          <w:sz w:val="20"/>
        </w:rPr>
      </w:pPr>
      <w:r>
        <w:rPr>
          <w:rFonts w:ascii="Times New Roman" w:hAnsi="Times New Roman"/>
          <w:sz w:val="20"/>
        </w:rPr>
        <w:t>2016</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Studio City Credit Facilities; in the event of the disposal of all or substantially all of the business and assets of the Studio City borrowing group which includes the Studio City Borrower and certain of its subsidiaries as defined under the </w:t>
      </w:r>
    </w:p>
    <w:p>
      <w:pPr>
        <w:pStyle w:val="TextBody"/>
        <w:spacing w:before="120" w:after="0"/>
        <w:jc w:val="left"/>
        <w:rPr>
          <w:rFonts w:ascii="Times New Roman" w:hAnsi="Times New Roman"/>
          <w:sz w:val="20"/>
        </w:rPr>
      </w:pPr>
      <w:r>
        <w:rPr>
          <w:rFonts w:ascii="Times New Roman" w:hAnsi="Times New Roman"/>
          <w:sz w:val="20"/>
        </w:rPr>
        <w:t>2016</w:t>
      </w:r>
    </w:p>
    <w:p>
      <w:pPr>
        <w:pStyle w:val="TextBody"/>
        <w:spacing w:before="120" w:after="0"/>
        <w:jc w:val="left"/>
        <w:rPr>
          <w:rFonts w:ascii="Times New Roman" w:hAnsi="Times New Roman"/>
          <w:spacing w:val="0"/>
          <w:sz w:val="20"/>
        </w:rPr>
      </w:pPr>
      <w:r>
        <w:rPr>
          <w:rFonts w:ascii="Times New Roman" w:hAnsi="Times New Roman"/>
          <w:spacing w:val="0"/>
          <w:sz w:val="20"/>
        </w:rPr>
        <w:t>Studio City Credit Facilities (the “</w:t>
      </w:r>
    </w:p>
    <w:p>
      <w:pPr>
        <w:pStyle w:val="TextBody"/>
        <w:spacing w:before="120" w:after="0"/>
        <w:jc w:val="left"/>
        <w:rPr>
          <w:rFonts w:ascii="Times New Roman" w:hAnsi="Times New Roman"/>
          <w:sz w:val="20"/>
        </w:rPr>
      </w:pPr>
      <w:r>
        <w:rPr>
          <w:rFonts w:ascii="Times New Roman" w:hAnsi="Times New Roman"/>
          <w:sz w:val="20"/>
        </w:rPr>
        <w:t>2016</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Studio City Borrowing Group”), the </w:t>
      </w:r>
    </w:p>
    <w:p>
      <w:pPr>
        <w:pStyle w:val="TextBody"/>
        <w:spacing w:before="120" w:after="0"/>
        <w:jc w:val="left"/>
        <w:rPr>
          <w:rFonts w:ascii="Times New Roman" w:hAnsi="Times New Roman"/>
          <w:sz w:val="20"/>
        </w:rPr>
      </w:pPr>
      <w:r>
        <w:rPr>
          <w:rFonts w:ascii="Times New Roman" w:hAnsi="Times New Roman"/>
          <w:sz w:val="20"/>
        </w:rPr>
        <w:t>2016</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Studio City Credit Facilities are required to be repaid in full. In the event of a change of control, the Studio City Borrower may be required, at the election of any lender under the </w:t>
      </w:r>
    </w:p>
    <w:p>
      <w:pPr>
        <w:pStyle w:val="TextBody"/>
        <w:spacing w:before="120" w:after="0"/>
        <w:jc w:val="left"/>
        <w:rPr>
          <w:rFonts w:ascii="Times New Roman" w:hAnsi="Times New Roman"/>
          <w:sz w:val="20"/>
        </w:rPr>
      </w:pPr>
      <w:r>
        <w:rPr>
          <w:rFonts w:ascii="Times New Roman" w:hAnsi="Times New Roman"/>
          <w:sz w:val="20"/>
        </w:rPr>
        <w:t>2016</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Studio City Credit Facilities, to repay such lender in full (other than the principal amount of the </w:t>
      </w:r>
    </w:p>
    <w:p>
      <w:pPr>
        <w:pStyle w:val="TextBody"/>
        <w:spacing w:before="120" w:after="0"/>
        <w:jc w:val="left"/>
        <w:rPr>
          <w:rFonts w:ascii="Times New Roman" w:hAnsi="Times New Roman"/>
          <w:sz w:val="20"/>
        </w:rPr>
      </w:pPr>
      <w:r>
        <w:rPr>
          <w:rFonts w:ascii="Times New Roman" w:hAnsi="Times New Roman"/>
          <w:sz w:val="20"/>
        </w:rPr>
        <w:t>2016</w:t>
      </w:r>
    </w:p>
    <w:p>
      <w:pPr>
        <w:pStyle w:val="TextBody"/>
        <w:spacing w:before="120" w:after="0"/>
        <w:jc w:val="left"/>
        <w:rPr>
          <w:rFonts w:ascii="Times New Roman" w:hAnsi="Times New Roman"/>
          <w:spacing w:val="0"/>
          <w:sz w:val="20"/>
        </w:rPr>
      </w:pPr>
      <w:r>
        <w:rPr>
          <w:rFonts w:ascii="Times New Roman" w:hAnsi="Times New Roman"/>
          <w:spacing w:val="0"/>
          <w:sz w:val="20"/>
        </w:rPr>
        <w:t>SC Term Loan Facility).</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indebtedness under the 2016 Studio City Credit Facilities is guaranteed by Studio City Investments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aligned with those of certain other financings at Studio City Finance. Certain specified bank accounts of Melco Resorts Macau are pledged under 2016 Studio City Credit Facilities and related finance documents. The 2016 Studio City Credit Facilities are secured by substantially all of the material assets of Studio City Investments and its subsidiaries.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and investments; (iii) prepay or redeem subordinated debt or equity; (iv) issue or sell capital stock; (v) transfer, lease or sell assets; (vi) create or incur certain liens; (vii) 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2016 Studio City Credit Facilities also contain conditions and events of default customary for such financings.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addition, modification, expiry, or termination of the gaming concession of Melco Resorts Macau in circumstances that have a material adverse effect on the 2016 Studio City Borrowing Group (as a whole) will allow lenders to elect for the mandatory prepayment of all outstanding loan amounts.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are provisions that limit certain payments of dividends and other distributions by the 2016 Studio City Borrowing Group to companies or persons who are not members of the 2016 Studio City Borrowing Group. As of December 31, 2022, the net assets of Studio City Investments and its restricted subsidiaries of approximately $821,000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were restricted from being distributed under the terms of the 2016 Studio City Credit Facilities.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Borrowings under the 2016 Studio City Credit Facilities bear interest at HIBOR plus a margin </w:t>
      </w:r>
    </w:p>
    <w:p>
      <w:pPr>
        <w:pStyle w:val="TextBody"/>
        <w:spacing w:before="120" w:after="0"/>
        <w:jc w:val="left"/>
        <w:rPr>
          <w:rFonts w:ascii="Times New Roman" w:hAnsi="Times New Roman"/>
          <w:spacing w:val="0"/>
          <w:sz w:val="20"/>
        </w:rPr>
      </w:pPr>
      <w:r>
        <w:rPr>
          <w:rFonts w:ascii="Times New Roman" w:hAnsi="Times New Roman"/>
          <w:spacing w:val="0"/>
          <w:sz w:val="20"/>
        </w:rPr>
        <w:t>of 4</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per annum. The Studio City Borrower may select an interest period for borrowings under the 2016 Studio City Credit Facilities ranging from one to six months or any other agreed period. The Studio City Borrower is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F-5</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2665" w:type="dxa"/>
        <w:jc w:val="left"/>
        <w:tblInd w:w="0" w:type="dxa"/>
        <w:tblCellMar>
          <w:top w:w="0" w:type="dxa"/>
          <w:left w:w="0" w:type="dxa"/>
          <w:bottom w:w="0" w:type="dxa"/>
          <w:right w:w="0" w:type="dxa"/>
        </w:tblCellMar>
      </w:tblPr>
      <w:tblGrid>
        <w:gridCol w:w="335"/>
        <w:gridCol w:w="2330"/>
      </w:tblGrid>
      <w:tr>
        <w:trPr/>
        <w:tc>
          <w:tcPr>
            <w:tcW w:w="335" w:type="dxa"/>
            <w:tcBorders/>
            <w:shd w:fill="auto" w:val="clear"/>
            <w:vAlign w:val="center"/>
          </w:tcPr>
          <w:p>
            <w:pPr>
              <w:pStyle w:val="TableContents"/>
              <w:spacing w:before="0" w:after="0"/>
              <w:jc w:val="left"/>
              <w:rPr>
                <w:b/>
                <w:spacing w:val="0"/>
              </w:rPr>
            </w:pPr>
            <w:r>
              <w:rPr>
                <w:b/>
                <w:spacing w:val="0"/>
              </w:rPr>
              <w:t>13.</w:t>
            </w:r>
          </w:p>
        </w:tc>
        <w:tc>
          <w:tcPr>
            <w:tcW w:w="23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LONG-TERM DEBT, NET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(b) Credit Facilities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2016 Studio City Credit Facilities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obligated to pay a commitment fee on the undrawn amount of the 2016 SC Revolving Credit Facility and recognized loan commitment fees of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417, $419 and $421 during the years ended December 31, 2022, 2021 and 2020, respectively. </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Philippine Credit Facility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October 14, 2015, Melco Resorts and Entertainment (Philippines) Corporation (“MRP”), a subsidiary of Melco, entered into an </w:t>
      </w:r>
    </w:p>
    <w:p>
      <w:pPr>
        <w:pStyle w:val="TextBody"/>
        <w:spacing w:before="120" w:after="0"/>
        <w:jc w:val="left"/>
        <w:rPr>
          <w:rFonts w:ascii="Times New Roman" w:hAnsi="Times New Roman"/>
          <w:spacing w:val="0"/>
          <w:sz w:val="20"/>
        </w:rPr>
      </w:pPr>
      <w:r>
        <w:rPr>
          <w:rFonts w:ascii="Times New Roman" w:hAnsi="Times New Roman"/>
          <w:spacing w:val="0"/>
          <w:sz w:val="20"/>
        </w:rPr>
        <w:t>on-demand,</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unsecured credit facility agreement of Philippine Pesos (“PHP”) </w:t>
      </w:r>
    </w:p>
    <w:p>
      <w:pPr>
        <w:pStyle w:val="TextBody"/>
        <w:spacing w:before="120" w:after="0"/>
        <w:jc w:val="left"/>
        <w:rPr>
          <w:rFonts w:ascii="Times New Roman" w:hAnsi="Times New Roman"/>
          <w:sz w:val="20"/>
        </w:rPr>
      </w:pPr>
      <w:r>
        <w:rPr>
          <w:rFonts w:ascii="Times New Roman" w:hAnsi="Times New Roman"/>
          <w:sz w:val="20"/>
        </w:rPr>
        <w:t>2,350,000 (equivalent to $49,824</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 as amended from time to time (the “Philippine Credit Facility”) with a lender to finance advances to Melco Resorts Leisure (PHP) Corporation (“Melco Resorts Leisure”), a subsidiary of Melco. The available drawdown currencies under the Philippine Credit Facility are PHP and US$. As of December 31, 2022, the Philippine Credit Facility availability period, as amended from time to time, is up to January 31, 2023 and was further extended to May 1, 2023, in February 2023, and the maturity date of each individual drawdown, as amended from time to time, to be the earlier of: (i) the date which is 360 days from the date of drawdown, and (ii) the date which is 360 days after the end of the availability period. The individual drawdowns under the Philippine Credit Facility are subject to certain conditions precedent, including issuance of a promissory note in favor of the lender evidencing such drawdown. As of December 31, 2022, borrowings under the Philippine Credit Facility bear interest, as amended from time to time, at the higher of: (i) the PHP BVAL Reference Rate of the selected interest period plus the applicable margin to be mutually agreed by the bank and the borrower at the time of drawdown, and (ii) Philippines Term Deposit Facility Rate of the selected interest period plus the applicable margin to be mutually agreed by the bank and the borrower at the time of drawdown, such rate to be set one business day prior to the relevant interest period. The Philippine Credit Facility includes a tax </w:t>
      </w:r>
    </w:p>
    <w:p>
      <w:pPr>
        <w:pStyle w:val="TextBody"/>
        <w:spacing w:before="120" w:after="0"/>
        <w:jc w:val="left"/>
        <w:rPr>
          <w:rFonts w:ascii="Times New Roman" w:hAnsi="Times New Roman"/>
          <w:spacing w:val="0"/>
          <w:sz w:val="20"/>
        </w:rPr>
      </w:pPr>
      <w:r>
        <w:rPr>
          <w:rFonts w:ascii="Times New Roman" w:hAnsi="Times New Roman"/>
          <w:spacing w:val="0"/>
          <w:sz w:val="20"/>
        </w:rPr>
        <w:t>gross-up</w:t>
      </w:r>
    </w:p>
    <w:p>
      <w:pPr>
        <w:pStyle w:val="TextBody"/>
        <w:spacing w:before="120" w:after="0"/>
        <w:jc w:val="left"/>
        <w:rPr>
          <w:rFonts w:ascii="Times New Roman" w:hAnsi="Times New Roman"/>
          <w:spacing w:val="0"/>
          <w:sz w:val="20"/>
        </w:rPr>
      </w:pPr>
      <w:r>
        <w:rPr>
          <w:rFonts w:ascii="Times New Roman" w:hAnsi="Times New Roman"/>
          <w:spacing w:val="0"/>
          <w:sz w:val="20"/>
        </w:rPr>
        <w:t>provision requiring MRP to pay without any deduction or withholding for or on account of tax.</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2022, the Philippine Credit Facility had not yet been drawn and the available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unused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borrowing capacity under the Philippine Credit Facility was PHP2,350,000 (equivalent to $41,875).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(c) Borrowing Rates and Scheduled Maturities of Long-term Debt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During the years ended December 31, 2022, 2021 and 2020, the Company’s average borrowing rates were approximately 5.32%, 5.43% and 5.71% per annum, respectively.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Scheduled maturities of the long-term debt (excluding unamortized deferred financing costs and original issue premiums) as of December 31, 2022 are as follows:</w:t>
      </w:r>
    </w:p>
    <w:p>
      <w:pPr>
        <w:pStyle w:val="TextBody"/>
        <w:spacing w:before="0" w:after="0"/>
        <w:ind w:left="0" w:right="0" w:hanging="0"/>
        <w:jc w:val="left"/>
        <w:rPr>
          <w:spacing w:val="0"/>
        </w:rPr>
      </w:pPr>
      <w:r>
        <w:rPr>
          <w:spacing w:val="0"/>
        </w:rPr>
        <w:t> </w:t>
      </w:r>
    </w:p>
    <w:tbl>
      <w:tblPr>
        <w:tblW w:w="3555" w:type="dxa"/>
        <w:jc w:val="left"/>
        <w:tblInd w:w="0" w:type="dxa"/>
        <w:tblCellMar>
          <w:top w:w="0" w:type="dxa"/>
          <w:left w:w="0" w:type="dxa"/>
          <w:bottom w:w="0" w:type="dxa"/>
          <w:right w:w="0" w:type="dxa"/>
        </w:tblCellMar>
      </w:tblPr>
      <w:tblGrid>
        <w:gridCol w:w="2180"/>
        <w:gridCol w:w="120"/>
        <w:gridCol w:w="140"/>
        <w:gridCol w:w="1040"/>
        <w:gridCol w:w="75"/>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Year ending December 31,</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04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322,500</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128</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3,076,703</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500,000</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2027</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950,000</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Over 2027</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3,600,128</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jc w:val="right"/>
              <w:rPr/>
            </w:pPr>
            <w:r>
              <w:rPr/>
              <w:t> </w:t>
            </w:r>
            <w:r>
              <w:rPr/>
              <w:t>8,449,459</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F-5</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1165" w:type="dxa"/>
        <w:jc w:val="left"/>
        <w:tblInd w:w="0" w:type="dxa"/>
        <w:tblCellMar>
          <w:top w:w="0" w:type="dxa"/>
          <w:left w:w="0" w:type="dxa"/>
          <w:bottom w:w="0" w:type="dxa"/>
          <w:right w:w="0" w:type="dxa"/>
        </w:tblCellMar>
      </w:tblPr>
      <w:tblGrid>
        <w:gridCol w:w="335"/>
        <w:gridCol w:w="830"/>
      </w:tblGrid>
      <w:tr>
        <w:trPr/>
        <w:tc>
          <w:tcPr>
            <w:tcW w:w="335" w:type="dxa"/>
            <w:tcBorders/>
            <w:shd w:fill="auto" w:val="clear"/>
            <w:vAlign w:val="center"/>
          </w:tcPr>
          <w:p>
            <w:pPr>
              <w:pStyle w:val="TableContents"/>
              <w:spacing w:before="0" w:after="0"/>
              <w:jc w:val="left"/>
              <w:rPr>
                <w:b/>
                <w:spacing w:val="0"/>
              </w:rPr>
            </w:pPr>
            <w:r>
              <w:rPr>
                <w:b/>
                <w:spacing w:val="0"/>
              </w:rPr>
              <w:t>14.</w:t>
            </w:r>
          </w:p>
        </w:tc>
        <w:tc>
          <w:tcPr>
            <w:tcW w:w="8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LEASES </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Lessee Arrangements</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is the lessee under operating and finance leases for equipment and real estate, including the land and certain of the building structures for City of Dreams Manila under the MRP Lease Agreement as described in Note 22, Cyprus casino sites, Mocha Clubs sites, office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spaces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warehouses, staff quarters, and certain parcels of land in Macau on which Altira Macau, City of Dreams and Studio City are located. Certain lease agreements provide for periodic rental increases based on both contractually agreed incremental rates and on the general inflation rate once agreed by the Company and its lessors </w:t>
      </w:r>
    </w:p>
    <w:p>
      <w:pPr>
        <w:pStyle w:val="TextBody"/>
        <w:spacing w:before="120" w:after="0"/>
        <w:jc w:val="left"/>
        <w:rPr>
          <w:rFonts w:ascii="Times New Roman" w:hAnsi="Times New Roman"/>
          <w:spacing w:val="0"/>
          <w:sz w:val="20"/>
        </w:rPr>
      </w:pPr>
      <w:r>
        <w:rPr>
          <w:rFonts w:ascii="Times New Roman" w:hAnsi="Times New Roman"/>
          <w:spacing w:val="0"/>
          <w:sz w:val="20"/>
        </w:rPr>
        <w:t>and, in some cases, contingent</w:t>
      </w:r>
    </w:p>
    <w:p>
      <w:pPr>
        <w:pStyle w:val="TextBody"/>
        <w:spacing w:before="120" w:after="0"/>
        <w:jc w:val="left"/>
        <w:rPr>
          <w:spacing w:val="0"/>
        </w:rPr>
      </w:pPr>
      <w:r>
        <w:rPr>
          <w:spacing w:val="0"/>
        </w:rPr>
        <w:t> </w:t>
      </w:r>
      <w:r>
        <w:rPr>
          <w:rFonts w:ascii="Times New Roman" w:hAnsi="Times New Roman"/>
          <w:spacing w:val="0"/>
          <w:sz w:val="20"/>
        </w:rPr>
        <w:t xml:space="preserve">rental expenses stated as a percentage of turnover. Certain leases include options to extend the lease term and options to terminate the lease term. The land concession contracts in Macau have a term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of 25 years, which is renewable for further consecutive periods of 10 years, subject to applicable legislation in Macau. The estimated term related to the land concession contracts in Macau is 40 years. </w:t>
      </w:r>
    </w:p>
    <w:p>
      <w:pPr>
        <w:pStyle w:val="TextBody"/>
        <w:spacing w:before="120" w:after="0"/>
        <w:jc w:val="left"/>
        <w:rPr>
          <w:rFonts w:ascii="Times New Roman" w:hAnsi="Times New Roman"/>
          <w:spacing w:val="0"/>
          <w:sz w:val="20"/>
        </w:rPr>
      </w:pPr>
      <w:r>
        <w:rPr>
          <w:rFonts w:ascii="Times New Roman" w:hAnsi="Times New Roman"/>
          <w:spacing w:val="0"/>
          <w:sz w:val="20"/>
        </w:rPr>
        <w:t>The components of leas</w:t>
      </w:r>
    </w:p>
    <w:p>
      <w:pPr>
        <w:pStyle w:val="TextBody"/>
        <w:spacing w:before="120" w:after="0"/>
        <w:jc w:val="left"/>
        <w:rPr>
          <w:rFonts w:ascii="Times New Roman" w:hAnsi="Times New Roman"/>
          <w:spacing w:val="0"/>
          <w:sz w:val="20"/>
        </w:rPr>
      </w:pPr>
      <w:r>
        <w:rPr>
          <w:rFonts w:ascii="Times New Roman" w:hAnsi="Times New Roman"/>
          <w:spacing w:val="0"/>
          <w:sz w:val="20"/>
        </w:rPr>
        <w:t>e</w:t>
      </w:r>
    </w:p>
    <w:p>
      <w:pPr>
        <w:pStyle w:val="TextBody"/>
        <w:spacing w:before="120" w:after="0"/>
        <w:jc w:val="left"/>
        <w:rPr>
          <w:spacing w:val="0"/>
        </w:rPr>
      </w:pPr>
      <w:r>
        <w:rPr>
          <w:spacing w:val="0"/>
        </w:rPr>
        <w:t> </w:t>
      </w:r>
      <w:r>
        <w:rPr>
          <w:rFonts w:ascii="Times New Roman" w:hAnsi="Times New Roman"/>
          <w:spacing w:val="0"/>
          <w:sz w:val="20"/>
        </w:rPr>
        <w:t xml:space="preserve">costs are as follows: </w:t>
      </w:r>
    </w:p>
    <w:p>
      <w:pPr>
        <w:pStyle w:val="TextBody"/>
        <w:spacing w:before="0" w:after="0"/>
        <w:jc w:val="left"/>
        <w:rPr>
          <w:spacing w:val="0"/>
        </w:rPr>
      </w:pPr>
      <w:r>
        <w:rPr>
          <w:spacing w:val="0"/>
        </w:rPr>
        <w:t> </w:t>
      </w:r>
    </w:p>
    <w:tbl>
      <w:tblPr>
        <w:tblW w:w="6180" w:type="dxa"/>
        <w:jc w:val="left"/>
        <w:tblInd w:w="0" w:type="dxa"/>
        <w:tblCellMar>
          <w:top w:w="0" w:type="dxa"/>
          <w:left w:w="0" w:type="dxa"/>
          <w:bottom w:w="0" w:type="dxa"/>
          <w:right w:w="0" w:type="dxa"/>
        </w:tblCellMar>
      </w:tblPr>
      <w:tblGrid>
        <w:gridCol w:w="2555"/>
        <w:gridCol w:w="120"/>
        <w:gridCol w:w="167"/>
        <w:gridCol w:w="813"/>
        <w:gridCol w:w="60"/>
        <w:gridCol w:w="120"/>
        <w:gridCol w:w="145"/>
        <w:gridCol w:w="835"/>
        <w:gridCol w:w="155"/>
        <w:gridCol w:w="60"/>
        <w:gridCol w:w="145"/>
        <w:gridCol w:w="835"/>
        <w:gridCol w:w="170"/>
      </w:tblGrid>
      <w:tr>
        <w:trPr/>
        <w:tc>
          <w:tcPr>
            <w:tcW w:w="25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35"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170"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t>2022    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t>2021    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8" w:space="0" w:color="000000"/>
            </w:tcBorders>
            <w:shd w:fill="auto" w:val="clear"/>
            <w:tcMar>
              <w:bottom w:w="28" w:type="dxa"/>
            </w:tcMar>
            <w:vAlign w:val="center"/>
          </w:tcPr>
          <w:p>
            <w:pPr>
              <w:pStyle w:val="TableContents"/>
              <w:spacing w:before="0" w:after="283"/>
              <w:jc w:val="center"/>
              <w:rPr/>
            </w:pPr>
            <w:r>
              <w:rPr/>
              <w:t>    </w:t>
            </w:r>
            <w:r>
              <w:rPr/>
              <w:t>2020    </w:t>
            </w:r>
          </w:p>
        </w:tc>
        <w:tc>
          <w:tcPr>
            <w:tcW w:w="170"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costs:</w:t>
            </w:r>
          </w:p>
        </w:tc>
        <w:tc>
          <w:tcPr>
            <w:tcW w:w="12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land use rights</w:t>
            </w:r>
          </w:p>
        </w:tc>
        <w:tc>
          <w:tcPr>
            <w:tcW w:w="12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w:t>
            </w:r>
          </w:p>
        </w:tc>
        <w:tc>
          <w:tcPr>
            <w:tcW w:w="813" w:type="dxa"/>
            <w:tcBorders/>
            <w:shd w:fill="auto" w:val="clear"/>
            <w:vAlign w:val="center"/>
          </w:tcPr>
          <w:p>
            <w:pPr>
              <w:pStyle w:val="TableContents"/>
              <w:spacing w:before="0" w:after="283"/>
              <w:jc w:val="right"/>
              <w:rPr/>
            </w:pPr>
            <w:r>
              <w:rPr/>
              <w:t>22,662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w:t>
            </w:r>
          </w:p>
        </w:tc>
        <w:tc>
          <w:tcPr>
            <w:tcW w:w="835" w:type="dxa"/>
            <w:tcBorders/>
            <w:shd w:fill="auto" w:val="clear"/>
            <w:vAlign w:val="center"/>
          </w:tcPr>
          <w:p>
            <w:pPr>
              <w:pStyle w:val="TableContents"/>
              <w:spacing w:before="0" w:after="283"/>
              <w:jc w:val="right"/>
              <w:rPr/>
            </w:pPr>
            <w:r>
              <w:rPr/>
              <w:t>22,832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w:t>
            </w:r>
          </w:p>
        </w:tc>
        <w:tc>
          <w:tcPr>
            <w:tcW w:w="835" w:type="dxa"/>
            <w:tcBorders/>
            <w:shd w:fill="auto" w:val="clear"/>
            <w:vAlign w:val="center"/>
          </w:tcPr>
          <w:p>
            <w:pPr>
              <w:pStyle w:val="TableContents"/>
              <w:spacing w:before="0" w:after="283"/>
              <w:jc w:val="right"/>
              <w:rPr/>
            </w:pPr>
            <w:r>
              <w:rPr/>
              <w:t>22,886</w:t>
            </w:r>
          </w:p>
        </w:tc>
        <w:tc>
          <w:tcPr>
            <w:tcW w:w="170"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costs</w:t>
            </w:r>
          </w:p>
        </w:tc>
        <w:tc>
          <w:tcPr>
            <w:tcW w:w="12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pPr>
            <w:r>
              <w:rPr/>
              <w:t>14,614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29,401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31,039</w:t>
            </w:r>
          </w:p>
        </w:tc>
        <w:tc>
          <w:tcPr>
            <w:tcW w:w="170"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Short-term lease costs</w:t>
            </w:r>
          </w:p>
        </w:tc>
        <w:tc>
          <w:tcPr>
            <w:tcW w:w="12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jc w:val="right"/>
              <w:rPr/>
            </w:pPr>
            <w:r>
              <w:rPr/>
              <w:t>720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jc w:val="right"/>
              <w:rPr/>
            </w:pPr>
            <w:r>
              <w:rPr/>
              <w:t>473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jc w:val="right"/>
              <w:rPr/>
            </w:pPr>
            <w:r>
              <w:rPr/>
              <w:t>842</w:t>
            </w:r>
          </w:p>
        </w:tc>
        <w:tc>
          <w:tcPr>
            <w:tcW w:w="170"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Variable lease costs</w:t>
            </w:r>
          </w:p>
        </w:tc>
        <w:tc>
          <w:tcPr>
            <w:tcW w:w="12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pPr>
            <w:r>
              <w:rPr/>
              <w:t>1,902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(629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(5,565</w:t>
            </w:r>
          </w:p>
        </w:tc>
        <w:tc>
          <w:tcPr>
            <w:tcW w:w="170"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Finance lease costs:</w:t>
            </w:r>
          </w:p>
        </w:tc>
        <w:tc>
          <w:tcPr>
            <w:tcW w:w="12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Amortization of </w:t>
            </w:r>
          </w:p>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 </w:t>
            </w:r>
          </w:p>
        </w:tc>
        <w:tc>
          <w:tcPr>
            <w:tcW w:w="813" w:type="dxa"/>
            <w:tcBorders/>
            <w:shd w:fill="CCEEFF" w:val="clear"/>
            <w:vAlign w:val="center"/>
          </w:tcPr>
          <w:p>
            <w:pPr>
              <w:pStyle w:val="TableContents"/>
              <w:spacing w:before="0" w:after="283"/>
              <w:jc w:val="right"/>
              <w:rPr/>
            </w:pPr>
            <w:r>
              <w:rPr/>
              <w:t>12,928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15,682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jc w:val="right"/>
              <w:rPr/>
            </w:pPr>
            <w:r>
              <w:rPr/>
              <w:t>12,836</w:t>
            </w:r>
          </w:p>
        </w:tc>
        <w:tc>
          <w:tcPr>
            <w:tcW w:w="170"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costs</w:t>
            </w:r>
          </w:p>
        </w:tc>
        <w:tc>
          <w:tcPr>
            <w:tcW w:w="12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pPr>
            <w:r>
              <w:rPr/>
              <w:t> </w:t>
            </w:r>
          </w:p>
        </w:tc>
        <w:tc>
          <w:tcPr>
            <w:tcW w:w="813" w:type="dxa"/>
            <w:tcBorders/>
            <w:shd w:fill="auto" w:val="clear"/>
            <w:vAlign w:val="center"/>
          </w:tcPr>
          <w:p>
            <w:pPr>
              <w:pStyle w:val="TableContents"/>
              <w:spacing w:before="0" w:after="283"/>
              <w:jc w:val="right"/>
              <w:rPr/>
            </w:pPr>
            <w:r>
              <w:rPr/>
              <w:t>25,371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jc w:val="right"/>
              <w:rPr/>
            </w:pPr>
            <w:r>
              <w:rPr/>
              <w:t>31,642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835" w:type="dxa"/>
            <w:tcBorders/>
            <w:shd w:fill="auto" w:val="clear"/>
            <w:vAlign w:val="center"/>
          </w:tcPr>
          <w:p>
            <w:pPr>
              <w:pStyle w:val="TableContents"/>
              <w:spacing w:before="0" w:after="283"/>
              <w:jc w:val="right"/>
              <w:rPr/>
            </w:pPr>
            <w:r>
              <w:rPr/>
              <w:t>41,550</w:t>
            </w:r>
          </w:p>
        </w:tc>
        <w:tc>
          <w:tcPr>
            <w:tcW w:w="170" w:type="dxa"/>
            <w:tcBorders/>
            <w:shd w:fill="auto"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1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3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lease costs</w:t>
            </w:r>
          </w:p>
        </w:tc>
        <w:tc>
          <w:tcPr>
            <w:tcW w:w="12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rPr/>
            </w:pPr>
            <w:r>
              <w:rPr/>
              <w:t>$</w:t>
            </w:r>
          </w:p>
        </w:tc>
        <w:tc>
          <w:tcPr>
            <w:tcW w:w="813" w:type="dxa"/>
            <w:tcBorders/>
            <w:shd w:fill="CCEEFF" w:val="clear"/>
            <w:vAlign w:val="center"/>
          </w:tcPr>
          <w:p>
            <w:pPr>
              <w:pStyle w:val="TableContents"/>
              <w:spacing w:before="0" w:after="283"/>
              <w:jc w:val="right"/>
              <w:rPr/>
            </w:pPr>
            <w:r>
              <w:rPr/>
              <w:t>78,197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w:t>
            </w:r>
          </w:p>
        </w:tc>
        <w:tc>
          <w:tcPr>
            <w:tcW w:w="835" w:type="dxa"/>
            <w:tcBorders/>
            <w:shd w:fill="CCEEFF" w:val="clear"/>
            <w:vAlign w:val="center"/>
          </w:tcPr>
          <w:p>
            <w:pPr>
              <w:pStyle w:val="TableContents"/>
              <w:spacing w:before="0" w:after="283"/>
              <w:jc w:val="right"/>
              <w:rPr/>
            </w:pPr>
            <w:r>
              <w:rPr/>
              <w:t>  </w:t>
            </w:r>
            <w:r>
              <w:rPr/>
              <w:t>99,401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w:t>
            </w:r>
          </w:p>
        </w:tc>
        <w:tc>
          <w:tcPr>
            <w:tcW w:w="835" w:type="dxa"/>
            <w:tcBorders/>
            <w:shd w:fill="CCEEFF" w:val="clear"/>
            <w:vAlign w:val="center"/>
          </w:tcPr>
          <w:p>
            <w:pPr>
              <w:pStyle w:val="TableContents"/>
              <w:spacing w:before="0" w:after="283"/>
              <w:jc w:val="right"/>
              <w:rPr/>
            </w:pPr>
            <w:r>
              <w:rPr/>
              <w:t>103,588</w:t>
            </w:r>
          </w:p>
        </w:tc>
        <w:tc>
          <w:tcPr>
            <w:tcW w:w="170" w:type="dxa"/>
            <w:tcBorders/>
            <w:shd w:fill="CCEEFF" w:val="clear"/>
            <w:vAlign w:val="center"/>
          </w:tcPr>
          <w:p>
            <w:pPr>
              <w:pStyle w:val="TableContents"/>
              <w:spacing w:before="0" w:after="283"/>
              <w:rPr/>
            </w:pPr>
            <w:r>
              <w:rPr/>
              <w:t> </w:t>
            </w:r>
          </w:p>
        </w:tc>
      </w:tr>
      <w:tr>
        <w:trPr/>
        <w:tc>
          <w:tcPr>
            <w:tcW w:w="25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1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3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Other information related to lease terms and discount rates is as follows: </w:t>
      </w:r>
    </w:p>
    <w:p>
      <w:pPr>
        <w:pStyle w:val="TextBody"/>
        <w:spacing w:before="0" w:after="0"/>
        <w:ind w:left="0" w:right="0" w:hanging="0"/>
        <w:jc w:val="left"/>
        <w:rPr>
          <w:spacing w:val="0"/>
        </w:rPr>
      </w:pPr>
      <w:r>
        <w:rPr>
          <w:spacing w:val="0"/>
        </w:rPr>
        <w:t> </w:t>
      </w:r>
    </w:p>
    <w:tbl>
      <w:tblPr>
        <w:tblW w:w="5715" w:type="dxa"/>
        <w:jc w:val="left"/>
        <w:tblInd w:w="0" w:type="dxa"/>
        <w:tblCellMar>
          <w:top w:w="0" w:type="dxa"/>
          <w:left w:w="0" w:type="dxa"/>
          <w:bottom w:w="0" w:type="dxa"/>
          <w:right w:w="0" w:type="dxa"/>
        </w:tblCellMar>
      </w:tblPr>
      <w:tblGrid>
        <w:gridCol w:w="3230"/>
        <w:gridCol w:w="120"/>
        <w:gridCol w:w="60"/>
        <w:gridCol w:w="995"/>
        <w:gridCol w:w="60"/>
        <w:gridCol w:w="120"/>
        <w:gridCol w:w="60"/>
        <w:gridCol w:w="995"/>
        <w:gridCol w:w="75"/>
      </w:tblGrid>
      <w:tr>
        <w:trPr/>
        <w:tc>
          <w:tcPr>
            <w:tcW w:w="3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2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29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2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32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remaining lease term</w:t>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99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60" w:type="dxa"/>
            <w:tcBorders/>
            <w:shd w:fill="CCEEFF" w:val="clear"/>
            <w:vAlign w:val="center"/>
          </w:tcPr>
          <w:p>
            <w:pPr>
              <w:pStyle w:val="TableContents"/>
              <w:spacing w:before="0" w:after="283"/>
              <w:rPr>
                <w:sz w:val="4"/>
                <w:szCs w:val="4"/>
              </w:rPr>
            </w:pPr>
            <w:r>
              <w:rPr>
                <w:sz w:val="4"/>
                <w:szCs w:val="4"/>
              </w:rPr>
            </w:r>
          </w:p>
        </w:tc>
        <w:tc>
          <w:tcPr>
            <w:tcW w:w="995"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32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21.5 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21.5 years</w:t>
            </w:r>
          </w:p>
        </w:tc>
        <w:tc>
          <w:tcPr>
            <w:tcW w:w="75" w:type="dxa"/>
            <w:tcBorders/>
            <w:shd w:fill="auto" w:val="clear"/>
            <w:vAlign w:val="center"/>
          </w:tcPr>
          <w:p>
            <w:pPr>
              <w:pStyle w:val="TableContents"/>
              <w:spacing w:before="0" w:after="283"/>
              <w:rPr/>
            </w:pPr>
            <w:r>
              <w:rPr/>
              <w:t> </w:t>
            </w:r>
          </w:p>
        </w:tc>
      </w:tr>
      <w:tr>
        <w:trPr/>
        <w:tc>
          <w:tcPr>
            <w:tcW w:w="32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Finance leases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10.5 years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11.5 years</w:t>
            </w:r>
          </w:p>
        </w:tc>
        <w:tc>
          <w:tcPr>
            <w:tcW w:w="75" w:type="dxa"/>
            <w:tcBorders/>
            <w:shd w:fill="CCEEFF" w:val="clear"/>
            <w:vAlign w:val="center"/>
          </w:tcPr>
          <w:p>
            <w:pPr>
              <w:pStyle w:val="TableContents"/>
              <w:spacing w:before="0" w:after="283"/>
              <w:rPr/>
            </w:pPr>
            <w:r>
              <w:rPr/>
              <w:t> </w:t>
            </w:r>
          </w:p>
        </w:tc>
      </w:tr>
      <w:tr>
        <w:trPr/>
        <w:tc>
          <w:tcPr>
            <w:tcW w:w="32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discount rate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2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leases</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5.77%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5.73%</w:t>
            </w:r>
          </w:p>
        </w:tc>
        <w:tc>
          <w:tcPr>
            <w:tcW w:w="75" w:type="dxa"/>
            <w:tcBorders/>
            <w:shd w:fill="CCEEFF" w:val="clear"/>
            <w:vAlign w:val="center"/>
          </w:tcPr>
          <w:p>
            <w:pPr>
              <w:pStyle w:val="TableContents"/>
              <w:spacing w:before="0" w:after="283"/>
              <w:rPr/>
            </w:pPr>
            <w:r>
              <w:rPr/>
              <w:t> </w:t>
            </w:r>
          </w:p>
        </w:tc>
      </w:tr>
      <w:tr>
        <w:trPr/>
        <w:tc>
          <w:tcPr>
            <w:tcW w:w="32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Finance leases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10.70%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7.09%</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F-5</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1360" w:type="dxa"/>
        <w:jc w:val="left"/>
        <w:tblInd w:w="0" w:type="dxa"/>
        <w:tblCellMar>
          <w:top w:w="0" w:type="dxa"/>
          <w:left w:w="0" w:type="dxa"/>
          <w:bottom w:w="0" w:type="dxa"/>
          <w:right w:w="0" w:type="dxa"/>
        </w:tblCellMar>
      </w:tblPr>
      <w:tblGrid>
        <w:gridCol w:w="335"/>
        <w:gridCol w:w="1025"/>
      </w:tblGrid>
      <w:tr>
        <w:trPr/>
        <w:tc>
          <w:tcPr>
            <w:tcW w:w="335" w:type="dxa"/>
            <w:tcBorders/>
            <w:shd w:fill="auto" w:val="clear"/>
            <w:vAlign w:val="center"/>
          </w:tcPr>
          <w:p>
            <w:pPr>
              <w:pStyle w:val="TableContents"/>
              <w:spacing w:before="0" w:after="0"/>
              <w:jc w:val="left"/>
              <w:rPr>
                <w:b/>
                <w:spacing w:val="0"/>
              </w:rPr>
            </w:pPr>
            <w:r>
              <w:rPr>
                <w:b/>
                <w:spacing w:val="0"/>
              </w:rPr>
              <w:t>14.</w:t>
            </w:r>
          </w:p>
        </w:tc>
        <w:tc>
          <w:tcPr>
            <w:tcW w:w="10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LEASES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Lessee Arrangements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Maturities of lease liabilities as of December 31, 2022 are as follows: </w:t>
      </w:r>
    </w:p>
    <w:p>
      <w:pPr>
        <w:pStyle w:val="TextBody"/>
        <w:spacing w:before="0" w:after="0"/>
        <w:ind w:left="0" w:right="0" w:hanging="0"/>
        <w:jc w:val="left"/>
        <w:rPr>
          <w:spacing w:val="0"/>
        </w:rPr>
      </w:pPr>
      <w:r>
        <w:rPr>
          <w:spacing w:val="0"/>
        </w:rPr>
        <w:t> </w:t>
      </w:r>
    </w:p>
    <w:tbl>
      <w:tblPr>
        <w:tblW w:w="7540" w:type="dxa"/>
        <w:jc w:val="left"/>
        <w:tblInd w:w="0" w:type="dxa"/>
        <w:tblCellMar>
          <w:top w:w="0" w:type="dxa"/>
          <w:left w:w="0" w:type="dxa"/>
          <w:bottom w:w="0" w:type="dxa"/>
          <w:right w:w="0" w:type="dxa"/>
        </w:tblCellMar>
      </w:tblPr>
      <w:tblGrid>
        <w:gridCol w:w="3950"/>
        <w:gridCol w:w="120"/>
        <w:gridCol w:w="248"/>
        <w:gridCol w:w="1422"/>
        <w:gridCol w:w="95"/>
        <w:gridCol w:w="120"/>
        <w:gridCol w:w="203"/>
        <w:gridCol w:w="1272"/>
        <w:gridCol w:w="110"/>
      </w:tblGrid>
      <w:tr>
        <w:trPr/>
        <w:tc>
          <w:tcPr>
            <w:tcW w:w="3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Operating Leases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7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Finance Leases</w:t>
            </w:r>
          </w:p>
        </w:tc>
        <w:tc>
          <w:tcPr>
            <w:tcW w:w="110" w:type="dxa"/>
            <w:tcBorders/>
            <w:shd w:fill="auto" w:val="clear"/>
            <w:vAlign w:val="center"/>
          </w:tcPr>
          <w:p>
            <w:pPr>
              <w:pStyle w:val="TableContents"/>
              <w:spacing w:before="0" w:after="0"/>
              <w:rPr>
                <w:spacing w:val="0"/>
              </w:rPr>
            </w:pPr>
            <w:r>
              <w:rPr>
                <w:spacing w:val="0"/>
              </w:rPr>
              <w:t> </w:t>
            </w:r>
          </w:p>
        </w:tc>
      </w:tr>
      <w:tr>
        <w:trPr/>
        <w:tc>
          <w:tcPr>
            <w:tcW w:w="39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Year ending December 31,</w:t>
            </w:r>
          </w:p>
        </w:tc>
        <w:tc>
          <w:tcPr>
            <w:tcW w:w="120" w:type="dxa"/>
            <w:tcBorders/>
            <w:shd w:fill="CCEEFF" w:val="clear"/>
            <w:vAlign w:val="center"/>
          </w:tcPr>
          <w:p>
            <w:pPr>
              <w:pStyle w:val="TableContents"/>
              <w:spacing w:before="0" w:after="0"/>
              <w:rPr>
                <w:spacing w:val="0"/>
              </w:rPr>
            </w:pPr>
            <w:r>
              <w:rPr>
                <w:spacing w:val="0"/>
              </w:rPr>
              <w:t>  </w:t>
            </w:r>
          </w:p>
        </w:tc>
        <w:tc>
          <w:tcPr>
            <w:tcW w:w="248" w:type="dxa"/>
            <w:tcBorders/>
            <w:shd w:fill="CCEEFF" w:val="clear"/>
            <w:vAlign w:val="center"/>
          </w:tcPr>
          <w:p>
            <w:pPr>
              <w:pStyle w:val="TableContents"/>
              <w:spacing w:before="0" w:after="283"/>
              <w:rPr>
                <w:sz w:val="4"/>
                <w:szCs w:val="4"/>
              </w:rPr>
            </w:pPr>
            <w:r>
              <w:rPr>
                <w:sz w:val="4"/>
                <w:szCs w:val="4"/>
              </w:rPr>
            </w:r>
          </w:p>
        </w:tc>
        <w:tc>
          <w:tcPr>
            <w:tcW w:w="1422"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203" w:type="dxa"/>
            <w:tcBorders/>
            <w:shd w:fill="CCEEFF" w:val="clear"/>
            <w:vAlign w:val="center"/>
          </w:tcPr>
          <w:p>
            <w:pPr>
              <w:pStyle w:val="TableContents"/>
              <w:spacing w:before="0" w:after="283"/>
              <w:rPr>
                <w:sz w:val="4"/>
                <w:szCs w:val="4"/>
              </w:rPr>
            </w:pPr>
            <w:r>
              <w:rPr>
                <w:sz w:val="4"/>
                <w:szCs w:val="4"/>
              </w:rPr>
            </w:r>
          </w:p>
        </w:tc>
        <w:tc>
          <w:tcPr>
            <w:tcW w:w="1272" w:type="dxa"/>
            <w:tcBorders/>
            <w:shd w:fill="CCEEFF" w:val="clear"/>
            <w:vAlign w:val="center"/>
          </w:tcPr>
          <w:p>
            <w:pPr>
              <w:pStyle w:val="TableContents"/>
              <w:spacing w:before="0" w:after="283"/>
              <w:rPr>
                <w:sz w:val="4"/>
                <w:szCs w:val="4"/>
              </w:rPr>
            </w:pPr>
            <w:r>
              <w:rPr>
                <w:sz w:val="4"/>
                <w:szCs w:val="4"/>
              </w:rPr>
            </w:r>
          </w:p>
        </w:tc>
        <w:tc>
          <w:tcPr>
            <w:tcW w:w="110" w:type="dxa"/>
            <w:tcBorders/>
            <w:shd w:fill="CCEEFF" w:val="clear"/>
            <w:vAlign w:val="center"/>
          </w:tcPr>
          <w:p>
            <w:pPr>
              <w:pStyle w:val="TableContents"/>
              <w:spacing w:before="0" w:after="283"/>
              <w:rPr>
                <w:sz w:val="4"/>
                <w:szCs w:val="4"/>
              </w:rPr>
            </w:pPr>
            <w:r>
              <w:rPr>
                <w:sz w:val="4"/>
                <w:szCs w:val="4"/>
              </w:rPr>
            </w:r>
          </w:p>
        </w:tc>
      </w:tr>
      <w:tr>
        <w:trPr/>
        <w:tc>
          <w:tcPr>
            <w:tcW w:w="39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w:t>
            </w:r>
          </w:p>
        </w:tc>
        <w:tc>
          <w:tcPr>
            <w:tcW w:w="1422" w:type="dxa"/>
            <w:tcBorders/>
            <w:shd w:fill="auto" w:val="clear"/>
            <w:vAlign w:val="center"/>
          </w:tcPr>
          <w:p>
            <w:pPr>
              <w:pStyle w:val="TableContents"/>
              <w:spacing w:before="0" w:after="283"/>
              <w:jc w:val="right"/>
              <w:rPr/>
            </w:pPr>
            <w:r>
              <w:rPr/>
              <w:t>13,061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1272" w:type="dxa"/>
            <w:tcBorders/>
            <w:shd w:fill="auto" w:val="clear"/>
            <w:vAlign w:val="center"/>
          </w:tcPr>
          <w:p>
            <w:pPr>
              <w:pStyle w:val="TableContents"/>
              <w:spacing w:before="0" w:after="283"/>
              <w:jc w:val="right"/>
              <w:rPr/>
            </w:pPr>
            <w:r>
              <w:rPr/>
              <w:t>37,018</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248" w:type="dxa"/>
            <w:tcBorders/>
            <w:shd w:fill="CCEEFF" w:val="clear"/>
            <w:vAlign w:val="center"/>
          </w:tcPr>
          <w:p>
            <w:pPr>
              <w:pStyle w:val="TableContents"/>
              <w:spacing w:before="0" w:after="283"/>
              <w:rPr/>
            </w:pPr>
            <w:r>
              <w:rPr/>
              <w:t> </w:t>
            </w:r>
          </w:p>
        </w:tc>
        <w:tc>
          <w:tcPr>
            <w:tcW w:w="1422" w:type="dxa"/>
            <w:tcBorders/>
            <w:shd w:fill="CCEEFF" w:val="clear"/>
            <w:vAlign w:val="center"/>
          </w:tcPr>
          <w:p>
            <w:pPr>
              <w:pStyle w:val="TableContents"/>
              <w:spacing w:before="0" w:after="283"/>
              <w:jc w:val="right"/>
              <w:rPr/>
            </w:pPr>
            <w:r>
              <w:rPr/>
              <w:t>9,179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72" w:type="dxa"/>
            <w:tcBorders/>
            <w:shd w:fill="CCEEFF" w:val="clear"/>
            <w:vAlign w:val="center"/>
          </w:tcPr>
          <w:p>
            <w:pPr>
              <w:pStyle w:val="TableContents"/>
              <w:spacing w:before="0" w:after="283"/>
              <w:jc w:val="right"/>
              <w:rPr/>
            </w:pPr>
            <w:r>
              <w:rPr/>
              <w:t>37,018</w:t>
            </w:r>
          </w:p>
        </w:tc>
        <w:tc>
          <w:tcPr>
            <w:tcW w:w="11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jc w:val="right"/>
              <w:rPr/>
            </w:pPr>
            <w:r>
              <w:rPr/>
              <w:t>7,273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72" w:type="dxa"/>
            <w:tcBorders/>
            <w:shd w:fill="auto" w:val="clear"/>
            <w:vAlign w:val="center"/>
          </w:tcPr>
          <w:p>
            <w:pPr>
              <w:pStyle w:val="TableContents"/>
              <w:spacing w:before="0" w:after="283"/>
              <w:jc w:val="right"/>
              <w:rPr/>
            </w:pPr>
            <w:r>
              <w:rPr/>
              <w:t>37,018</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spacing w:before="0" w:after="283"/>
              <w:rPr/>
            </w:pPr>
            <w:r>
              <w:rPr/>
              <w:t>  </w:t>
            </w:r>
          </w:p>
        </w:tc>
        <w:tc>
          <w:tcPr>
            <w:tcW w:w="248" w:type="dxa"/>
            <w:tcBorders/>
            <w:shd w:fill="CCEEFF" w:val="clear"/>
            <w:vAlign w:val="center"/>
          </w:tcPr>
          <w:p>
            <w:pPr>
              <w:pStyle w:val="TableContents"/>
              <w:spacing w:before="0" w:after="283"/>
              <w:rPr/>
            </w:pPr>
            <w:r>
              <w:rPr/>
              <w:t> </w:t>
            </w:r>
          </w:p>
        </w:tc>
        <w:tc>
          <w:tcPr>
            <w:tcW w:w="1422" w:type="dxa"/>
            <w:tcBorders/>
            <w:shd w:fill="CCEEFF" w:val="clear"/>
            <w:vAlign w:val="center"/>
          </w:tcPr>
          <w:p>
            <w:pPr>
              <w:pStyle w:val="TableContents"/>
              <w:spacing w:before="0" w:after="283"/>
              <w:jc w:val="right"/>
              <w:rPr/>
            </w:pPr>
            <w:r>
              <w:rPr/>
              <w:t>7,206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72" w:type="dxa"/>
            <w:tcBorders/>
            <w:shd w:fill="CCEEFF" w:val="clear"/>
            <w:vAlign w:val="center"/>
          </w:tcPr>
          <w:p>
            <w:pPr>
              <w:pStyle w:val="TableContents"/>
              <w:spacing w:before="0" w:after="283"/>
              <w:jc w:val="right"/>
              <w:rPr/>
            </w:pPr>
            <w:r>
              <w:rPr/>
              <w:t>37,018</w:t>
            </w:r>
          </w:p>
        </w:tc>
        <w:tc>
          <w:tcPr>
            <w:tcW w:w="11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2027</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jc w:val="right"/>
              <w:rPr/>
            </w:pPr>
            <w:r>
              <w:rPr/>
              <w:t>5,601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72" w:type="dxa"/>
            <w:tcBorders/>
            <w:shd w:fill="auto" w:val="clear"/>
            <w:vAlign w:val="center"/>
          </w:tcPr>
          <w:p>
            <w:pPr>
              <w:pStyle w:val="TableContents"/>
              <w:spacing w:before="0" w:after="283"/>
              <w:jc w:val="right"/>
              <w:rPr/>
            </w:pPr>
            <w:r>
              <w:rPr/>
              <w:t>37,018</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Over 2027</w:t>
            </w:r>
          </w:p>
        </w:tc>
        <w:tc>
          <w:tcPr>
            <w:tcW w:w="120" w:type="dxa"/>
            <w:tcBorders/>
            <w:shd w:fill="CCEEFF" w:val="clear"/>
            <w:vAlign w:val="center"/>
          </w:tcPr>
          <w:p>
            <w:pPr>
              <w:pStyle w:val="TableContents"/>
              <w:spacing w:before="0" w:after="283"/>
              <w:rPr/>
            </w:pPr>
            <w:r>
              <w:rPr/>
              <w:t>  </w:t>
            </w:r>
          </w:p>
        </w:tc>
        <w:tc>
          <w:tcPr>
            <w:tcW w:w="248" w:type="dxa"/>
            <w:tcBorders/>
            <w:shd w:fill="CCEEFF" w:val="clear"/>
            <w:vAlign w:val="center"/>
          </w:tcPr>
          <w:p>
            <w:pPr>
              <w:pStyle w:val="TableContents"/>
              <w:spacing w:before="0" w:after="283"/>
              <w:rPr/>
            </w:pPr>
            <w:r>
              <w:rPr/>
              <w:t> </w:t>
            </w:r>
          </w:p>
        </w:tc>
        <w:tc>
          <w:tcPr>
            <w:tcW w:w="1422" w:type="dxa"/>
            <w:tcBorders/>
            <w:shd w:fill="CCEEFF" w:val="clear"/>
            <w:vAlign w:val="center"/>
          </w:tcPr>
          <w:p>
            <w:pPr>
              <w:pStyle w:val="TableContents"/>
              <w:spacing w:before="0" w:after="283"/>
              <w:jc w:val="right"/>
              <w:rPr/>
            </w:pPr>
            <w:r>
              <w:rPr/>
              <w:t>76,689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72" w:type="dxa"/>
            <w:tcBorders/>
            <w:shd w:fill="CCEEFF" w:val="clear"/>
            <w:vAlign w:val="center"/>
          </w:tcPr>
          <w:p>
            <w:pPr>
              <w:pStyle w:val="TableContents"/>
              <w:spacing w:before="0" w:after="283"/>
              <w:jc w:val="right"/>
              <w:rPr/>
            </w:pPr>
            <w:r>
              <w:rPr/>
              <w:t>204,694</w:t>
            </w:r>
          </w:p>
        </w:tc>
        <w:tc>
          <w:tcPr>
            <w:tcW w:w="110" w:type="dxa"/>
            <w:tcBorders/>
            <w:shd w:fill="CCEEFF"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future minimum lease payments</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jc w:val="right"/>
              <w:rPr/>
            </w:pPr>
            <w:r>
              <w:rPr/>
              <w:t>119,009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72" w:type="dxa"/>
            <w:tcBorders/>
            <w:shd w:fill="auto" w:val="clear"/>
            <w:vAlign w:val="center"/>
          </w:tcPr>
          <w:p>
            <w:pPr>
              <w:pStyle w:val="TableContents"/>
              <w:spacing w:before="0" w:after="283"/>
              <w:jc w:val="right"/>
              <w:rPr/>
            </w:pPr>
            <w:r>
              <w:rPr/>
              <w:t>389,784</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Less: </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amounts</w:t>
            </w:r>
          </w:p>
          <w:p>
            <w:pPr>
              <w:pStyle w:val="TableContents"/>
              <w:spacing w:before="0" w:after="0"/>
              <w:rPr>
                <w:rFonts w:ascii="Times New Roman" w:hAnsi="Times New Roman"/>
                <w:spacing w:val="0"/>
                <w:sz w:val="20"/>
              </w:rPr>
            </w:pPr>
            <w:r>
              <w:rPr>
                <w:rFonts w:ascii="Times New Roman" w:hAnsi="Times New Roman"/>
                <w:spacing w:val="0"/>
                <w:sz w:val="20"/>
              </w:rPr>
              <w:t>representing interest</w:t>
            </w:r>
          </w:p>
        </w:tc>
        <w:tc>
          <w:tcPr>
            <w:tcW w:w="120" w:type="dxa"/>
            <w:tcBorders/>
            <w:shd w:fill="CCEEFF" w:val="clear"/>
            <w:vAlign w:val="center"/>
          </w:tcPr>
          <w:p>
            <w:pPr>
              <w:pStyle w:val="TableContents"/>
              <w:spacing w:before="0" w:after="283"/>
              <w:rPr/>
            </w:pPr>
            <w:r>
              <w:rPr/>
              <w:t>  </w:t>
            </w:r>
          </w:p>
        </w:tc>
        <w:tc>
          <w:tcPr>
            <w:tcW w:w="248" w:type="dxa"/>
            <w:tcBorders/>
            <w:shd w:fill="CCEEFF" w:val="clear"/>
            <w:vAlign w:val="center"/>
          </w:tcPr>
          <w:p>
            <w:pPr>
              <w:pStyle w:val="TableContents"/>
              <w:spacing w:before="0" w:after="283"/>
              <w:rPr/>
            </w:pPr>
            <w:r>
              <w:rPr/>
              <w:t> </w:t>
            </w:r>
          </w:p>
        </w:tc>
        <w:tc>
          <w:tcPr>
            <w:tcW w:w="1422" w:type="dxa"/>
            <w:tcBorders/>
            <w:shd w:fill="CCEEFF" w:val="clear"/>
            <w:vAlign w:val="center"/>
          </w:tcPr>
          <w:p>
            <w:pPr>
              <w:pStyle w:val="TableContents"/>
              <w:spacing w:before="0" w:after="283"/>
              <w:jc w:val="right"/>
              <w:rPr/>
            </w:pPr>
            <w:r>
              <w:rPr/>
              <w:t>(50,416</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72" w:type="dxa"/>
            <w:tcBorders/>
            <w:shd w:fill="CCEEFF" w:val="clear"/>
            <w:vAlign w:val="center"/>
          </w:tcPr>
          <w:p>
            <w:pPr>
              <w:pStyle w:val="TableContents"/>
              <w:spacing w:before="0" w:after="283"/>
              <w:jc w:val="right"/>
              <w:rPr/>
            </w:pPr>
            <w:r>
              <w:rPr/>
              <w:t>(156,534</w:t>
            </w:r>
          </w:p>
        </w:tc>
        <w:tc>
          <w:tcPr>
            <w:tcW w:w="110" w:type="dxa"/>
            <w:tcBorders/>
            <w:shd w:fill="CCEEFF" w:val="clear"/>
            <w:vAlign w:val="center"/>
          </w:tcPr>
          <w:p>
            <w:pPr>
              <w:pStyle w:val="TableContents"/>
              <w:spacing w:before="0" w:after="283"/>
              <w:rPr/>
            </w:pPr>
            <w:r>
              <w:rPr/>
              <w:t>)</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Present value of future minimum lease payments</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 </w:t>
            </w:r>
          </w:p>
        </w:tc>
        <w:tc>
          <w:tcPr>
            <w:tcW w:w="1422" w:type="dxa"/>
            <w:tcBorders/>
            <w:shd w:fill="auto" w:val="clear"/>
            <w:vAlign w:val="center"/>
          </w:tcPr>
          <w:p>
            <w:pPr>
              <w:pStyle w:val="TableContents"/>
              <w:spacing w:before="0" w:after="283"/>
              <w:jc w:val="right"/>
              <w:rPr/>
            </w:pPr>
            <w:r>
              <w:rPr/>
              <w:t>68,593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72" w:type="dxa"/>
            <w:tcBorders/>
            <w:shd w:fill="auto" w:val="clear"/>
            <w:vAlign w:val="center"/>
          </w:tcPr>
          <w:p>
            <w:pPr>
              <w:pStyle w:val="TableContents"/>
              <w:spacing w:before="0" w:after="283"/>
              <w:jc w:val="right"/>
              <w:rPr/>
            </w:pPr>
            <w:r>
              <w:rPr/>
              <w:t>233,250</w:t>
            </w:r>
          </w:p>
        </w:tc>
        <w:tc>
          <w:tcPr>
            <w:tcW w:w="110" w:type="dxa"/>
            <w:tcBorders/>
            <w:shd w:fill="auto" w:val="clear"/>
            <w:vAlign w:val="center"/>
          </w:tcPr>
          <w:p>
            <w:pPr>
              <w:pStyle w:val="TableContents"/>
              <w:spacing w:before="0" w:after="283"/>
              <w:rPr/>
            </w:pPr>
            <w:r>
              <w:rPr/>
              <w:t> </w:t>
            </w:r>
          </w:p>
        </w:tc>
      </w:tr>
      <w:tr>
        <w:trPr/>
        <w:tc>
          <w:tcPr>
            <w:tcW w:w="39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w:t>
            </w:r>
          </w:p>
        </w:tc>
        <w:tc>
          <w:tcPr>
            <w:tcW w:w="120" w:type="dxa"/>
            <w:tcBorders/>
            <w:shd w:fill="CCEEFF" w:val="clear"/>
            <w:vAlign w:val="center"/>
          </w:tcPr>
          <w:p>
            <w:pPr>
              <w:pStyle w:val="TableContents"/>
              <w:spacing w:before="0" w:after="283"/>
              <w:rPr/>
            </w:pPr>
            <w:r>
              <w:rPr/>
              <w:t>  </w:t>
            </w:r>
          </w:p>
        </w:tc>
        <w:tc>
          <w:tcPr>
            <w:tcW w:w="248" w:type="dxa"/>
            <w:tcBorders/>
            <w:shd w:fill="CCEEFF" w:val="clear"/>
            <w:vAlign w:val="center"/>
          </w:tcPr>
          <w:p>
            <w:pPr>
              <w:pStyle w:val="TableContents"/>
              <w:spacing w:before="0" w:after="283"/>
              <w:rPr/>
            </w:pPr>
            <w:r>
              <w:rPr/>
              <w:t> </w:t>
            </w:r>
          </w:p>
        </w:tc>
        <w:tc>
          <w:tcPr>
            <w:tcW w:w="1422" w:type="dxa"/>
            <w:tcBorders/>
            <w:shd w:fill="CCEEFF" w:val="clear"/>
            <w:vAlign w:val="center"/>
          </w:tcPr>
          <w:p>
            <w:pPr>
              <w:pStyle w:val="TableContents"/>
              <w:spacing w:before="0" w:after="283"/>
              <w:jc w:val="right"/>
              <w:rPr/>
            </w:pPr>
            <w:r>
              <w:rPr/>
              <w:t>(12,761</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72" w:type="dxa"/>
            <w:tcBorders/>
            <w:shd w:fill="CCEEFF" w:val="clear"/>
            <w:vAlign w:val="center"/>
          </w:tcPr>
          <w:p>
            <w:pPr>
              <w:pStyle w:val="TableContents"/>
              <w:spacing w:before="0" w:after="283"/>
              <w:jc w:val="right"/>
              <w:rPr/>
            </w:pPr>
            <w:r>
              <w:rPr/>
              <w:t>(34,959</w:t>
            </w:r>
          </w:p>
        </w:tc>
        <w:tc>
          <w:tcPr>
            <w:tcW w:w="110" w:type="dxa"/>
            <w:tcBorders/>
            <w:shd w:fill="CCEEFF" w:val="clear"/>
            <w:vAlign w:val="center"/>
          </w:tcPr>
          <w:p>
            <w:pPr>
              <w:pStyle w:val="TableContents"/>
              <w:spacing w:before="0" w:after="283"/>
              <w:rPr/>
            </w:pPr>
            <w:r>
              <w:rPr/>
              <w:t>)</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42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7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Non-current</w:t>
            </w:r>
          </w:p>
          <w:p>
            <w:pPr>
              <w:pStyle w:val="TableContents"/>
              <w:spacing w:before="0" w:after="0"/>
              <w:rPr>
                <w:rFonts w:ascii="Times New Roman" w:hAnsi="Times New Roman"/>
                <w:sz w:val="20"/>
              </w:rPr>
            </w:pPr>
            <w:r>
              <w:rPr>
                <w:rFonts w:ascii="Times New Roman" w:hAnsi="Times New Roman"/>
                <w:sz w:val="20"/>
              </w:rPr>
              <w:t>portion</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283"/>
              <w:rPr/>
            </w:pPr>
            <w:r>
              <w:rPr/>
              <w:t>$</w:t>
            </w:r>
          </w:p>
        </w:tc>
        <w:tc>
          <w:tcPr>
            <w:tcW w:w="1422" w:type="dxa"/>
            <w:tcBorders/>
            <w:shd w:fill="auto" w:val="clear"/>
            <w:vAlign w:val="center"/>
          </w:tcPr>
          <w:p>
            <w:pPr>
              <w:pStyle w:val="TableContents"/>
              <w:spacing w:before="0" w:after="283"/>
              <w:jc w:val="right"/>
              <w:rPr/>
            </w:pPr>
            <w:r>
              <w:rPr/>
              <w:t>55,832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w:t>
            </w:r>
          </w:p>
        </w:tc>
        <w:tc>
          <w:tcPr>
            <w:tcW w:w="1272" w:type="dxa"/>
            <w:tcBorders/>
            <w:shd w:fill="auto" w:val="clear"/>
            <w:vAlign w:val="center"/>
          </w:tcPr>
          <w:p>
            <w:pPr>
              <w:pStyle w:val="TableContents"/>
              <w:spacing w:before="0" w:after="283"/>
              <w:jc w:val="right"/>
              <w:rPr/>
            </w:pPr>
            <w:r>
              <w:rPr/>
              <w:t>198,291</w:t>
            </w:r>
          </w:p>
        </w:tc>
        <w:tc>
          <w:tcPr>
            <w:tcW w:w="110" w:type="dxa"/>
            <w:tcBorders/>
            <w:shd w:fill="auto" w:val="clear"/>
            <w:vAlign w:val="center"/>
          </w:tcPr>
          <w:p>
            <w:pPr>
              <w:pStyle w:val="TableContents"/>
              <w:spacing w:before="0" w:after="283"/>
              <w:rPr/>
            </w:pPr>
            <w:r>
              <w:rPr/>
              <w:t> </w:t>
            </w:r>
          </w:p>
        </w:tc>
      </w:tr>
      <w:tr>
        <w:trPr/>
        <w:tc>
          <w:tcPr>
            <w:tcW w:w="39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42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7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 w:type="dxa"/>
            <w:tcBorders/>
            <w:shd w:fill="auto" w:val="clear"/>
            <w:vAlign w:val="center"/>
          </w:tcPr>
          <w:p>
            <w:pPr>
              <w:pStyle w:val="TableContents"/>
              <w:spacing w:before="0" w:after="283"/>
              <w:rPr/>
            </w:pPr>
            <w:r>
              <w:rPr/>
              <w:t> </w:t>
            </w:r>
          </w:p>
        </w:tc>
      </w:tr>
    </w:tbl>
    <w:p>
      <w:pPr>
        <w:pStyle w:val="TextBody"/>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Lessor Arrangements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The Company is the lessor under </w:t>
      </w:r>
    </w:p>
    <w:p>
      <w:pPr>
        <w:pStyle w:val="TextBody"/>
        <w:spacing w:before="120" w:after="0"/>
        <w:jc w:val="left"/>
        <w:rPr>
          <w:rFonts w:ascii="Times New Roman" w:hAnsi="Times New Roman"/>
          <w:spacing w:val="0"/>
          <w:sz w:val="20"/>
        </w:rPr>
      </w:pPr>
      <w:r>
        <w:rPr>
          <w:rFonts w:ascii="Times New Roman" w:hAnsi="Times New Roman"/>
          <w:spacing w:val="0"/>
          <w:sz w:val="20"/>
        </w:rPr>
        <w:t>non-cancellable</w:t>
      </w:r>
    </w:p>
    <w:p>
      <w:pPr>
        <w:pStyle w:val="TextBody"/>
        <w:spacing w:before="120" w:after="0"/>
        <w:jc w:val="left"/>
        <w:rPr>
          <w:rFonts w:ascii="Times New Roman" w:hAnsi="Times New Roman"/>
          <w:sz w:val="20"/>
        </w:rPr>
      </w:pPr>
      <w:r>
        <w:rPr>
          <w:rFonts w:ascii="Times New Roman" w:hAnsi="Times New Roman"/>
          <w:sz w:val="20"/>
        </w:rPr>
        <w:t xml:space="preserve">operating leases mainly for mall spaces in the sites of City of Dreams, City of Dreams Manila and Studio City with various retailers that expire at various dates through May 2035. Certain of the operating leases include minimum base fees with contingent fee clauses based on percentages of turnover.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During the years ended December 31, 2022, 2021 and 2020, the Company earned minimum operating lease income of $41,633, $45,019 and $37,257, </w:t>
      </w:r>
    </w:p>
    <w:p>
      <w:pPr>
        <w:pStyle w:val="TextBody"/>
        <w:spacing w:before="120" w:after="0"/>
        <w:jc w:val="left"/>
        <w:rPr>
          <w:rFonts w:ascii="Times New Roman" w:hAnsi="Times New Roman"/>
          <w:spacing w:val="0"/>
          <w:sz w:val="20"/>
        </w:rPr>
      </w:pPr>
      <w:r>
        <w:rPr>
          <w:rFonts w:ascii="Times New Roman" w:hAnsi="Times New Roman"/>
          <w:spacing w:val="0"/>
          <w:sz w:val="20"/>
        </w:rPr>
        <w:t>respectively, and contingent</w:t>
      </w:r>
    </w:p>
    <w:p>
      <w:pPr>
        <w:pStyle w:val="TextBody"/>
        <w:spacing w:before="120" w:after="0"/>
        <w:jc w:val="left"/>
        <w:rPr/>
      </w:pPr>
      <w:r>
        <w:rPr/>
        <w:t> </w:t>
      </w:r>
      <w:r>
        <w:rPr>
          <w:rFonts w:ascii="Times New Roman" w:hAnsi="Times New Roman"/>
          <w:sz w:val="20"/>
        </w:rPr>
        <w:t>operating lease income of $265, $5,080 and $(1,955), respectively. Total lease income for the years ended December 31, 2022, 2021 and 2020 were reduced by $3,076, $882 and $18,356</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spacing w:val="0"/>
        </w:rPr>
      </w:pPr>
      <w:r>
        <w:rPr>
          <w:spacing w:val="0"/>
        </w:rPr>
        <w: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respectively</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 xml:space="preserve">as a result of the rent concessions and uncollectible lease income related to the effects of the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outbreak. </w:t>
      </w:r>
    </w:p>
    <w:p>
      <w:pPr>
        <w:pStyle w:val="TextBody"/>
        <w:spacing w:before="120" w:after="0"/>
        <w:ind w:left="0" w:right="0" w:hanging="0"/>
        <w:jc w:val="left"/>
        <w:rPr>
          <w:rFonts w:ascii="Times New Roman" w:hAnsi="Times New Roman"/>
          <w:sz w:val="20"/>
        </w:rPr>
      </w:pPr>
      <w:r>
        <w:rPr>
          <w:rFonts w:ascii="Times New Roman" w:hAnsi="Times New Roman"/>
          <w:sz w:val="20"/>
        </w:rPr>
        <w:t xml:space="preserve">Future minimum fees, excluding the contingent fees to be received under </w:t>
      </w:r>
    </w:p>
    <w:p>
      <w:pPr>
        <w:pStyle w:val="TextBody"/>
        <w:spacing w:before="120" w:after="0"/>
        <w:jc w:val="left"/>
        <w:rPr>
          <w:rFonts w:ascii="Times New Roman" w:hAnsi="Times New Roman"/>
          <w:spacing w:val="0"/>
          <w:sz w:val="20"/>
        </w:rPr>
      </w:pPr>
      <w:r>
        <w:rPr>
          <w:rFonts w:ascii="Times New Roman" w:hAnsi="Times New Roman"/>
          <w:spacing w:val="0"/>
          <w:sz w:val="20"/>
        </w:rPr>
        <w:t>non-cancellable</w:t>
      </w:r>
    </w:p>
    <w:p>
      <w:pPr>
        <w:pStyle w:val="TextBody"/>
        <w:spacing w:before="120" w:after="0"/>
        <w:jc w:val="left"/>
        <w:rPr>
          <w:rFonts w:ascii="Times New Roman" w:hAnsi="Times New Roman"/>
          <w:sz w:val="20"/>
        </w:rPr>
      </w:pPr>
      <w:r>
        <w:rPr>
          <w:rFonts w:ascii="Times New Roman" w:hAnsi="Times New Roman"/>
          <w:sz w:val="20"/>
        </w:rPr>
        <w:t xml:space="preserve">operating leases as of December 31, 2022 were as follows: </w:t>
      </w:r>
    </w:p>
    <w:p>
      <w:pPr>
        <w:pStyle w:val="TextBody"/>
        <w:spacing w:before="0" w:after="0"/>
        <w:ind w:left="0" w:right="0" w:hanging="0"/>
        <w:jc w:val="left"/>
        <w:rPr>
          <w:spacing w:val="0"/>
        </w:rPr>
      </w:pPr>
      <w:r>
        <w:rPr>
          <w:spacing w:val="0"/>
        </w:rPr>
        <w:t> </w:t>
      </w:r>
    </w:p>
    <w:tbl>
      <w:tblPr>
        <w:tblW w:w="3375" w:type="dxa"/>
        <w:jc w:val="left"/>
        <w:tblInd w:w="0" w:type="dxa"/>
        <w:tblCellMar>
          <w:top w:w="0" w:type="dxa"/>
          <w:left w:w="0" w:type="dxa"/>
          <w:bottom w:w="0" w:type="dxa"/>
          <w:right w:w="0" w:type="dxa"/>
        </w:tblCellMar>
      </w:tblPr>
      <w:tblGrid>
        <w:gridCol w:w="2180"/>
        <w:gridCol w:w="120"/>
        <w:gridCol w:w="140"/>
        <w:gridCol w:w="860"/>
        <w:gridCol w:w="75"/>
      </w:tblGrid>
      <w:tr>
        <w:trPr/>
        <w:tc>
          <w:tcPr>
            <w:tcW w:w="2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Year ending December 31,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jc w:val="right"/>
              <w:rPr/>
            </w:pPr>
            <w:r>
              <w:rPr/>
              <w:t>48,324</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48,126</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 xml:space="preserve">48,493 </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23,841</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2027</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4,083</w:t>
            </w:r>
          </w:p>
        </w:tc>
        <w:tc>
          <w:tcPr>
            <w:tcW w:w="75" w:type="dxa"/>
            <w:tcBorders/>
            <w:shd w:fill="auto" w:val="clear"/>
            <w:vAlign w:val="center"/>
          </w:tcPr>
          <w:p>
            <w:pPr>
              <w:pStyle w:val="TableContents"/>
              <w:spacing w:before="0" w:after="283"/>
              <w:rPr/>
            </w:pPr>
            <w:r>
              <w:rPr/>
              <w:t> </w:t>
            </w:r>
          </w:p>
        </w:tc>
      </w:tr>
      <w:tr>
        <w:trPr/>
        <w:tc>
          <w:tcPr>
            <w:tcW w:w="21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Over 2027</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1,842</w:t>
            </w:r>
          </w:p>
        </w:tc>
        <w:tc>
          <w:tcPr>
            <w:tcW w:w="75" w:type="dxa"/>
            <w:tcBorders/>
            <w:shd w:fill="CCEEFF"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jc w:val="right"/>
              <w:rPr/>
            </w:pPr>
            <w:r>
              <w:rPr/>
              <w:t> </w:t>
            </w:r>
            <w:r>
              <w:rPr/>
              <w:t>174,709</w:t>
            </w:r>
          </w:p>
        </w:tc>
        <w:tc>
          <w:tcPr>
            <w:tcW w:w="75" w:type="dxa"/>
            <w:tcBorders/>
            <w:shd w:fill="auto" w:val="clear"/>
            <w:vAlign w:val="center"/>
          </w:tcPr>
          <w:p>
            <w:pPr>
              <w:pStyle w:val="TableContents"/>
              <w:spacing w:before="0" w:after="283"/>
              <w:rPr/>
            </w:pPr>
            <w:r>
              <w:rPr/>
              <w:t> </w:t>
            </w:r>
          </w:p>
        </w:tc>
      </w:tr>
      <w:tr>
        <w:trPr/>
        <w:tc>
          <w:tcPr>
            <w:tcW w:w="2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F-5</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295" w:type="dxa"/>
        <w:jc w:val="left"/>
        <w:tblInd w:w="0" w:type="dxa"/>
        <w:tblCellMar>
          <w:top w:w="0" w:type="dxa"/>
          <w:left w:w="0" w:type="dxa"/>
          <w:bottom w:w="0" w:type="dxa"/>
          <w:right w:w="0" w:type="dxa"/>
        </w:tblCellMar>
      </w:tblPr>
      <w:tblGrid>
        <w:gridCol w:w="335"/>
        <w:gridCol w:w="2960"/>
      </w:tblGrid>
      <w:tr>
        <w:trPr/>
        <w:tc>
          <w:tcPr>
            <w:tcW w:w="335" w:type="dxa"/>
            <w:tcBorders/>
            <w:shd w:fill="auto" w:val="clear"/>
            <w:vAlign w:val="center"/>
          </w:tcPr>
          <w:p>
            <w:pPr>
              <w:pStyle w:val="TableContents"/>
              <w:spacing w:before="0" w:after="0"/>
              <w:jc w:val="left"/>
              <w:rPr>
                <w:b/>
                <w:spacing w:val="0"/>
              </w:rPr>
            </w:pPr>
            <w:r>
              <w:rPr>
                <w:b/>
                <w:spacing w:val="0"/>
              </w:rPr>
              <w:t>15.</w:t>
            </w:r>
          </w:p>
        </w:tc>
        <w:tc>
          <w:tcPr>
            <w:tcW w:w="29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FAIR VALUE MEASUREMENTS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Authoritative literature provides a fair value hierarchy, which prioritizes the input to valuation techniques used to measure fair values into three broad levels. The level in the hierarchy within which the fair value measurements in its entirety is based upon the lowest level of input that is significant to the fair value measurement as follows: </w:t>
      </w:r>
    </w:p>
    <w:p>
      <w:pPr>
        <w:pStyle w:val="TextBody"/>
        <w:spacing w:before="0" w:after="0"/>
        <w:ind w:left="0" w:right="0" w:hanging="0"/>
        <w:jc w:val="left"/>
        <w:rPr>
          <w:spacing w:val="0"/>
        </w:rPr>
      </w:pPr>
      <w:r>
        <w:rPr>
          <w:spacing w:val="0"/>
        </w:rPr>
        <w:t> </w:t>
      </w:r>
    </w:p>
    <w:tbl>
      <w:tblPr>
        <w:tblW w:w="9040" w:type="dxa"/>
        <w:jc w:val="left"/>
        <w:tblInd w:w="0" w:type="dxa"/>
        <w:tblCellMar>
          <w:top w:w="0" w:type="dxa"/>
          <w:left w:w="0" w:type="dxa"/>
          <w:bottom w:w="0" w:type="dxa"/>
          <w:right w:w="0" w:type="dxa"/>
        </w:tblCellMar>
      </w:tblPr>
      <w:tblGrid>
        <w:gridCol w:w="75"/>
        <w:gridCol w:w="110"/>
        <w:gridCol w:w="60"/>
        <w:gridCol w:w="8795"/>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87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1 – inputs are based upon unadjusted quoted prices for identical instruments traded in active markets.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carrying values of cash equivalents, bank time deposits included in restricted cash, long-term deposits, long-term receivables and other long-term liabilities approximated fair value and were classified as level 2 in the fair value hierarchy.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fair values adopted in impairment assessments of an aircraft and a piece of freehold land classified as assets held for sale were estimated by using level 2 and level 3 inputs respectively, details are disclosed in Note 2(p) and note 6.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estimated fair value</w:t>
      </w:r>
    </w:p>
    <w:p>
      <w:pPr>
        <w:pStyle w:val="TextBody"/>
        <w:spacing w:before="120" w:after="0"/>
        <w:jc w:val="left"/>
        <w:rPr>
          <w:rFonts w:ascii="Times New Roman" w:hAnsi="Times New Roman"/>
          <w:spacing w:val="0"/>
          <w:sz w:val="20"/>
        </w:rPr>
      </w:pPr>
      <w:r>
        <w:rPr>
          <w:rFonts w:ascii="Times New Roman" w:hAnsi="Times New Roman"/>
          <w:spacing w:val="0"/>
          <w:sz w:val="20"/>
        </w:rPr>
        <w:t>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of long-term debt as of December 31, 2022 and 2021, were approximately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$7,341,910 and $6,370,180, respectively, as compared to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their</w:t>
      </w:r>
    </w:p>
    <w:p>
      <w:pPr>
        <w:pStyle w:val="TextBody"/>
        <w:spacing w:before="120" w:after="0"/>
        <w:jc w:val="left"/>
        <w:rPr>
          <w:rFonts w:ascii="Times New Roman" w:hAnsi="Times New Roman"/>
          <w:spacing w:val="0"/>
          <w:sz w:val="20"/>
        </w:rPr>
      </w:pPr>
      <w:r>
        <w:rPr>
          <w:rFonts w:ascii="Times New Roman" w:hAnsi="Times New Roman"/>
          <w:spacing w:val="0"/>
          <w:sz w:val="20"/>
        </w:rPr>
        <w:t>carrying value</w:t>
      </w:r>
    </w:p>
    <w:p>
      <w:pPr>
        <w:pStyle w:val="TextBody"/>
        <w:spacing w:before="120" w:after="0"/>
        <w:jc w:val="left"/>
        <w:rPr>
          <w:rFonts w:ascii="Times New Roman" w:hAnsi="Times New Roman"/>
          <w:spacing w:val="0"/>
          <w:sz w:val="20"/>
        </w:rPr>
      </w:pPr>
      <w:r>
        <w:rPr>
          <w:rFonts w:ascii="Times New Roman" w:hAnsi="Times New Roman"/>
          <w:spacing w:val="0"/>
          <w:sz w:val="20"/>
        </w:rPr>
        <w:t>s</w:t>
      </w:r>
    </w:p>
    <w:p>
      <w:pPr>
        <w:pStyle w:val="TextBody"/>
        <w:spacing w:before="120" w:after="0"/>
        <w:jc w:val="left"/>
        <w:rPr>
          <w:rFonts w:ascii="Times New Roman" w:hAnsi="Times New Roman"/>
          <w:spacing w:val="0"/>
          <w:sz w:val="20"/>
        </w:rPr>
      </w:pPr>
      <w:r>
        <w:rPr>
          <w:rFonts w:ascii="Times New Roman" w:hAnsi="Times New Roman"/>
          <w:spacing w:val="0"/>
          <w:sz w:val="20"/>
        </w:rPr>
        <w:t>, excluding unamortized deferred financing costs and original issue premiums, of $8,449,459 and $6,599,949, respectively. Fair values were estimated using quoted market prices and were classified as level 1 in the fair value hierarchy for the 2017 4.875% Senior Notes, the 2019 5.250% Senior Notes, the 2019 5.625% Senior Notes, the 2019 5.375% Senior Notes, the 2020 5.750% Senior Notes, the 2020 Studio City Notes, the 2021 5.000% Studio City Notes and the 2022 7.000% Studio City Secured Notes. Fair values for the 2015 Credit Facilities, the 2020 Credit Facilities and the 2016 Studio City Credit Facilities approximated the</w:t>
      </w:r>
    </w:p>
    <w:p>
      <w:pPr>
        <w:pStyle w:val="TextBody"/>
        <w:spacing w:before="120" w:after="0"/>
        <w:jc w:val="left"/>
        <w:rPr>
          <w:rFonts w:ascii="Times New Roman" w:hAnsi="Times New Roman"/>
          <w:spacing w:val="0"/>
          <w:sz w:val="20"/>
        </w:rPr>
      </w:pPr>
      <w:r>
        <w:rPr>
          <w:rFonts w:ascii="Times New Roman" w:hAnsi="Times New Roman"/>
          <w:spacing w:val="0"/>
          <w:sz w:val="20"/>
        </w:rPr>
        <w:t>ir</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carrying values as the instruments carried variable interest rates that approximated the market rates and were classified as level 2 in the fair value hierarchy. </w:t>
      </w:r>
    </w:p>
    <w:p>
      <w:pPr>
        <w:pStyle w:val="TextBody"/>
        <w:spacing w:before="120" w:after="0"/>
        <w:jc w:val="left"/>
        <w:rPr>
          <w:rFonts w:ascii="Times New Roman" w:hAnsi="Times New Roman"/>
          <w:sz w:val="20"/>
        </w:rPr>
      </w:pPr>
      <w:r>
        <w:rPr>
          <w:rFonts w:ascii="Times New Roman" w:hAnsi="Times New Roman"/>
          <w:sz w:val="20"/>
        </w:rPr>
        <w:t xml:space="preserve">As of December 31, 2022 and 2021, the Company did not have any </w:t>
      </w:r>
    </w:p>
    <w:p>
      <w:pPr>
        <w:pStyle w:val="TextBody"/>
        <w:spacing w:before="120" w:after="0"/>
        <w:jc w:val="left"/>
        <w:rPr>
          <w:rFonts w:ascii="Times New Roman" w:hAnsi="Times New Roman"/>
          <w:spacing w:val="0"/>
          <w:sz w:val="20"/>
        </w:rPr>
      </w:pPr>
      <w:r>
        <w:rPr>
          <w:rFonts w:ascii="Times New Roman" w:hAnsi="Times New Roman"/>
          <w:spacing w:val="0"/>
          <w:sz w:val="20"/>
        </w:rPr>
        <w:t>non-financial</w:t>
      </w:r>
    </w:p>
    <w:p>
      <w:pPr>
        <w:pStyle w:val="TextBody"/>
        <w:spacing w:before="120" w:after="0"/>
        <w:jc w:val="left"/>
        <w:rPr>
          <w:rFonts w:ascii="Times New Roman" w:hAnsi="Times New Roman"/>
          <w:sz w:val="20"/>
        </w:rPr>
      </w:pPr>
      <w:r>
        <w:rPr>
          <w:rFonts w:ascii="Times New Roman" w:hAnsi="Times New Roman"/>
          <w:sz w:val="20"/>
        </w:rPr>
        <w:t xml:space="preserve">assets or liabilities that were recognized or disclosed at fair value in the accompanying consolidated financial statements. </w:t>
      </w:r>
    </w:p>
    <w:p>
      <w:pPr>
        <w:pStyle w:val="TextBody"/>
        <w:spacing w:before="0" w:after="0"/>
        <w:jc w:val="left"/>
        <w:rPr>
          <w:spacing w:val="0"/>
        </w:rPr>
      </w:pPr>
      <w:r>
        <w:rPr>
          <w:spacing w:val="0"/>
        </w:rPr>
        <w:t> </w:t>
      </w:r>
    </w:p>
    <w:tbl>
      <w:tblPr>
        <w:tblW w:w="2515" w:type="dxa"/>
        <w:jc w:val="left"/>
        <w:tblInd w:w="0" w:type="dxa"/>
        <w:tblCellMar>
          <w:top w:w="0" w:type="dxa"/>
          <w:left w:w="0" w:type="dxa"/>
          <w:bottom w:w="0" w:type="dxa"/>
          <w:right w:w="0" w:type="dxa"/>
        </w:tblCellMar>
      </w:tblPr>
      <w:tblGrid>
        <w:gridCol w:w="335"/>
        <w:gridCol w:w="2180"/>
      </w:tblGrid>
      <w:tr>
        <w:trPr/>
        <w:tc>
          <w:tcPr>
            <w:tcW w:w="335" w:type="dxa"/>
            <w:tcBorders/>
            <w:shd w:fill="auto" w:val="clear"/>
            <w:vAlign w:val="center"/>
          </w:tcPr>
          <w:p>
            <w:pPr>
              <w:pStyle w:val="TableContents"/>
              <w:spacing w:before="0" w:after="0"/>
              <w:jc w:val="left"/>
              <w:rPr>
                <w:b/>
                <w:spacing w:val="0"/>
              </w:rPr>
            </w:pPr>
            <w:r>
              <w:rPr>
                <w:b/>
                <w:spacing w:val="0"/>
              </w:rPr>
              <w:t>16.</w:t>
            </w:r>
          </w:p>
        </w:tc>
        <w:tc>
          <w:tcPr>
            <w:tcW w:w="21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CAPITAL STRUCTURE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Treasury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Melco’s treasury shares represent new shares issued by Melco and the shares repurchased by Melco under the respective share repurchase programs. The treasury shares are mainly held by the depositary bank to facilitate the administration and operations of Melco’s share incentive plans, and are to be delivered to the directors, eligible employees and consultants on the vesting of restricted shares and upon the exercise of share options.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F-5</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470" w:type="dxa"/>
        <w:jc w:val="left"/>
        <w:tblInd w:w="0" w:type="dxa"/>
        <w:tblCellMar>
          <w:top w:w="0" w:type="dxa"/>
          <w:left w:w="0" w:type="dxa"/>
          <w:bottom w:w="0" w:type="dxa"/>
          <w:right w:w="0" w:type="dxa"/>
        </w:tblCellMar>
      </w:tblPr>
      <w:tblGrid>
        <w:gridCol w:w="335"/>
        <w:gridCol w:w="2135"/>
      </w:tblGrid>
      <w:tr>
        <w:trPr/>
        <w:tc>
          <w:tcPr>
            <w:tcW w:w="335" w:type="dxa"/>
            <w:tcBorders/>
            <w:shd w:fill="auto" w:val="clear"/>
            <w:vAlign w:val="center"/>
          </w:tcPr>
          <w:p>
            <w:pPr>
              <w:pStyle w:val="TableContents"/>
              <w:spacing w:before="0" w:after="0"/>
              <w:jc w:val="left"/>
              <w:rPr>
                <w:b/>
                <w:spacing w:val="0"/>
              </w:rPr>
            </w:pPr>
            <w:r>
              <w:rPr>
                <w:b/>
                <w:spacing w:val="0"/>
              </w:rPr>
              <w:t>16.</w:t>
            </w:r>
          </w:p>
        </w:tc>
        <w:tc>
          <w:tcPr>
            <w:tcW w:w="2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CAPITAL STRUCTURE</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Treasury Shares</w:t>
      </w:r>
    </w:p>
    <w:p>
      <w:pPr>
        <w:pStyle w:val="TextBody"/>
        <w:spacing w:before="120" w:after="0"/>
        <w:jc w:val="left"/>
        <w:rPr/>
      </w:pPr>
      <w:r>
        <w:rPr/>
        <w:t> </w:t>
      </w:r>
      <w:r>
        <w:rPr>
          <w:rFonts w:ascii="Times New Roman" w:hAnsi="Times New Roman"/>
          <w:sz w:val="20"/>
        </w:rPr>
        <w:t>- continued</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No ordinary</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shares were issued by Melco to its depositary bank for future vesting of restricted shares and exercise of share options during the years ended December 31, 2022, 2021 and 2020. Melco issued</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14,720,040</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0" w:after="0"/>
        <w:jc w:val="left"/>
        <w:rPr>
          <w:rFonts w:ascii="Times New Roman" w:hAnsi="Times New Roman"/>
          <w:sz w:val="20"/>
        </w:rPr>
      </w:pPr>
      <w:r>
        <w:rPr>
          <w:rFonts w:ascii="Times New Roman" w:hAnsi="Times New Roman"/>
          <w:sz w:val="20"/>
        </w:rPr>
        <w:t>6,042,543</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spacing w:before="0" w:after="0"/>
        <w:jc w:val="left"/>
        <w:rPr>
          <w:rFonts w:ascii="Times New Roman" w:hAnsi="Times New Roman"/>
          <w:sz w:val="20"/>
        </w:rPr>
      </w:pPr>
      <w:r>
        <w:rPr>
          <w:rFonts w:ascii="Times New Roman" w:hAnsi="Times New Roman"/>
          <w:sz w:val="20"/>
        </w:rPr>
        <w:t>2,694,507</w:t>
      </w:r>
    </w:p>
    <w:p>
      <w:pPr>
        <w:pStyle w:val="TextBody"/>
        <w:spacing w:before="0" w:after="0"/>
        <w:jc w:val="left"/>
        <w:rPr>
          <w:rFonts w:ascii="Times New Roman" w:hAnsi="Times New Roman"/>
          <w:spacing w:val="0"/>
          <w:sz w:val="20"/>
        </w:rPr>
      </w:pPr>
      <w:r>
        <w:rPr>
          <w:rFonts w:ascii="Times New Roman" w:hAnsi="Times New Roman"/>
          <w:spacing w:val="0"/>
          <w:sz w:val="20"/>
        </w:rPr>
        <w:t>ordinary shares upon vesting of restricted shares an</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 </w:t>
      </w:r>
    </w:p>
    <w:p>
      <w:pPr>
        <w:pStyle w:val="TextBody"/>
        <w:spacing w:before="0" w:after="0"/>
        <w:jc w:val="left"/>
        <w:rPr>
          <w:rFonts w:ascii="Times New Roman" w:hAnsi="Times New Roman"/>
          <w:sz w:val="20"/>
        </w:rPr>
      </w:pPr>
      <w:r>
        <w:rPr>
          <w:rFonts w:ascii="Times New Roman" w:hAnsi="Times New Roman"/>
          <w:sz w:val="20"/>
        </w:rPr>
        <w:t>nil</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0" w:after="0"/>
        <w:jc w:val="left"/>
        <w:rPr>
          <w:rFonts w:ascii="Times New Roman" w:hAnsi="Times New Roman"/>
          <w:sz w:val="20"/>
        </w:rPr>
      </w:pPr>
      <w:r>
        <w:rPr>
          <w:rFonts w:ascii="Times New Roman" w:hAnsi="Times New Roman"/>
          <w:sz w:val="20"/>
        </w:rPr>
        <w:t>2,478,594</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and </w:t>
      </w:r>
    </w:p>
    <w:p>
      <w:pPr>
        <w:pStyle w:val="TextBody"/>
        <w:spacing w:before="0" w:after="0"/>
        <w:jc w:val="left"/>
        <w:rPr>
          <w:rFonts w:ascii="Times New Roman" w:hAnsi="Times New Roman"/>
          <w:sz w:val="20"/>
        </w:rPr>
      </w:pPr>
      <w:r>
        <w:rPr>
          <w:rFonts w:ascii="Times New Roman" w:hAnsi="Times New Roman"/>
          <w:sz w:val="20"/>
        </w:rPr>
        <w:t>389,181</w:t>
      </w:r>
    </w:p>
    <w:p>
      <w:pPr>
        <w:pStyle w:val="TextBody"/>
        <w:spacing w:before="0" w:after="0"/>
        <w:jc w:val="left"/>
        <w:rPr>
          <w:rFonts w:ascii="Times New Roman" w:hAnsi="Times New Roman"/>
          <w:spacing w:val="0"/>
          <w:sz w:val="20"/>
        </w:rPr>
      </w:pPr>
      <w:r>
        <w:rPr>
          <w:rFonts w:ascii="Times New Roman" w:hAnsi="Times New Roman"/>
          <w:spacing w:val="0"/>
          <w:sz w:val="20"/>
        </w:rPr>
        <w:t>ordinary shares upon exercise of share options during the years ended December 31, 2022, 2021 and 2020, respectively.</w:t>
      </w:r>
    </w:p>
    <w:p>
      <w:pPr>
        <w:pStyle w:val="TextBody"/>
        <w:spacing w:before="120" w:after="0"/>
        <w:jc w:val="left"/>
        <w:rPr>
          <w:rFonts w:ascii="Times New Roman" w:hAnsi="Times New Roman"/>
          <w:sz w:val="20"/>
        </w:rPr>
      </w:pPr>
      <w:r>
        <w:rPr>
          <w:rFonts w:ascii="Times New Roman" w:hAnsi="Times New Roman"/>
          <w:sz w:val="20"/>
        </w:rPr>
        <w:t xml:space="preserve">On March 21, 2018, the Board of Directors of Melco authorized the repurchase of Melco’s ordinary shares and/or ADSs </w:t>
      </w:r>
    </w:p>
    <w:p>
      <w:pPr>
        <w:pStyle w:val="TextBody"/>
        <w:spacing w:before="120" w:after="0"/>
        <w:jc w:val="left"/>
        <w:rPr>
          <w:rFonts w:ascii="Times New Roman" w:hAnsi="Times New Roman"/>
          <w:spacing w:val="0"/>
          <w:sz w:val="20"/>
        </w:rPr>
      </w:pPr>
      <w:r>
        <w:rPr>
          <w:rFonts w:ascii="Times New Roman" w:hAnsi="Times New Roman"/>
          <w:spacing w:val="0"/>
          <w:sz w:val="20"/>
        </w:rPr>
        <w:t>for</w:t>
      </w:r>
    </w:p>
    <w:p>
      <w:pPr>
        <w:pStyle w:val="TextBody"/>
        <w:spacing w:before="120" w:after="0"/>
        <w:jc w:val="left"/>
        <w:rPr/>
      </w:pPr>
      <w:r>
        <w:rPr/>
        <w:t> </w:t>
      </w:r>
      <w:r>
        <w:rPr>
          <w:rFonts w:ascii="Times New Roman" w:hAnsi="Times New Roman"/>
          <w:sz w:val="20"/>
        </w:rPr>
        <w:t xml:space="preserve">up to an aggregate of $500,000 over a three-year period which commenced on March 21, 2018 under a share repurchase program. On November 8, 2018, the Board of Directors of Melco further authorized the repurchase of Melco’s ordinary shares and/or ADSs of up to an aggregate of $500,000 over a three-year period commenced on November 8, 2018 under an additional share repurchase program (this share repurchase program together with the share repurchase program authorized on March 21, 2018, the “2018 Share Repurchase Programs”). Purchases under the 2018 Share Repurchase Programs </w:t>
      </w:r>
    </w:p>
    <w:p>
      <w:pPr>
        <w:pStyle w:val="TextBody"/>
        <w:spacing w:before="120" w:after="0"/>
        <w:jc w:val="left"/>
        <w:rPr>
          <w:rFonts w:ascii="Times New Roman" w:hAnsi="Times New Roman"/>
          <w:spacing w:val="0"/>
          <w:sz w:val="20"/>
        </w:rPr>
      </w:pPr>
      <w:r>
        <w:rPr>
          <w:rFonts w:ascii="Times New Roman" w:hAnsi="Times New Roman"/>
          <w:spacing w:val="0"/>
          <w:sz w:val="20"/>
        </w:rPr>
        <w:t>could</w:t>
      </w:r>
    </w:p>
    <w:p>
      <w:pPr>
        <w:pStyle w:val="TextBody"/>
        <w:spacing w:before="120" w:after="0"/>
        <w:jc w:val="left"/>
        <w:rPr/>
      </w:pPr>
      <w:r>
        <w:rPr/>
        <w:t> </w:t>
      </w:r>
      <w:r>
        <w:rPr>
          <w:rFonts w:ascii="Times New Roman" w:hAnsi="Times New Roman"/>
          <w:sz w:val="20"/>
        </w:rPr>
        <w:t xml:space="preserve">be made from time to time on the open market at prevailing market prices, including pursuant to a trading plan in accordance with Rule </w:t>
      </w:r>
    </w:p>
    <w:p>
      <w:pPr>
        <w:pStyle w:val="TextBody"/>
        <w:spacing w:before="120" w:after="0"/>
        <w:jc w:val="left"/>
        <w:rPr>
          <w:rFonts w:ascii="Times New Roman" w:hAnsi="Times New Roman"/>
          <w:spacing w:val="0"/>
          <w:sz w:val="20"/>
        </w:rPr>
      </w:pPr>
      <w:r>
        <w:rPr>
          <w:rFonts w:ascii="Times New Roman" w:hAnsi="Times New Roman"/>
          <w:spacing w:val="0"/>
          <w:sz w:val="20"/>
        </w:rPr>
        <w:t>10b-18</w:t>
      </w:r>
    </w:p>
    <w:p>
      <w:pPr>
        <w:pStyle w:val="TextBody"/>
        <w:spacing w:before="120" w:after="0"/>
        <w:jc w:val="left"/>
        <w:rPr>
          <w:rFonts w:ascii="Times New Roman" w:hAnsi="Times New Roman"/>
          <w:sz w:val="20"/>
        </w:rPr>
      </w:pPr>
      <w:r>
        <w:rPr>
          <w:rFonts w:ascii="Times New Roman" w:hAnsi="Times New Roman"/>
          <w:sz w:val="20"/>
        </w:rPr>
        <w:t xml:space="preserve">of the U.S. Securities Exchange Act, and/or in privately-negotiated transactions. The timing and the amount of ordinary shares and/or ADSs purchased were determined by Melco’s management based on its evaluation of market conditions, trading prices, applicable securities laws and other factors. The share repurchase program that was authorized on March 21, 2018 expired on March 21, 2021. The 2021 Share Repurchase Program (as described below) is effective on June 2, 2021 and replaced the share repurchase program that was authorized on November 8, 2018 and originally due to expire in November 2021. </w:t>
      </w:r>
    </w:p>
    <w:p>
      <w:pPr>
        <w:pStyle w:val="TextBody"/>
        <w:spacing w:before="120" w:after="0"/>
        <w:jc w:val="left"/>
        <w:rPr>
          <w:rFonts w:ascii="Times New Roman" w:hAnsi="Times New Roman"/>
          <w:spacing w:val="0"/>
          <w:sz w:val="20"/>
        </w:rPr>
      </w:pPr>
      <w:r>
        <w:rPr>
          <w:rFonts w:ascii="Times New Roman" w:hAnsi="Times New Roman"/>
          <w:spacing w:val="0"/>
          <w:sz w:val="20"/>
        </w:rPr>
        <w:t>On June 2, 2021, the Board of Directors of Melco authorized the repurchase of Melco’s ordinary shares and/or ADSs of up to an aggregate of $500,000 over a three-year</w:t>
      </w:r>
    </w:p>
    <w:p>
      <w:pPr>
        <w:pStyle w:val="TextBody"/>
        <w:spacing w:before="120" w:after="0"/>
        <w:jc w:val="left"/>
        <w:rPr>
          <w:spacing w:val="0"/>
        </w:rPr>
      </w:pPr>
      <w:r>
        <w:rPr>
          <w:spacing w:val="0"/>
        </w:rPr>
        <w:t> </w:t>
      </w:r>
      <w:r>
        <w:rPr>
          <w:rFonts w:ascii="Times New Roman" w:hAnsi="Times New Roman"/>
          <w:spacing w:val="0"/>
          <w:sz w:val="20"/>
        </w:rPr>
        <w:t>perio</w:t>
      </w:r>
    </w:p>
    <w:p>
      <w:pPr>
        <w:pStyle w:val="TextBody"/>
        <w:spacing w:before="120" w:after="0"/>
        <w:jc w:val="left"/>
        <w:rPr>
          <w:rFonts w:ascii="Times New Roman" w:hAnsi="Times New Roman"/>
          <w:spacing w:val="0"/>
          <w:sz w:val="20"/>
        </w:rPr>
      </w:pPr>
      <w:r>
        <w:rPr>
          <w:rFonts w:ascii="Times New Roman" w:hAnsi="Times New Roman"/>
          <w:spacing w:val="0"/>
          <w:sz w:val="20"/>
        </w:rPr>
        <w:t>d</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which commenced on June 2, 2021 under a share repurchase program (the “2021 Share Repurchase Program”). Purchases under the 2021 Share Repurchase Program may be made from time to time on the open market at prevailing market prices, including pursuant to a trading plan in accordance with Rule </w:t>
      </w:r>
    </w:p>
    <w:p>
      <w:pPr>
        <w:pStyle w:val="TextBody"/>
        <w:spacing w:before="120" w:after="0"/>
        <w:jc w:val="left"/>
        <w:rPr>
          <w:rFonts w:ascii="Times New Roman" w:hAnsi="Times New Roman"/>
          <w:spacing w:val="0"/>
          <w:sz w:val="20"/>
        </w:rPr>
      </w:pPr>
      <w:r>
        <w:rPr>
          <w:rFonts w:ascii="Times New Roman" w:hAnsi="Times New Roman"/>
          <w:spacing w:val="0"/>
          <w:sz w:val="20"/>
        </w:rPr>
        <w:t>10b-18</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and/or Rule </w:t>
      </w:r>
    </w:p>
    <w:p>
      <w:pPr>
        <w:pStyle w:val="TextBody"/>
        <w:spacing w:before="120" w:after="0"/>
        <w:jc w:val="left"/>
        <w:rPr>
          <w:rFonts w:ascii="Times New Roman" w:hAnsi="Times New Roman"/>
          <w:spacing w:val="0"/>
          <w:sz w:val="20"/>
        </w:rPr>
      </w:pPr>
      <w:r>
        <w:rPr>
          <w:rFonts w:ascii="Times New Roman" w:hAnsi="Times New Roman"/>
          <w:spacing w:val="0"/>
          <w:sz w:val="20"/>
        </w:rPr>
        <w:t>10b5-1</w:t>
      </w:r>
    </w:p>
    <w:p>
      <w:pPr>
        <w:pStyle w:val="TextBody"/>
        <w:spacing w:before="120" w:after="0"/>
        <w:jc w:val="left"/>
        <w:rPr>
          <w:rFonts w:ascii="Times New Roman" w:hAnsi="Times New Roman"/>
          <w:spacing w:val="0"/>
          <w:sz w:val="20"/>
        </w:rPr>
      </w:pPr>
      <w:r>
        <w:rPr>
          <w:rFonts w:ascii="Times New Roman" w:hAnsi="Times New Roman"/>
          <w:spacing w:val="0"/>
          <w:sz w:val="20"/>
        </w:rPr>
        <w:t>of the U.S. Securities Exchange Act, and/or in privately-negotiated transactions. The timing and the amount of ordinary shares and/or ADSs purchased were determined by Melco’s management based on its evaluation of market conditions, trading prices, applicable securities laws and other factors. The 2021 Share Repurchase Program may be suspended, modified or terminated by Melco at any time prior to its expiration.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On Augus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 18, 2022, Melco, Melco International and Melco Leisure and Entertainment Group Limited (“Melco Leisure”), a subsidiary of Melco International, entered into a share repurchase agreement, pursuant to which Melco agreed to repurchase 9,995,799 ordinary shares of Melco and 25,000,000 ADSs of Melco (equivalent to 75,000,000 ordinary shares) from Melco Leisure (the “Share Repurchase”). On August 26, 2022, the Share Repurchase was completed for an aggregate consideration of $152,709, which represents an average price of $1.7967 per share or $5.39 per ADS. Following the completion of the Share Repurchase, 9,995,799 ordinary shares of Melco were retired (the “Share Retirement”).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addition to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Share Repurchase and the Share Retirement as described above, 5,929,076 ADSs, equivalent to 17,787,228 ordinary shares were repurchased under the 2021 Share Repurchase Program, of which 1,500,000 ordinary shares repurchased were retired during the year ended December 31, 2022. During the year ended December 31, 2021, 5,372,045 ADSs, equivalent to 16,116,135 ordinary shares were repurchased under the 2021 Share Repurchase Program, of which nil ordinary shares repurchased were retired. During the year ended December 31, 2020, 3,148,824 ADSs, equivalent to 9,446,472 ordinary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jc w:val="left"/>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470" w:type="dxa"/>
        <w:jc w:val="left"/>
        <w:tblInd w:w="0" w:type="dxa"/>
        <w:tblCellMar>
          <w:top w:w="0" w:type="dxa"/>
          <w:left w:w="0" w:type="dxa"/>
          <w:bottom w:w="0" w:type="dxa"/>
          <w:right w:w="0" w:type="dxa"/>
        </w:tblCellMar>
      </w:tblPr>
      <w:tblGrid>
        <w:gridCol w:w="335"/>
        <w:gridCol w:w="2135"/>
      </w:tblGrid>
      <w:tr>
        <w:trPr/>
        <w:tc>
          <w:tcPr>
            <w:tcW w:w="335" w:type="dxa"/>
            <w:tcBorders/>
            <w:shd w:fill="auto" w:val="clear"/>
            <w:vAlign w:val="center"/>
          </w:tcPr>
          <w:p>
            <w:pPr>
              <w:pStyle w:val="TableContents"/>
              <w:spacing w:before="0" w:after="0"/>
              <w:jc w:val="left"/>
              <w:rPr>
                <w:b/>
                <w:spacing w:val="0"/>
              </w:rPr>
            </w:pPr>
            <w:r>
              <w:rPr>
                <w:b/>
                <w:spacing w:val="0"/>
              </w:rPr>
              <w:t>16.</w:t>
            </w:r>
          </w:p>
        </w:tc>
        <w:tc>
          <w:tcPr>
            <w:tcW w:w="2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CAPITAL STRUCTURE</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Treasury Shares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shares were repurchased under the 2018 Share Repurchase Programs, of which nil ordinary shares repurchased were </w:t>
      </w:r>
    </w:p>
    <w:p>
      <w:pPr>
        <w:pStyle w:val="TextBody"/>
        <w:spacing w:before="120" w:after="0"/>
        <w:jc w:val="left"/>
        <w:rPr>
          <w:rFonts w:ascii="Times New Roman" w:hAnsi="Times New Roman"/>
          <w:spacing w:val="0"/>
          <w:sz w:val="20"/>
        </w:rPr>
      </w:pPr>
      <w:r>
        <w:rPr>
          <w:rFonts w:ascii="Times New Roman" w:hAnsi="Times New Roman"/>
          <w:spacing w:val="0"/>
          <w:sz w:val="20"/>
        </w:rPr>
        <w:t>retired.</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As of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December 31, 2022 and 2021, Melco had 1,445,052,143 and 1,456,547,942 issued ordinary shares, and 109,744,816 and 33,177,628 treasury shares, with 1,335,307,327 and 1,423,370,314 ordinary shares outstanding, respectively. </w:t>
      </w:r>
    </w:p>
    <w:p>
      <w:pPr>
        <w:pStyle w:val="TextBody"/>
        <w:spacing w:before="0" w:after="0"/>
        <w:jc w:val="left"/>
        <w:rPr>
          <w:spacing w:val="0"/>
        </w:rPr>
      </w:pPr>
      <w:r>
        <w:rPr>
          <w:spacing w:val="0"/>
        </w:rPr>
        <w:t> </w:t>
      </w:r>
    </w:p>
    <w:tbl>
      <w:tblPr>
        <w:tblW w:w="1915" w:type="dxa"/>
        <w:jc w:val="left"/>
        <w:tblInd w:w="0" w:type="dxa"/>
        <w:tblCellMar>
          <w:top w:w="0" w:type="dxa"/>
          <w:left w:w="0" w:type="dxa"/>
          <w:bottom w:w="0" w:type="dxa"/>
          <w:right w:w="0" w:type="dxa"/>
        </w:tblCellMar>
      </w:tblPr>
      <w:tblGrid>
        <w:gridCol w:w="335"/>
        <w:gridCol w:w="1580"/>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15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INCOME TAXES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Loss before income tax </w:t>
      </w:r>
    </w:p>
    <w:p>
      <w:pPr>
        <w:pStyle w:val="TextBody"/>
        <w:spacing w:before="120" w:after="0"/>
        <w:jc w:val="left"/>
        <w:rPr>
          <w:rFonts w:ascii="Times New Roman" w:hAnsi="Times New Roman"/>
          <w:spacing w:val="0"/>
          <w:sz w:val="20"/>
        </w:rPr>
      </w:pPr>
      <w:r>
        <w:rPr>
          <w:rFonts w:ascii="Times New Roman" w:hAnsi="Times New Roman"/>
          <w:spacing w:val="0"/>
          <w:sz w:val="20"/>
        </w:rPr>
        <w:t>consisted of:</w:t>
      </w:r>
    </w:p>
    <w:p>
      <w:pPr>
        <w:pStyle w:val="TextBody"/>
        <w:spacing w:before="0" w:after="0"/>
        <w:ind w:left="0" w:right="0" w:hanging="0"/>
        <w:jc w:val="left"/>
        <w:rPr>
          <w:spacing w:val="0"/>
        </w:rPr>
      </w:pPr>
      <w:r>
        <w:rPr>
          <w:spacing w:val="0"/>
        </w:rPr>
        <w:t> </w:t>
      </w:r>
    </w:p>
    <w:tbl>
      <w:tblPr>
        <w:tblW w:w="7835" w:type="dxa"/>
        <w:jc w:val="left"/>
        <w:tblInd w:w="0" w:type="dxa"/>
        <w:tblCellMar>
          <w:top w:w="0" w:type="dxa"/>
          <w:left w:w="0" w:type="dxa"/>
          <w:bottom w:w="0" w:type="dxa"/>
          <w:right w:w="0" w:type="dxa"/>
        </w:tblCellMar>
      </w:tblPr>
      <w:tblGrid>
        <w:gridCol w:w="2450"/>
        <w:gridCol w:w="120"/>
        <w:gridCol w:w="140"/>
        <w:gridCol w:w="1055"/>
        <w:gridCol w:w="95"/>
        <w:gridCol w:w="120"/>
        <w:gridCol w:w="140"/>
        <w:gridCol w:w="1595"/>
        <w:gridCol w:w="155"/>
        <w:gridCol w:w="60"/>
        <w:gridCol w:w="140"/>
        <w:gridCol w:w="1595"/>
        <w:gridCol w:w="170"/>
      </w:tblGrid>
      <w:tr>
        <w:trPr/>
        <w:tc>
          <w:tcPr>
            <w:tcW w:w="24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095"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245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73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73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24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 operations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(720,470</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595" w:type="dxa"/>
            <w:tcBorders/>
            <w:shd w:fill="CCEEFF" w:val="clear"/>
            <w:vAlign w:val="center"/>
          </w:tcPr>
          <w:p>
            <w:pPr>
              <w:pStyle w:val="TableContents"/>
              <w:spacing w:before="0" w:after="283"/>
              <w:jc w:val="right"/>
              <w:rPr/>
            </w:pPr>
            <w:r>
              <w:rPr/>
              <w:t>            </w:t>
            </w:r>
            <w:r>
              <w:rPr/>
              <w:t>(456,089</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595" w:type="dxa"/>
            <w:tcBorders/>
            <w:shd w:fill="CCEEFF" w:val="clear"/>
            <w:vAlign w:val="center"/>
          </w:tcPr>
          <w:p>
            <w:pPr>
              <w:pStyle w:val="TableContents"/>
              <w:spacing w:before="0" w:after="283"/>
              <w:jc w:val="right"/>
              <w:rPr/>
            </w:pPr>
            <w:r>
              <w:rPr/>
              <w:t>            </w:t>
            </w:r>
            <w:r>
              <w:rPr/>
              <w:t>(772,988</w:t>
            </w:r>
          </w:p>
        </w:tc>
        <w:tc>
          <w:tcPr>
            <w:tcW w:w="170"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Hong Kong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(400,725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jc w:val="right"/>
              <w:rPr/>
            </w:pPr>
            <w:r>
              <w:rPr/>
              <w:t>(434,618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jc w:val="right"/>
              <w:rPr/>
            </w:pPr>
            <w:r>
              <w:rPr/>
              <w:t>(342,715</w:t>
            </w:r>
          </w:p>
        </w:tc>
        <w:tc>
          <w:tcPr>
            <w:tcW w:w="170"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Philippine operations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28,204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5" w:type="dxa"/>
            <w:tcBorders/>
            <w:shd w:fill="CCEEFF" w:val="clear"/>
            <w:vAlign w:val="center"/>
          </w:tcPr>
          <w:p>
            <w:pPr>
              <w:pStyle w:val="TableContents"/>
              <w:spacing w:before="0" w:after="283"/>
              <w:jc w:val="right"/>
              <w:rPr/>
            </w:pPr>
            <w:r>
              <w:rPr/>
              <w:t>(51,436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5" w:type="dxa"/>
            <w:tcBorders/>
            <w:shd w:fill="CCEEFF" w:val="clear"/>
            <w:vAlign w:val="center"/>
          </w:tcPr>
          <w:p>
            <w:pPr>
              <w:pStyle w:val="TableContents"/>
              <w:spacing w:before="0" w:after="283"/>
              <w:jc w:val="right"/>
              <w:rPr/>
            </w:pPr>
            <w:r>
              <w:rPr/>
              <w:t>(102,990</w:t>
            </w:r>
          </w:p>
        </w:tc>
        <w:tc>
          <w:tcPr>
            <w:tcW w:w="170"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3,152</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jc w:val="right"/>
              <w:rPr/>
            </w:pPr>
            <w:r>
              <w:rPr/>
              <w:t>(13,454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595" w:type="dxa"/>
            <w:tcBorders/>
            <w:shd w:fill="auto" w:val="clear"/>
            <w:vAlign w:val="center"/>
          </w:tcPr>
          <w:p>
            <w:pPr>
              <w:pStyle w:val="TableContents"/>
              <w:spacing w:before="0" w:after="283"/>
              <w:jc w:val="right"/>
              <w:rPr/>
            </w:pPr>
            <w:r>
              <w:rPr/>
              <w:t>(11,190</w:t>
            </w:r>
          </w:p>
        </w:tc>
        <w:tc>
          <w:tcPr>
            <w:tcW w:w="170" w:type="dxa"/>
            <w:tcBorders/>
            <w:shd w:fill="auto" w:val="clear"/>
            <w:vAlign w:val="center"/>
          </w:tcPr>
          <w:p>
            <w:pPr>
              <w:pStyle w:val="TableContents"/>
              <w:spacing w:before="0" w:after="283"/>
              <w:rPr/>
            </w:pPr>
            <w:r>
              <w:rPr/>
              <w:t>) </w:t>
            </w:r>
          </w:p>
        </w:tc>
      </w:tr>
      <w:tr>
        <w:trPr/>
        <w:tc>
          <w:tcPr>
            <w:tcW w:w="24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jurisdictions operations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r>
              <w:rPr/>
              <w:t>(2,092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5" w:type="dxa"/>
            <w:tcBorders/>
            <w:shd w:fill="CCEEFF" w:val="clear"/>
            <w:vAlign w:val="center"/>
          </w:tcPr>
          <w:p>
            <w:pPr>
              <w:pStyle w:val="TableContents"/>
              <w:spacing w:before="0" w:after="283"/>
              <w:jc w:val="right"/>
              <w:rPr/>
            </w:pPr>
            <w:r>
              <w:rPr/>
              <w:t>2,018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595" w:type="dxa"/>
            <w:tcBorders/>
            <w:shd w:fill="CCEEFF" w:val="clear"/>
            <w:vAlign w:val="center"/>
          </w:tcPr>
          <w:p>
            <w:pPr>
              <w:pStyle w:val="TableContents"/>
              <w:spacing w:before="0" w:after="283"/>
              <w:jc w:val="right"/>
              <w:rPr/>
            </w:pPr>
            <w:r>
              <w:rPr/>
              <w:t>(227,644</w:t>
            </w:r>
          </w:p>
        </w:tc>
        <w:tc>
          <w:tcPr>
            <w:tcW w:w="170" w:type="dxa"/>
            <w:tcBorders/>
            <w:shd w:fill="CCEEFF"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before income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(1,091,931</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595" w:type="dxa"/>
            <w:tcBorders/>
            <w:shd w:fill="auto" w:val="clear"/>
            <w:vAlign w:val="center"/>
          </w:tcPr>
          <w:p>
            <w:pPr>
              <w:pStyle w:val="TableContents"/>
              <w:spacing w:before="0" w:after="283"/>
              <w:jc w:val="right"/>
              <w:rPr/>
            </w:pPr>
            <w:r>
              <w:rPr/>
              <w:t>(953,579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595" w:type="dxa"/>
            <w:tcBorders/>
            <w:shd w:fill="auto" w:val="clear"/>
            <w:vAlign w:val="center"/>
          </w:tcPr>
          <w:p>
            <w:pPr>
              <w:pStyle w:val="TableContents"/>
              <w:spacing w:before="0" w:after="283"/>
              <w:jc w:val="right"/>
              <w:rPr/>
            </w:pPr>
            <w:r>
              <w:rPr/>
              <w:t>(1,457,527</w:t>
            </w:r>
          </w:p>
        </w:tc>
        <w:tc>
          <w:tcPr>
            <w:tcW w:w="170" w:type="dxa"/>
            <w:tcBorders/>
            <w:shd w:fill="auto" w:val="clear"/>
            <w:vAlign w:val="center"/>
          </w:tcPr>
          <w:p>
            <w:pPr>
              <w:pStyle w:val="TableContents"/>
              <w:spacing w:before="0" w:after="283"/>
              <w:rPr/>
            </w:pPr>
            <w:r>
              <w:rPr/>
              <w:t>) </w:t>
            </w:r>
          </w:p>
        </w:tc>
      </w:tr>
      <w:tr>
        <w:trPr/>
        <w:tc>
          <w:tcPr>
            <w:tcW w:w="24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spacing w:before="0" w:after="0"/>
        <w:jc w:val="left"/>
        <w:rPr>
          <w:spacing w:val="0"/>
        </w:rPr>
      </w:pPr>
      <w:r>
        <w:rPr>
          <w:spacing w:val="0"/>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income tax expense (benefit) consisted of: </w:t>
      </w:r>
    </w:p>
    <w:p>
      <w:pPr>
        <w:pStyle w:val="TextBody"/>
        <w:spacing w:before="0" w:after="0"/>
        <w:jc w:val="left"/>
        <w:rPr>
          <w:spacing w:val="0"/>
        </w:rPr>
      </w:pPr>
      <w:r>
        <w:rPr>
          <w:spacing w:val="0"/>
        </w:rPr>
        <w:t> </w:t>
      </w:r>
    </w:p>
    <w:tbl>
      <w:tblPr>
        <w:tblW w:w="8690" w:type="dxa"/>
        <w:jc w:val="left"/>
        <w:tblInd w:w="0" w:type="dxa"/>
        <w:tblCellMar>
          <w:top w:w="0" w:type="dxa"/>
          <w:left w:w="0" w:type="dxa"/>
          <w:bottom w:w="0" w:type="dxa"/>
          <w:right w:w="0" w:type="dxa"/>
        </w:tblCellMar>
      </w:tblPr>
      <w:tblGrid>
        <w:gridCol w:w="5090"/>
        <w:gridCol w:w="120"/>
        <w:gridCol w:w="140"/>
        <w:gridCol w:w="560"/>
        <w:gridCol w:w="95"/>
        <w:gridCol w:w="120"/>
        <w:gridCol w:w="140"/>
        <w:gridCol w:w="920"/>
        <w:gridCol w:w="155"/>
        <w:gridCol w:w="60"/>
        <w:gridCol w:w="140"/>
        <w:gridCol w:w="980"/>
        <w:gridCol w:w="170"/>
      </w:tblGrid>
      <w:tr>
        <w:trPr/>
        <w:tc>
          <w:tcPr>
            <w:tcW w:w="50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0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31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09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 - current:</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560"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2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 Complementary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172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6,402</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Lump sum in lieu of Macau Complementary Tax on dividends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2,342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2,359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2,367</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Hong Kong Profits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528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48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38</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Philippine Corporate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59</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Philippine withholding tax on dividends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2,937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 Corporate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188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in other jurisdictions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219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323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2,182</w:t>
            </w:r>
          </w:p>
        </w:tc>
        <w:tc>
          <w:tcPr>
            <w:tcW w:w="170"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3,103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6,028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11,048</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Over provision of income taxes in prior years: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 Complementary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(560</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(874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(544</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Hong Kong Profits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Philippine Corporate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300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 Corporate Income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58</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in other jurisdictions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r>
              <w:rPr/>
              <w:t>98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           </w:t>
            </w:r>
            <w:r>
              <w:rPr/>
              <w:t>14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r>
              <w:rPr/>
              <w:t>482</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(166</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(904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w:t>
            </w:r>
          </w:p>
        </w:tc>
        <w:tc>
          <w:tcPr>
            <w:tcW w:w="170"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Income tax expense (benefit) - deferred: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 Complementary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(768</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(4,535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(9,762</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Hong Kong Profits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3,276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2,493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(26</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Philippine Corporate Income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(258</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209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(3,774</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 Corporate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(578</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(64</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in other jurisdictions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627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(406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(324</w:t>
            </w:r>
          </w:p>
        </w:tc>
        <w:tc>
          <w:tcPr>
            <w:tcW w:w="170"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2,299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(2,239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(13,950</w:t>
            </w:r>
          </w:p>
        </w:tc>
        <w:tc>
          <w:tcPr>
            <w:tcW w:w="170" w:type="dxa"/>
            <w:tcBorders/>
            <w:shd w:fill="CCEEFF"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Total income tax expense (benefit)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560" w:type="dxa"/>
            <w:tcBorders/>
            <w:shd w:fill="auto" w:val="clear"/>
            <w:vAlign w:val="center"/>
          </w:tcPr>
          <w:p>
            <w:pPr>
              <w:pStyle w:val="TableContents"/>
              <w:spacing w:before="0" w:after="283"/>
              <w:jc w:val="right"/>
              <w:rPr/>
            </w:pPr>
            <w:r>
              <w:rPr/>
              <w:t>5,236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2,885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(2,913</w:t>
            </w:r>
          </w:p>
        </w:tc>
        <w:tc>
          <w:tcPr>
            <w:tcW w:w="170" w:type="dxa"/>
            <w:tcBorders/>
            <w:shd w:fill="auto" w:val="clear"/>
            <w:vAlign w:val="center"/>
          </w:tcPr>
          <w:p>
            <w:pPr>
              <w:pStyle w:val="TableContents"/>
              <w:spacing w:before="0" w:after="283"/>
              <w:rPr/>
            </w:pPr>
            <w:r>
              <w:rPr/>
              <w:t>) </w:t>
            </w:r>
          </w:p>
        </w:tc>
      </w:tr>
      <w:tr>
        <w:trPr/>
        <w:tc>
          <w:tcPr>
            <w:tcW w:w="5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A reconciliation of the income tax expense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benefit</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 from loss before income tax per the accompanying consolidated statements of operations is as follows: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540"/>
        <w:gridCol w:w="120"/>
        <w:gridCol w:w="140"/>
        <w:gridCol w:w="1055"/>
        <w:gridCol w:w="275"/>
        <w:gridCol w:w="60"/>
        <w:gridCol w:w="140"/>
        <w:gridCol w:w="1055"/>
        <w:gridCol w:w="275"/>
        <w:gridCol w:w="60"/>
        <w:gridCol w:w="140"/>
        <w:gridCol w:w="1055"/>
        <w:gridCol w:w="290"/>
      </w:tblGrid>
      <w:tr>
        <w:trPr/>
        <w:tc>
          <w:tcPr>
            <w:tcW w:w="5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4255"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290" w:type="dxa"/>
            <w:tcBorders/>
            <w:shd w:fill="auto" w:val="clear"/>
            <w:vAlign w:val="center"/>
          </w:tcPr>
          <w:p>
            <w:pPr>
              <w:pStyle w:val="TableContents"/>
              <w:spacing w:before="0" w:after="0"/>
              <w:rPr>
                <w:spacing w:val="0"/>
              </w:rPr>
            </w:pPr>
            <w:r>
              <w:rPr>
                <w:spacing w:val="0"/>
              </w:rPr>
              <w:t> </w:t>
            </w:r>
          </w:p>
        </w:tc>
      </w:tr>
      <w:tr>
        <w:trPr/>
        <w:tc>
          <w:tcPr>
            <w:tcW w:w="554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     </w:t>
            </w:r>
            <w:r>
              <w:rPr>
                <w:spacing w:val="0"/>
              </w:rPr>
              <w:t>2022     </w:t>
            </w:r>
          </w:p>
        </w:tc>
        <w:tc>
          <w:tcPr>
            <w:tcW w:w="27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27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290" w:type="dxa"/>
            <w:tcBorders/>
            <w:shd w:fill="auto" w:val="clear"/>
            <w:vAlign w:val="center"/>
          </w:tcPr>
          <w:p>
            <w:pPr>
              <w:pStyle w:val="TableContents"/>
              <w:spacing w:before="0" w:after="0"/>
              <w:rPr>
                <w:spacing w:val="0"/>
              </w:rPr>
            </w:pPr>
            <w:r>
              <w:rPr>
                <w:spacing w:val="0"/>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before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(1,091,931</w:t>
            </w:r>
          </w:p>
        </w:tc>
        <w:tc>
          <w:tcPr>
            <w:tcW w:w="27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   </w:t>
            </w:r>
            <w:r>
              <w:rPr/>
              <w:t>(953,579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(1,457,527</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 Complementary Tax rate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12</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Income tax </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benefit</w:t>
            </w:r>
          </w:p>
          <w:p>
            <w:pPr>
              <w:pStyle w:val="TableContents"/>
              <w:spacing w:before="0" w:after="0"/>
              <w:ind w:left="0" w:right="0" w:hanging="0"/>
              <w:rPr>
                <w:spacing w:val="0"/>
              </w:rPr>
            </w:pPr>
            <w:r>
              <w:rPr>
                <w:spacing w:val="0"/>
              </w:rPr>
              <w:t> </w:t>
            </w:r>
            <w:r>
              <w:rPr>
                <w:rFonts w:ascii="Times New Roman" w:hAnsi="Times New Roman"/>
                <w:spacing w:val="0"/>
                <w:sz w:val="20"/>
              </w:rPr>
              <w:t>at Macau Complementary Tax rate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(131,032</w:t>
            </w:r>
          </w:p>
        </w:tc>
        <w:tc>
          <w:tcPr>
            <w:tcW w:w="27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(114,429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(174,903</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Lump sum in lieu of Macau Complementary Tax on dividends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2,342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2,359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2,367</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different tax rates of subsidiaries operating in other jurisdictions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(12,271</w:t>
            </w:r>
          </w:p>
        </w:tc>
        <w:tc>
          <w:tcPr>
            <w:tcW w:w="27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(31,653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(36,938</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Over provision in prior years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(166</w:t>
            </w:r>
          </w:p>
        </w:tc>
        <w:tc>
          <w:tcPr>
            <w:tcW w:w="27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(904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(11</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income for which no income tax expense is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(11,727</w:t>
            </w:r>
          </w:p>
        </w:tc>
        <w:tc>
          <w:tcPr>
            <w:tcW w:w="27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(6,308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(8,171</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expenses for which no income tax benefit is receivable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70,687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101,111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107,037</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profits generated by gaming operations exempted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(25,700</w:t>
            </w:r>
          </w:p>
        </w:tc>
        <w:tc>
          <w:tcPr>
            <w:tcW w:w="27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(10,851</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 of tax losses that cannot be carried forward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15,553</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6,742</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32,605</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in valuation allowances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xml:space="preserve">48,122 </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(13,360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32,166</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income tax rate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16,521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Expired tax losses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49,428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53,657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42,935</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 (</w:t>
            </w:r>
          </w:p>
          <w:p>
            <w:pPr>
              <w:pStyle w:val="TableContents"/>
              <w:spacing w:before="0" w:after="0"/>
              <w:ind w:left="0" w:right="0" w:hanging="0"/>
              <w:rPr>
                <w:rFonts w:ascii="Times New Roman" w:hAnsi="Times New Roman"/>
                <w:spacing w:val="0"/>
                <w:sz w:val="20"/>
              </w:rPr>
            </w:pPr>
            <w:r>
              <w:rPr>
                <w:rFonts w:ascii="Times New Roman" w:hAnsi="Times New Roman"/>
                <w:spacing w:val="0"/>
                <w:sz w:val="20"/>
              </w:rPr>
              <w:t>benefit</w:t>
            </w:r>
          </w:p>
          <w:p>
            <w:pPr>
              <w:pStyle w:val="TableContents"/>
              <w:spacing w:before="0" w:after="0"/>
              <w:rPr>
                <w:rFonts w:ascii="Times New Roman" w:hAnsi="Times New Roman"/>
                <w:spacing w:val="0"/>
                <w:sz w:val="20"/>
              </w:rPr>
            </w:pPr>
            <w:r>
              <w:rPr>
                <w:rFonts w:ascii="Times New Roman" w:hAnsi="Times New Roman"/>
                <w:spacing w:val="0"/>
                <w:sz w:val="20"/>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5,236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2,885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(2,913</w:t>
            </w:r>
          </w:p>
        </w:tc>
        <w:tc>
          <w:tcPr>
            <w:tcW w:w="290" w:type="dxa"/>
            <w:tcBorders/>
            <w:shd w:fill="auto"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Melco and certain of its subsidiaries are exempt from tax in the Cayman Islands or British Virgin Islands, where they are incorporated, while Melco is subject to Hong Kong Profits Tax on profits from its activities conducted in Hong Kong. Certain subsidiaries incorporated or conducting businesses in Macau, Hong Kong, the Philippines, Cyprus and other jurisdictions are subject to Macau Complementary Tax, Hong Kong Profits Tax, Philippine Corporate Income Tax, Cyprus Corporate Income Tax and income tax in other jurisdictions, respectively, during the years ended December 31, 2022, 2021 and 2020. </w:t>
      </w:r>
    </w:p>
    <w:p>
      <w:pPr>
        <w:pStyle w:val="TextBody"/>
        <w:spacing w:before="120" w:after="0"/>
        <w:jc w:val="left"/>
        <w:rPr>
          <w:rFonts w:ascii="Times New Roman" w:hAnsi="Times New Roman"/>
          <w:spacing w:val="0"/>
          <w:sz w:val="20"/>
        </w:rPr>
      </w:pPr>
      <w:r>
        <w:rPr>
          <w:rFonts w:ascii="Times New Roman" w:hAnsi="Times New Roman"/>
          <w:spacing w:val="0"/>
          <w:sz w:val="20"/>
        </w:rPr>
        <w:t>Macau Complementary Tax, Hong Kong Profits Tax, Cyprus Corporate Income Tax and income tax in other jurisdictions have been provided at 12%, 16.5%, 12.5% and the respective tax rates in other jurisdictions, on the estimated taxable income earned in or derived from the respective jurisdictions, during the years ended December 31, 2022, 2021 and 2020, if applicable.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March 26, 2021, the Corporate Recovery and Tax Incentives for Enterprises (“CREATE”) was signed by President Duterte of the Philippines as Republic Act (RA) No. 11534 and took effect on April 11, 2021. CREATE reduced the minimum corporate income tax in the Philippines from 2% to 1% starting July 1, 2020 until June 30, 2023 and the corporate income tax rate in the Philippines from 30% to 25% starting July 1, 2020.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approval notice issued by the Macau government in September 2016, Melco Resorts Macau was granted an extension of the Macau Complementary Tax exemption on profits generated from gaming operations for an additional five years from 2017 to 2021. Studio City Entertainment was also exempted from Macau Complementary Tax on profits generated from income received from Melco Resorts Macau for an additional five years from 2017 to 2021, to the extent that such income is derived from Studio City gaming operations and had been subject to gaming tax pursuant to a notice issued by the Macau government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59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January 2017. The exemption coincided with Melco Resorts Macau’s exemption from Macau Complementary Tax. Pursuant to Dispatch of the Macau Chief Executive dated February 17, 2022 and September 1, 2022, Melco Resorts Macau was granted an extension of the Macau Complementary Tax exemption on profits generated from gaming operations for the period from January 1, 2022 to June 26, 2022 and from June 27, 2022 to December 31, 2022, respectively. Melco Resorts Macau applied for the Macau Complementary Tax exemption on profits generated from gaming operations for the period from January 1, 2023 to December 31, 2027 and Studio City Entertainment applied for an extension of the Macau Complementary Tax exemption for 2022 and for the period from January 1, 2023 through December 31, 2027. Both applications are currently pending approval by the Macau government. The </w:t>
      </w:r>
    </w:p>
    <w:p>
      <w:pPr>
        <w:pStyle w:val="TextBody"/>
        <w:spacing w:before="0" w:after="0"/>
        <w:jc w:val="left"/>
        <w:rPr>
          <w:rFonts w:ascii="Times New Roman" w:hAnsi="Times New Roman"/>
          <w:spacing w:val="0"/>
          <w:sz w:val="20"/>
        </w:rPr>
      </w:pPr>
      <w:r>
        <w:rPr>
          <w:rFonts w:ascii="Times New Roman" w:hAnsi="Times New Roman"/>
          <w:spacing w:val="0"/>
          <w:sz w:val="20"/>
        </w:rPr>
        <w:t>non-gaming</w:t>
      </w:r>
    </w:p>
    <w:p>
      <w:pPr>
        <w:pStyle w:val="TextBody"/>
        <w:spacing w:before="0" w:after="0"/>
        <w:jc w:val="left"/>
        <w:rPr>
          <w:rFonts w:ascii="Times New Roman" w:hAnsi="Times New Roman"/>
          <w:sz w:val="20"/>
        </w:rPr>
      </w:pPr>
      <w:r>
        <w:rPr>
          <w:rFonts w:ascii="Times New Roman" w:hAnsi="Times New Roman"/>
          <w:sz w:val="20"/>
        </w:rPr>
        <w:t xml:space="preserve">profits and dividend distributions of Studio City Entertainment to its shareholders continue to be subject to Macau Complementary Tax. Melco Resorts Macau’s </w:t>
      </w:r>
    </w:p>
    <w:p>
      <w:pPr>
        <w:pStyle w:val="TextBody"/>
        <w:spacing w:before="0" w:after="0"/>
        <w:jc w:val="left"/>
        <w:rPr>
          <w:rFonts w:ascii="Times New Roman" w:hAnsi="Times New Roman"/>
          <w:spacing w:val="0"/>
          <w:sz w:val="20"/>
        </w:rPr>
      </w:pPr>
      <w:r>
        <w:rPr>
          <w:rFonts w:ascii="Times New Roman" w:hAnsi="Times New Roman"/>
          <w:spacing w:val="0"/>
          <w:sz w:val="20"/>
        </w:rPr>
        <w:t>non-gaming</w:t>
      </w:r>
    </w:p>
    <w:p>
      <w:pPr>
        <w:pStyle w:val="TextBody"/>
        <w:spacing w:before="0" w:after="0"/>
        <w:jc w:val="left"/>
        <w:rPr>
          <w:rFonts w:ascii="Times New Roman" w:hAnsi="Times New Roman"/>
          <w:sz w:val="20"/>
        </w:rPr>
      </w:pPr>
      <w:r>
        <w:rPr>
          <w:rFonts w:ascii="Times New Roman" w:hAnsi="Times New Roman"/>
          <w:sz w:val="20"/>
        </w:rPr>
        <w:t xml:space="preserve">profits also remain subject to Macau Complementary Tax and Melco Resorts Macau casino revenues remain subject to the Macau special gaming tax and other levies in accordance with its gaming concession agreement.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gaming operations of Melco Resorts Leisure, the operator of City of Dreams Manila, are exempt from Philippine Corporate Income Tax, among other taxes, pursuant to the Philippine Amusement and Gaming Corporation (“PAGCOR”) charter and are subject to license fees which are inclusive of the 5% franchise tax based on gross gaming revenue in the Philippines, in lieu of all other taxes.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During the years ended December 31, 2022, and 2021, Melco Resorts Macau and Studio City Entertainment in Macau did not have any profits generated by gaming operations exempted from Macau Complementary Tax, while had Melco Resorts Leisure not received the income tax exemption on profits generated by gaming operations in the Philippines, the Company’s consolidated net loss attributable to Melco Resorts &amp; Entertainment Limited for the years ended December 31, 2022 and 2021 would have been increased b</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$25,252 and $10,688, and diluted loss per share would have been increased by $0.018 and $0.007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per share, respectively. During the year ended December 31, 2020, Melco Resorts Macau, Melco Resorts Leisure and Studio City Entertainment did not have any profits generated by gaming operations exempted from Macau Complementary Tax and Philippine Corporate Income Tax.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In August 2017, Melco Resorts Macau received an extension of the agreement with the Macau government for an additional five years applicable to tax years 2017 through 2021, in which the extension agreement provided for an annual payment of MOP</w:t>
      </w:r>
    </w:p>
    <w:p>
      <w:pPr>
        <w:pStyle w:val="TextBody"/>
        <w:spacing w:before="120" w:after="0"/>
        <w:jc w:val="left"/>
        <w:rPr>
          <w:rFonts w:ascii="Times New Roman" w:hAnsi="Times New Roman"/>
          <w:spacing w:val="0"/>
          <w:sz w:val="20"/>
        </w:rPr>
      </w:pPr>
      <w:r>
        <w:rPr>
          <w:rFonts w:ascii="Times New Roman" w:hAnsi="Times New Roman"/>
          <w:spacing w:val="0"/>
          <w:sz w:val="20"/>
        </w:rPr>
        <w:t>18,900</w:t>
      </w:r>
    </w:p>
    <w:p>
      <w:pPr>
        <w:pStyle w:val="TextBody"/>
        <w:spacing w:before="120" w:after="0"/>
        <w:ind w:left="0" w:right="0" w:hanging="0"/>
        <w:jc w:val="left"/>
        <w:rPr>
          <w:spacing w:val="0"/>
        </w:rPr>
      </w:pPr>
      <w:r>
        <w:rPr>
          <w:spacing w:val="0"/>
        </w:rPr>
        <w:t> </w:t>
      </w:r>
      <w:r>
        <w:rPr>
          <w:rFonts w:ascii="Times New Roman" w:hAnsi="Times New Roman"/>
          <w:spacing w:val="0"/>
          <w:sz w:val="20"/>
        </w:rPr>
        <w:t>(equivalent to $</w:t>
      </w:r>
    </w:p>
    <w:p>
      <w:pPr>
        <w:pStyle w:val="TextBody"/>
        <w:spacing w:before="120" w:after="0"/>
        <w:jc w:val="left"/>
        <w:rPr>
          <w:rFonts w:ascii="Times New Roman" w:hAnsi="Times New Roman"/>
          <w:spacing w:val="0"/>
          <w:sz w:val="20"/>
        </w:rPr>
      </w:pPr>
      <w:r>
        <w:rPr>
          <w:rFonts w:ascii="Times New Roman" w:hAnsi="Times New Roman"/>
          <w:spacing w:val="0"/>
          <w:sz w:val="20"/>
        </w:rPr>
        <w:t>2,342</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as payments in lieu of Macau Complementary Tax otherwise due by the shareholders of Melco Resorts Macau on dividend distributions from gaming profits. Such annual payment is required regardless of whether dividends are actually distributed or whether Melco Resorts Macau has distributable profits in the relevant year. An amount of MOP</w:t>
      </w:r>
    </w:p>
    <w:p>
      <w:pPr>
        <w:pStyle w:val="TextBody"/>
        <w:spacing w:before="120" w:after="0"/>
        <w:jc w:val="left"/>
        <w:rPr>
          <w:rFonts w:ascii="Times New Roman" w:hAnsi="Times New Roman"/>
          <w:spacing w:val="0"/>
          <w:sz w:val="20"/>
        </w:rPr>
      </w:pPr>
      <w:r>
        <w:rPr>
          <w:rFonts w:ascii="Times New Roman" w:hAnsi="Times New Roman"/>
          <w:spacing w:val="0"/>
          <w:sz w:val="20"/>
        </w:rPr>
        <w:t>4,000</w:t>
      </w:r>
    </w:p>
    <w:p>
      <w:pPr>
        <w:pStyle w:val="TextBody"/>
        <w:spacing w:before="120" w:after="0"/>
        <w:ind w:left="0" w:right="0" w:hanging="0"/>
        <w:jc w:val="left"/>
        <w:rPr>
          <w:spacing w:val="0"/>
        </w:rPr>
      </w:pPr>
      <w:r>
        <w:rPr>
          <w:spacing w:val="0"/>
        </w:rPr>
        <w:t> </w:t>
      </w:r>
      <w:r>
        <w:rPr>
          <w:rFonts w:ascii="Times New Roman" w:hAnsi="Times New Roman"/>
          <w:spacing w:val="0"/>
          <w:sz w:val="20"/>
        </w:rPr>
        <w:t>(equivalent to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497) as payment for such arrangement for the period from January 1, 2022 to June 26, 2022 was paid by the shareholders of Melco Resorts Macau as of December 31, 2022.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In March 2023, Melco Resorts Macau received an extension of the agreement with the Macau government for an amount of M</w:t>
      </w:r>
    </w:p>
    <w:p>
      <w:pPr>
        <w:pStyle w:val="TextBody"/>
        <w:spacing w:before="120" w:after="0"/>
        <w:jc w:val="left"/>
        <w:rPr>
          <w:rFonts w:ascii="Times New Roman" w:hAnsi="Times New Roman"/>
          <w:spacing w:val="0"/>
          <w:sz w:val="20"/>
        </w:rPr>
      </w:pPr>
      <w:r>
        <w:rPr>
          <w:rFonts w:ascii="Times New Roman" w:hAnsi="Times New Roman"/>
          <w:spacing w:val="0"/>
          <w:sz w:val="20"/>
        </w:rPr>
        <w:t>OP</w:t>
      </w:r>
    </w:p>
    <w:p>
      <w:pPr>
        <w:pStyle w:val="TextBody"/>
        <w:spacing w:before="120" w:after="0"/>
        <w:jc w:val="left"/>
        <w:rPr>
          <w:rFonts w:ascii="Times New Roman" w:hAnsi="Times New Roman"/>
          <w:sz w:val="20"/>
        </w:rPr>
      </w:pPr>
      <w:r>
        <w:rPr>
          <w:rFonts w:ascii="Times New Roman" w:hAnsi="Times New Roman"/>
          <w:sz w:val="20"/>
        </w:rPr>
        <w:t>4,167</w:t>
      </w:r>
    </w:p>
    <w:p>
      <w:pPr>
        <w:pStyle w:val="TextBody"/>
        <w:spacing w:before="120" w:after="0"/>
        <w:jc w:val="left"/>
        <w:rPr>
          <w:rFonts w:ascii="Times New Roman" w:hAnsi="Times New Roman"/>
          <w:spacing w:val="0"/>
          <w:sz w:val="20"/>
        </w:rPr>
      </w:pPr>
      <w:r>
        <w:rPr>
          <w:rFonts w:ascii="Times New Roman" w:hAnsi="Times New Roman"/>
          <w:spacing w:val="0"/>
          <w:sz w:val="20"/>
        </w:rPr>
        <w:t>(equivalent to $</w:t>
      </w:r>
    </w:p>
    <w:p>
      <w:pPr>
        <w:pStyle w:val="TextBody"/>
        <w:spacing w:before="120" w:after="0"/>
        <w:jc w:val="left"/>
        <w:rPr>
          <w:rFonts w:ascii="Times New Roman" w:hAnsi="Times New Roman"/>
          <w:sz w:val="20"/>
        </w:rPr>
      </w:pPr>
      <w:r>
        <w:rPr>
          <w:rFonts w:ascii="Times New Roman" w:hAnsi="Times New Roman"/>
          <w:sz w:val="20"/>
        </w:rPr>
        <w:t>518</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payment for such arrangement for the period from June 27, 2022 to December 31, 2022. Melco Resorts Macau applied for an extension of such arrangement for the period from January 1, 2023 through December 31, 2027 at an amount to be set by the Macau government. </w:t>
      </w:r>
    </w:p>
    <w:p>
      <w:pPr>
        <w:pStyle w:val="TextBody"/>
        <w:spacing w:before="120" w:after="0"/>
        <w:jc w:val="left"/>
        <w:rPr>
          <w:rFonts w:ascii="Times New Roman" w:hAnsi="Times New Roman"/>
          <w:spacing w:val="0"/>
          <w:sz w:val="20"/>
        </w:rPr>
      </w:pPr>
      <w:r>
        <w:rPr>
          <w:rFonts w:ascii="Times New Roman" w:hAnsi="Times New Roman"/>
          <w:spacing w:val="0"/>
          <w:sz w:val="20"/>
        </w:rPr>
        <w:t>The effective tax rates for the years ended December 31, 2022, 2021 and 2020 were (0.48)%, (0.30)% and 0.20%, respectively. Such rates differ from the statutory Macau Complementary Tax rate of 12</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where the Company’s majority operations are located, primarily due to the effects of expired tax losses, changes in valuation allowances, expenses for which no income tax benefit is receivable, income for which no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income tax expense is payable, tax losses that cannot be carried forward and different tax rates of subsidiaries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operating in other jurisdictions for the relevant years together with the effects of profits generated by gaming operations being exempted from Philippine Corporate Income Tax for the year ended December 31, 2022 and the effects of profits generated by gaming operations being exempted from Philippine Corporate Income Tax and change in income tax rate for the year ended December 31, 2021.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net deferred tax liabilities as of December 31, 2022 and 2021 consisted of the following: </w:t>
      </w:r>
    </w:p>
    <w:p>
      <w:pPr>
        <w:pStyle w:val="TextBody"/>
        <w:spacing w:before="0" w:after="0"/>
        <w:jc w:val="left"/>
        <w:rPr>
          <w:spacing w:val="0"/>
        </w:rPr>
      </w:pPr>
      <w:r>
        <w:rPr>
          <w:spacing w:val="0"/>
        </w:rPr>
        <w:t> </w:t>
      </w:r>
    </w:p>
    <w:tbl>
      <w:tblPr>
        <w:tblW w:w="5525" w:type="dxa"/>
        <w:jc w:val="left"/>
        <w:tblInd w:w="0" w:type="dxa"/>
        <w:tblCellMar>
          <w:top w:w="0" w:type="dxa"/>
          <w:left w:w="0" w:type="dxa"/>
          <w:bottom w:w="0" w:type="dxa"/>
          <w:right w:w="0" w:type="dxa"/>
        </w:tblCellMar>
      </w:tblPr>
      <w:tblGrid>
        <w:gridCol w:w="2930"/>
        <w:gridCol w:w="120"/>
        <w:gridCol w:w="140"/>
        <w:gridCol w:w="875"/>
        <w:gridCol w:w="155"/>
        <w:gridCol w:w="120"/>
        <w:gridCol w:w="140"/>
        <w:gridCol w:w="875"/>
        <w:gridCol w:w="170"/>
      </w:tblGrid>
      <w:tr>
        <w:trPr/>
        <w:tc>
          <w:tcPr>
            <w:tcW w:w="29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305"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29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operating losses carried forward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206,079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190,779</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r>
              <w:rPr/>
              <w:t>76,272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70,110</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30,492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48,887</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13,052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4,159</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325,895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313,935</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Valuation allowances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(299,620</w:t>
            </w:r>
          </w:p>
        </w:tc>
        <w:tc>
          <w:tcPr>
            <w:tcW w:w="155" w:type="dxa"/>
            <w:tcBorders/>
            <w:shd w:fill="CCEEFF" w:val="clear"/>
            <w:vAlign w:val="center"/>
          </w:tcPr>
          <w:p>
            <w:pPr>
              <w:pStyle w:val="TableContents"/>
              <w:spacing w:before="0" w:after="283"/>
              <w:rPr/>
            </w:pPr>
            <w:r>
              <w:rPr/>
              <w:t xml:space="preserve">)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(267,316</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deferred tax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26,275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46,619</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Right-of-use</w:t>
            </w:r>
          </w:p>
          <w:p>
            <w:pPr>
              <w:pStyle w:val="TableContents"/>
              <w:spacing w:before="0" w:after="0"/>
              <w:rPr>
                <w:rFonts w:ascii="Times New Roman" w:hAnsi="Times New Roman"/>
                <w:sz w:val="20"/>
              </w:rPr>
            </w:pPr>
            <w:r>
              <w:rPr>
                <w:rFonts w:ascii="Times New Roman" w:hAnsi="Times New Roman"/>
                <w:sz w:val="20"/>
              </w:rPr>
              <w:t>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(10,413</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(25,817</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Land use rights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(44,434</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(45,963</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Intangible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(505</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(505</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capital allowances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(4,279</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(5,141</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(5,683</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(6,194</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deferred tax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(65,314</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(83,620</w:t>
            </w:r>
          </w:p>
        </w:tc>
        <w:tc>
          <w:tcPr>
            <w:tcW w:w="170"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liabilities,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(39,039</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(37,001</w:t>
            </w:r>
          </w:p>
        </w:tc>
        <w:tc>
          <w:tcPr>
            <w:tcW w:w="170" w:type="dxa"/>
            <w:tcBorders/>
            <w:shd w:fill="auto"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2022 and 2021, valuation allowances of $299,620 and $267,316 were provided, respectively, as management believes it is more likely than not that these deferred tax assets will not be realized. As of December 31, 2022, adjusted operating tax losses carried forward of $6,978 have no expiry date and the remaining tax losses amounting to $1,485,226 will expire by 2023 through 2032. Adjusted operating tax losses carried forward of $326,749 expired during the year ended December 31, 2022.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Aggregate undistributed earnings of certain of Melco’s foreign subsidiaries available for distribution to Melco of approximately $745,425 and $846,735 as at December 31, 2022 and 2021, respectively, are considered to be indefinitely reinvested. Accordingly, no provision has been made for the dividend withholding taxes that would be payable upon the distribution of those amounts to Melco. If those earnings were to be distributed or they were determined to be no longer permanently reinvested, Melco would have to record a deferred income tax liability in respect of those undistributed earnings of approximately $89,449 and $101,608 as at December 31, 2022 and 2021, respectively.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1870" w:type="dxa"/>
        <w:jc w:val="left"/>
        <w:tblInd w:w="0" w:type="dxa"/>
        <w:tblCellMar>
          <w:top w:w="0" w:type="dxa"/>
          <w:left w:w="0" w:type="dxa"/>
          <w:bottom w:w="0" w:type="dxa"/>
          <w:right w:w="0" w:type="dxa"/>
        </w:tblCellMar>
      </w:tblPr>
      <w:tblGrid>
        <w:gridCol w:w="335"/>
        <w:gridCol w:w="1535"/>
      </w:tblGrid>
      <w:tr>
        <w:trPr/>
        <w:tc>
          <w:tcPr>
            <w:tcW w:w="335" w:type="dxa"/>
            <w:tcBorders/>
            <w:shd w:fill="auto" w:val="clear"/>
            <w:vAlign w:val="center"/>
          </w:tcPr>
          <w:p>
            <w:pPr>
              <w:pStyle w:val="TableContents"/>
              <w:spacing w:before="0" w:after="0"/>
              <w:jc w:val="left"/>
              <w:rPr>
                <w:b/>
                <w:spacing w:val="0"/>
              </w:rPr>
            </w:pPr>
            <w:r>
              <w:rPr>
                <w:b/>
                <w:spacing w:val="0"/>
              </w:rPr>
              <w:t>17.</w:t>
            </w:r>
          </w:p>
        </w:tc>
        <w:tc>
          <w:tcPr>
            <w:tcW w:w="1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INCOME TAXES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A reconciliation of the beginning and ending amounts of unrecognized tax benefits is presented as follows:</w:t>
      </w:r>
    </w:p>
    <w:p>
      <w:pPr>
        <w:pStyle w:val="TextBody"/>
        <w:spacing w:before="0" w:after="0"/>
        <w:ind w:left="0" w:right="0" w:hanging="0"/>
        <w:jc w:val="left"/>
        <w:rPr>
          <w:spacing w:val="0"/>
        </w:rPr>
      </w:pPr>
      <w:r>
        <w:rPr>
          <w:spacing w:val="0"/>
        </w:rPr>
        <w:t> </w:t>
      </w:r>
    </w:p>
    <w:tbl>
      <w:tblPr>
        <w:tblW w:w="8480" w:type="dxa"/>
        <w:jc w:val="left"/>
        <w:tblInd w:w="0" w:type="dxa"/>
        <w:tblCellMar>
          <w:top w:w="0" w:type="dxa"/>
          <w:left w:w="0" w:type="dxa"/>
          <w:bottom w:w="0" w:type="dxa"/>
          <w:right w:w="0" w:type="dxa"/>
        </w:tblCellMar>
      </w:tblPr>
      <w:tblGrid>
        <w:gridCol w:w="4520"/>
        <w:gridCol w:w="120"/>
        <w:gridCol w:w="140"/>
        <w:gridCol w:w="980"/>
        <w:gridCol w:w="95"/>
        <w:gridCol w:w="120"/>
        <w:gridCol w:w="140"/>
        <w:gridCol w:w="920"/>
        <w:gridCol w:w="155"/>
        <w:gridCol w:w="60"/>
        <w:gridCol w:w="140"/>
        <w:gridCol w:w="920"/>
        <w:gridCol w:w="170"/>
      </w:tblGrid>
      <w:tr>
        <w:trPr/>
        <w:tc>
          <w:tcPr>
            <w:tcW w:w="45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5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67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452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06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45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At beginning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16,342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15,132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20" w:type="dxa"/>
            <w:tcBorders/>
            <w:shd w:fill="CCEEFF" w:val="clear"/>
            <w:vAlign w:val="center"/>
          </w:tcPr>
          <w:p>
            <w:pPr>
              <w:pStyle w:val="TableContents"/>
              <w:spacing w:before="0" w:after="283"/>
              <w:jc w:val="right"/>
              <w:rPr/>
            </w:pPr>
            <w:r>
              <w:rPr/>
              <w:t>7,504</w:t>
            </w:r>
          </w:p>
        </w:tc>
        <w:tc>
          <w:tcPr>
            <w:tcW w:w="170" w:type="dxa"/>
            <w:tcBorders/>
            <w:shd w:fill="CCEEFF"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Additions based on tax positions related to current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6,810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2,028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20" w:type="dxa"/>
            <w:tcBorders/>
            <w:shd w:fill="auto" w:val="clear"/>
            <w:vAlign w:val="center"/>
          </w:tcPr>
          <w:p>
            <w:pPr>
              <w:pStyle w:val="TableContents"/>
              <w:spacing w:before="0" w:after="283"/>
              <w:jc w:val="right"/>
              <w:rPr/>
            </w:pPr>
            <w:r>
              <w:rPr/>
              <w:t>8,057</w:t>
            </w:r>
          </w:p>
        </w:tc>
        <w:tc>
          <w:tcPr>
            <w:tcW w:w="170" w:type="dxa"/>
            <w:tcBorders/>
            <w:shd w:fill="auto" w:val="clear"/>
            <w:vAlign w:val="center"/>
          </w:tcPr>
          <w:p>
            <w:pPr>
              <w:pStyle w:val="TableContents"/>
              <w:spacing w:before="0" w:after="283"/>
              <w:rPr/>
            </w:pPr>
            <w:r>
              <w:rPr/>
              <w:t> </w:t>
            </w:r>
          </w:p>
        </w:tc>
      </w:tr>
      <w:tr>
        <w:trPr/>
        <w:tc>
          <w:tcPr>
            <w:tcW w:w="45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Reductions due to expiry of the statute of limitations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(212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(818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20" w:type="dxa"/>
            <w:tcBorders/>
            <w:shd w:fill="CCEEFF" w:val="clear"/>
            <w:vAlign w:val="center"/>
          </w:tcPr>
          <w:p>
            <w:pPr>
              <w:pStyle w:val="TableContents"/>
              <w:spacing w:before="0" w:after="283"/>
              <w:jc w:val="right"/>
              <w:rPr/>
            </w:pPr>
            <w:r>
              <w:rPr/>
              <w:t>(429</w:t>
            </w:r>
          </w:p>
        </w:tc>
        <w:tc>
          <w:tcPr>
            <w:tcW w:w="170" w:type="dxa"/>
            <w:tcBorders/>
            <w:shd w:fill="CCEEFF"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2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At end of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    </w:t>
            </w:r>
            <w:r>
              <w:rPr/>
              <w:t xml:space="preserve">22,940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    </w:t>
            </w:r>
            <w:r>
              <w:rPr/>
              <w:t>16,342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20" w:type="dxa"/>
            <w:tcBorders/>
            <w:shd w:fill="auto" w:val="clear"/>
            <w:vAlign w:val="center"/>
          </w:tcPr>
          <w:p>
            <w:pPr>
              <w:pStyle w:val="TableContents"/>
              <w:spacing w:before="0" w:after="283"/>
              <w:jc w:val="right"/>
              <w:rPr/>
            </w:pPr>
            <w:r>
              <w:rPr/>
              <w:t>    </w:t>
            </w:r>
            <w:r>
              <w:rPr/>
              <w:t>15,132</w:t>
            </w:r>
          </w:p>
        </w:tc>
        <w:tc>
          <w:tcPr>
            <w:tcW w:w="170" w:type="dxa"/>
            <w:tcBorders/>
            <w:shd w:fill="auto" w:val="clear"/>
            <w:vAlign w:val="center"/>
          </w:tcPr>
          <w:p>
            <w:pPr>
              <w:pStyle w:val="TableContents"/>
              <w:spacing w:before="0" w:after="283"/>
              <w:rPr/>
            </w:pPr>
            <w:r>
              <w:rPr/>
              <w:t> </w:t>
            </w:r>
          </w:p>
        </w:tc>
      </w:tr>
      <w:tr>
        <w:trPr/>
        <w:tc>
          <w:tcPr>
            <w:tcW w:w="45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2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total amount of unrecognized tax benefits that, if recognized, would affect the effective tax rate was $22,940 and $16,342 as of December 31, 2022 and 2021, respectively.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and 2021, there were no interest and penalties related to uncertain tax positions recognized in the accompanying consolidated financial statements. The Company does not anticipate any significant increases or decreases in unrecognized tax benefits within the next twelve months.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and its subsidiaries’ major tax jurisdictions are Hong Kong, Macau, the Philippines and Cyprus. Income tax returns of Melco and its subsidiaries remain open and subject to examination by the local tax authorities of Macau, Hong Kong, the Philippines and Cyprus until the statute of limitations expire in each corresponding jurisdiction. The statute of limitations in Macau, Hong Kong, the Philippines and Cyprus are five years, six years, three years and six years, respectively. </w:t>
      </w:r>
    </w:p>
    <w:p>
      <w:pPr>
        <w:pStyle w:val="TextBody"/>
        <w:spacing w:before="0" w:after="0"/>
        <w:jc w:val="left"/>
        <w:rPr>
          <w:spacing w:val="0"/>
        </w:rPr>
      </w:pPr>
      <w:r>
        <w:rPr>
          <w:spacing w:val="0"/>
        </w:rPr>
        <w:t> </w:t>
      </w:r>
    </w:p>
    <w:tbl>
      <w:tblPr>
        <w:tblW w:w="3415" w:type="dxa"/>
        <w:jc w:val="left"/>
        <w:tblInd w:w="0" w:type="dxa"/>
        <w:tblCellMar>
          <w:top w:w="0" w:type="dxa"/>
          <w:left w:w="0" w:type="dxa"/>
          <w:bottom w:w="0" w:type="dxa"/>
          <w:right w:w="0" w:type="dxa"/>
        </w:tblCellMar>
      </w:tblPr>
      <w:tblGrid>
        <w:gridCol w:w="335"/>
        <w:gridCol w:w="3080"/>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SHARE-BASED COMPENSATION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2006 Share Incentive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adopted a share incentive plan in 2006 (“2006 Share Incentive Plan”), as amended, for grants of share options and nonvested shares of Melco’s ordinary shares to eligible directors, employees and consultants of the Company and its affiliates. The maximum term of an award was 10 years from the date of the grant. The maximum aggregate number of ordinary shares to be available for all awards under the 2006 Share Incentive Plan was 100,000,000 over 10 years. Melco adopted a share incentive plan in 2011 (“2011 Share Incentive Plan”) and a share incentive plan in 2021 (“2021 Share Incentive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described below and no further awards would be granted under the 2006 Share Incentive Plan and the 2011 Share Incentive Plan which was terminated on December 6, 2021. All subsequent awards will be issued under the 2021 Share Incentive Plan.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Share Options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and 2021, there were no outstanding share options under the 2006 Share Incentive Plan.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information is provided for share options under the 2006 Share Incentive Plan: </w:t>
      </w:r>
    </w:p>
    <w:p>
      <w:pPr>
        <w:pStyle w:val="TextBody"/>
        <w:spacing w:before="0" w:after="0"/>
        <w:jc w:val="left"/>
        <w:rPr>
          <w:spacing w:val="0"/>
        </w:rPr>
      </w:pPr>
      <w:r>
        <w:rPr>
          <w:spacing w:val="0"/>
        </w:rPr>
        <w:t> </w:t>
      </w:r>
    </w:p>
    <w:tbl>
      <w:tblPr>
        <w:tblW w:w="6890" w:type="dxa"/>
        <w:jc w:val="left"/>
        <w:tblInd w:w="0" w:type="dxa"/>
        <w:tblCellMar>
          <w:top w:w="0" w:type="dxa"/>
          <w:left w:w="0" w:type="dxa"/>
          <w:bottom w:w="0" w:type="dxa"/>
          <w:right w:w="0" w:type="dxa"/>
        </w:tblCellMar>
      </w:tblPr>
      <w:tblGrid>
        <w:gridCol w:w="3515"/>
        <w:gridCol w:w="120"/>
        <w:gridCol w:w="140"/>
        <w:gridCol w:w="800"/>
        <w:gridCol w:w="60"/>
        <w:gridCol w:w="120"/>
        <w:gridCol w:w="140"/>
        <w:gridCol w:w="860"/>
        <w:gridCol w:w="60"/>
        <w:gridCol w:w="120"/>
        <w:gridCol w:w="140"/>
        <w:gridCol w:w="740"/>
        <w:gridCol w:w="75"/>
      </w:tblGrid>
      <w:tr>
        <w:trPr/>
        <w:tc>
          <w:tcPr>
            <w:tcW w:w="3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5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8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75" w:type="dxa"/>
            <w:tcBorders/>
            <w:shd w:fill="auto"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35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the exercise of share options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jc w:val="right"/>
              <w:rPr/>
            </w:pPr>
            <w:r>
              <w:rPr/>
              <w:t>     </w:t>
            </w:r>
            <w:r>
              <w:rPr/>
              <w:t>2,756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397</w:t>
            </w:r>
          </w:p>
        </w:tc>
        <w:tc>
          <w:tcPr>
            <w:tcW w:w="75" w:type="dxa"/>
            <w:tcBorders/>
            <w:shd w:fill="CCEEFF"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Intrinsic value of share options exercised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jc w:val="right"/>
              <w:rPr/>
            </w:pPr>
            <w:r>
              <w:rPr/>
              <w:t>7,370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jc w:val="right"/>
              <w:rPr/>
            </w:pPr>
            <w:r>
              <w:rPr/>
              <w:t>747</w:t>
            </w:r>
          </w:p>
        </w:tc>
        <w:tc>
          <w:tcPr>
            <w:tcW w:w="75" w:type="dxa"/>
            <w:tcBorders/>
            <w:shd w:fill="auto"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F-6</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2006 Share Incentive Plan</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Share Options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As of December 31, 2022, there were no unrecognized compensation costs related to share options under the 2006 Share Incentive Plan.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2011 Share Incentive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adopted the 2011 Share Incentive Plan, effective on December 7, 2011, which had been subsequently amended and restated, for grants of various share-based awards, including but not limited to, options to purchase Melco’s ordinary shares, restricted shares, share appreciation rights and other types of awards to eligible directors, employees and consultants of the Company and its affiliates. The maximum term of an award was 10 years from the date of the grant. The maximum aggregate number of ordinary shares to be available for all awards under the 2011 Share Incentive Plan was 100,000,000 over 10 years, which could be raised up to 10% of the issued share capital upon shareholders’ approval. The 2011 Share Incentive Plan would have expired ten years after December 7, 2011.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adopted the 2021 Share Incentive Plan as described below, effective on December 6, 2021 (also the termination date of the 2011 Share Incentive Plan). Upon the termination of the 2011 Share Incentive Plan, no further awards may be granted under the 2011 Share Incentive Plan but the provisions of such plan shall remain in full force and effect in all other respects for any awards granted prior to the date of the termination of such plan.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Share Options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were no share options granted under the 2011 Share Incentive Plan during the year ended December 31, 2022. During the years ended December 31, 2021 and 2020, the exercise prices for share options granted under the 2011 Share Incentive Plan were determined at the market closing prices of Melco’s ADS trading on the Nasdaq Global Select Market on the dates of grant. These share options became exercisable over vesting periods of two to three years. The share options granted expire 10 years from the date of grant.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Melco’s ADS trading on the Nasdaq Global Select Market. Expected term is based upon the vesting term or the historical expected term of publicly traded companies. The risk-free interest rate used for each period presented is based on the United States of America Treasury yield curve at the time of grant for the period equal to the expected term.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fair values of share options granted under the 2011 Share Incentive Plan were estimated on the dates of grant using the following weighted average assumptions: </w:t>
      </w:r>
    </w:p>
    <w:p>
      <w:pPr>
        <w:pStyle w:val="TextBody"/>
        <w:spacing w:before="0" w:after="0"/>
        <w:jc w:val="left"/>
        <w:rPr>
          <w:spacing w:val="0"/>
        </w:rPr>
      </w:pPr>
      <w:r>
        <w:rPr>
          <w:spacing w:val="0"/>
        </w:rPr>
        <w:t> </w:t>
      </w:r>
    </w:p>
    <w:tbl>
      <w:tblPr>
        <w:tblW w:w="6445" w:type="dxa"/>
        <w:jc w:val="left"/>
        <w:tblInd w:w="0" w:type="dxa"/>
        <w:tblCellMar>
          <w:top w:w="0" w:type="dxa"/>
          <w:left w:w="0" w:type="dxa"/>
          <w:bottom w:w="0" w:type="dxa"/>
          <w:right w:w="0" w:type="dxa"/>
        </w:tblCellMar>
      </w:tblPr>
      <w:tblGrid>
        <w:gridCol w:w="2540"/>
        <w:gridCol w:w="120"/>
        <w:gridCol w:w="60"/>
        <w:gridCol w:w="1520"/>
        <w:gridCol w:w="275"/>
        <w:gridCol w:w="60"/>
        <w:gridCol w:w="60"/>
        <w:gridCol w:w="1520"/>
        <w:gridCol w:w="290"/>
      </w:tblGrid>
      <w:tr>
        <w:trPr/>
        <w:tc>
          <w:tcPr>
            <w:tcW w:w="2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95" w:type="dxa"/>
            <w:gridSpan w:val="6"/>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290" w:type="dxa"/>
            <w:tcBorders/>
            <w:shd w:fill="auto"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290"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2.50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3.10</w:t>
            </w:r>
          </w:p>
        </w:tc>
        <w:tc>
          <w:tcPr>
            <w:tcW w:w="290"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stock price volatility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                </w:t>
            </w:r>
            <w:r>
              <w:rPr/>
              <w:t>45.46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                </w:t>
            </w:r>
            <w:r>
              <w:rPr/>
              <w:t>43.50</w:t>
            </w:r>
          </w:p>
        </w:tc>
        <w:tc>
          <w:tcPr>
            <w:tcW w:w="290"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1.00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0" w:type="dxa"/>
            <w:tcBorders/>
            <w:shd w:fill="CCEEFF" w:val="clear"/>
            <w:vAlign w:val="center"/>
          </w:tcPr>
          <w:p>
            <w:pPr>
              <w:pStyle w:val="TableContents"/>
              <w:spacing w:before="0" w:after="283"/>
              <w:jc w:val="right"/>
              <w:rPr/>
            </w:pPr>
            <w:r>
              <w:rPr/>
              <w:t>0.43</w:t>
            </w:r>
          </w:p>
        </w:tc>
        <w:tc>
          <w:tcPr>
            <w:tcW w:w="290"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term (years)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5.6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right"/>
              <w:rPr/>
            </w:pPr>
            <w:r>
              <w:rPr/>
              <w:t>5.6</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F-6</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2011 Share Incentive Plan</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Share Options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A summary of the share options activity under the 2011 Share Incentive Plan for the year ended December 31, 2022, is presented as follows:</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4775"/>
        <w:gridCol w:w="120"/>
        <w:gridCol w:w="60"/>
        <w:gridCol w:w="1175"/>
        <w:gridCol w:w="95"/>
        <w:gridCol w:w="120"/>
        <w:gridCol w:w="140"/>
        <w:gridCol w:w="1160"/>
        <w:gridCol w:w="60"/>
        <w:gridCol w:w="120"/>
        <w:gridCol w:w="133"/>
        <w:gridCol w:w="982"/>
        <w:gridCol w:w="60"/>
        <w:gridCol w:w="120"/>
        <w:gridCol w:w="353"/>
        <w:gridCol w:w="657"/>
        <w:gridCol w:w="75"/>
      </w:tblGrid>
      <w:tr>
        <w:trPr/>
        <w:tc>
          <w:tcPr>
            <w:tcW w:w="4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7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Number of</w:t>
              <w:br/>
              <w:t>Share</w:t>
              <w:br/>
              <w:t>Options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Weighted</w:t>
              <w:br/>
              <w:t>Average</w:t>
              <w:br/>
              <w:t>Exercise</w:t>
              <w:br/>
              <w:t>Price</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Weighted</w:t>
              <w:br/>
              <w:t>Average</w:t>
              <w:br/>
              <w:t>Remaining</w:t>
              <w:br/>
              <w:t>Contractual</w:t>
              <w:br/>
              <w:t>Term</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Aggregate</w:t>
              <w:br/>
              <w:t>Intrinsic</w:t>
              <w:br/>
              <w:t>Value</w:t>
            </w:r>
          </w:p>
        </w:tc>
        <w:tc>
          <w:tcPr>
            <w:tcW w:w="75" w:type="dxa"/>
            <w:tcBorders/>
            <w:shd w:fill="auto" w:val="clear"/>
            <w:vAlign w:val="center"/>
          </w:tcPr>
          <w:p>
            <w:pPr>
              <w:pStyle w:val="TableContents"/>
              <w:spacing w:before="0" w:after="0"/>
              <w:rPr>
                <w:spacing w:val="0"/>
              </w:rPr>
            </w:pPr>
            <w:r>
              <w:rPr>
                <w:spacing w:val="0"/>
              </w:rPr>
              <w:t> </w:t>
            </w:r>
          </w:p>
        </w:tc>
      </w:tr>
      <w:tr>
        <w:trPr/>
        <w:tc>
          <w:tcPr>
            <w:tcW w:w="477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Outstanding as of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30,696,106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            </w:t>
            </w:r>
            <w:r>
              <w:rPr/>
              <w:t>6.07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rPr/>
            </w:pPr>
            <w:r>
              <w:rPr/>
              <w:t> </w:t>
            </w:r>
          </w:p>
        </w:tc>
        <w:tc>
          <w:tcPr>
            <w:tcW w:w="65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Forfeited or expired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(1,773,409</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5.49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65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Cancelled under Option Exchange Program</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(26,076,978</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6.13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rPr/>
            </w:pPr>
            <w:r>
              <w:rPr/>
              <w:t> </w:t>
            </w:r>
          </w:p>
        </w:tc>
        <w:tc>
          <w:tcPr>
            <w:tcW w:w="65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657"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Outstanding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2,845,719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5.89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jc w:val="right"/>
              <w:rPr/>
            </w:pPr>
            <w:r>
              <w:rPr/>
              <w:t>6.13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w:t>
            </w:r>
          </w:p>
        </w:tc>
        <w:tc>
          <w:tcPr>
            <w:tcW w:w="657"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477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Fully vested and expected to vest as of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2,845,719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5.89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jc w:val="right"/>
              <w:rPr/>
            </w:pPr>
            <w:r>
              <w:rPr/>
              <w:t>6.13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rPr/>
            </w:pPr>
            <w:r>
              <w:rPr/>
              <w:t>$</w:t>
            </w:r>
          </w:p>
        </w:tc>
        <w:tc>
          <w:tcPr>
            <w:tcW w:w="657"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Exercisable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2,262,303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6.02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jc w:val="right"/>
              <w:rPr/>
            </w:pPr>
            <w:r>
              <w:rPr/>
              <w:t>5.72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w:t>
            </w:r>
          </w:p>
        </w:tc>
        <w:tc>
          <w:tcPr>
            <w:tcW w:w="657"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4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information is provided for share options under the 2011 Share Incentive Plan: </w:t>
      </w:r>
    </w:p>
    <w:p>
      <w:pPr>
        <w:pStyle w:val="TextBody"/>
        <w:spacing w:before="0" w:after="0"/>
        <w:jc w:val="left"/>
        <w:rPr>
          <w:spacing w:val="0"/>
        </w:rPr>
      </w:pPr>
      <w:r>
        <w:rPr>
          <w:spacing w:val="0"/>
        </w:rPr>
        <w:t> </w:t>
      </w:r>
    </w:p>
    <w:tbl>
      <w:tblPr>
        <w:tblW w:w="6259" w:type="dxa"/>
        <w:jc w:val="left"/>
        <w:tblInd w:w="0" w:type="dxa"/>
        <w:tblCellMar>
          <w:top w:w="0" w:type="dxa"/>
          <w:left w:w="0" w:type="dxa"/>
          <w:bottom w:w="0" w:type="dxa"/>
          <w:right w:w="0" w:type="dxa"/>
        </w:tblCellMar>
      </w:tblPr>
      <w:tblGrid>
        <w:gridCol w:w="3515"/>
        <w:gridCol w:w="120"/>
        <w:gridCol w:w="164"/>
        <w:gridCol w:w="448"/>
        <w:gridCol w:w="70"/>
        <w:gridCol w:w="141"/>
        <w:gridCol w:w="164"/>
        <w:gridCol w:w="661"/>
        <w:gridCol w:w="70"/>
        <w:gridCol w:w="141"/>
        <w:gridCol w:w="164"/>
        <w:gridCol w:w="526"/>
        <w:gridCol w:w="75"/>
      </w:tblGrid>
      <w:tr>
        <w:trPr/>
        <w:tc>
          <w:tcPr>
            <w:tcW w:w="35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51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2549" w:type="dxa"/>
            <w:gridSpan w:val="10"/>
            <w:tcBorders/>
            <w:shd w:fill="auto" w:val="clear"/>
            <w:vAlign w:val="center"/>
          </w:tcPr>
          <w:p>
            <w:pPr>
              <w:pStyle w:val="TableContents"/>
              <w:spacing w:before="0" w:after="0"/>
              <w:jc w:val="center"/>
              <w:rPr/>
            </w:pPr>
            <w:r>
              <w:rPr/>
              <w:t>Year Ended December 31,</w:t>
            </w:r>
          </w:p>
        </w:tc>
        <w:tc>
          <w:tcPr>
            <w:tcW w:w="75" w:type="dxa"/>
            <w:tcBorders/>
            <w:shd w:fill="auto" w:val="clear"/>
            <w:vAlign w:val="center"/>
          </w:tcPr>
          <w:p>
            <w:pPr>
              <w:pStyle w:val="TableContents"/>
              <w:spacing w:before="0" w:after="0"/>
              <w:rPr/>
            </w:pPr>
            <w:r>
              <w:rPr/>
              <w:t> </w:t>
            </w:r>
          </w:p>
        </w:tc>
      </w:tr>
      <w:tr>
        <w:trPr/>
        <w:tc>
          <w:tcPr>
            <w:tcW w:w="351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612" w:type="dxa"/>
            <w:gridSpan w:val="2"/>
            <w:tcBorders/>
            <w:shd w:fill="auto" w:val="clear"/>
            <w:vAlign w:val="center"/>
          </w:tcPr>
          <w:p>
            <w:pPr>
              <w:pStyle w:val="TableContents"/>
              <w:spacing w:before="0" w:after="0"/>
              <w:jc w:val="center"/>
              <w:rPr/>
            </w:pPr>
            <w:r>
              <w:rPr/>
              <w:t>2022</w:t>
            </w:r>
          </w:p>
        </w:tc>
        <w:tc>
          <w:tcPr>
            <w:tcW w:w="70" w:type="dxa"/>
            <w:tcBorders/>
            <w:shd w:fill="auto" w:val="clear"/>
            <w:vAlign w:val="center"/>
          </w:tcPr>
          <w:p>
            <w:pPr>
              <w:pStyle w:val="TableContents"/>
              <w:spacing w:before="0" w:after="0"/>
              <w:rPr/>
            </w:pPr>
            <w:r>
              <w:rPr/>
              <w:t> </w:t>
            </w:r>
          </w:p>
        </w:tc>
        <w:tc>
          <w:tcPr>
            <w:tcW w:w="141" w:type="dxa"/>
            <w:tcBorders/>
            <w:shd w:fill="auto" w:val="clear"/>
            <w:vAlign w:val="center"/>
          </w:tcPr>
          <w:p>
            <w:pPr>
              <w:pStyle w:val="TableContents"/>
              <w:spacing w:before="0" w:after="0"/>
              <w:rPr/>
            </w:pPr>
            <w:r>
              <w:rPr/>
              <w:t>  </w:t>
            </w:r>
          </w:p>
        </w:tc>
        <w:tc>
          <w:tcPr>
            <w:tcW w:w="825" w:type="dxa"/>
            <w:gridSpan w:val="2"/>
            <w:tcBorders/>
            <w:shd w:fill="auto" w:val="clear"/>
            <w:vAlign w:val="center"/>
          </w:tcPr>
          <w:p>
            <w:pPr>
              <w:pStyle w:val="TableContents"/>
              <w:spacing w:before="0" w:after="0"/>
              <w:jc w:val="center"/>
              <w:rPr/>
            </w:pPr>
            <w:r>
              <w:rPr/>
              <w:t>2021</w:t>
            </w:r>
          </w:p>
        </w:tc>
        <w:tc>
          <w:tcPr>
            <w:tcW w:w="70" w:type="dxa"/>
            <w:tcBorders/>
            <w:shd w:fill="auto" w:val="clear"/>
            <w:vAlign w:val="center"/>
          </w:tcPr>
          <w:p>
            <w:pPr>
              <w:pStyle w:val="TableContents"/>
              <w:spacing w:before="0" w:after="0"/>
              <w:rPr/>
            </w:pPr>
            <w:r>
              <w:rPr/>
              <w:t> </w:t>
            </w:r>
          </w:p>
        </w:tc>
        <w:tc>
          <w:tcPr>
            <w:tcW w:w="141" w:type="dxa"/>
            <w:tcBorders/>
            <w:shd w:fill="auto" w:val="clear"/>
            <w:vAlign w:val="center"/>
          </w:tcPr>
          <w:p>
            <w:pPr>
              <w:pStyle w:val="TableContents"/>
              <w:spacing w:before="0" w:after="0"/>
              <w:rPr/>
            </w:pPr>
            <w:r>
              <w:rPr/>
              <w:t>  </w:t>
            </w:r>
          </w:p>
        </w:tc>
        <w:tc>
          <w:tcPr>
            <w:tcW w:w="690" w:type="dxa"/>
            <w:gridSpan w:val="2"/>
            <w:tcBorders/>
            <w:shd w:fill="auto" w:val="clear"/>
            <w:vAlign w:val="center"/>
          </w:tcPr>
          <w:p>
            <w:pPr>
              <w:pStyle w:val="TableContents"/>
              <w:spacing w:before="0" w:after="0"/>
              <w:jc w:val="center"/>
              <w:rPr/>
            </w:pPr>
            <w:r>
              <w:rPr/>
              <w:t>2020</w:t>
            </w:r>
          </w:p>
        </w:tc>
        <w:tc>
          <w:tcPr>
            <w:tcW w:w="75" w:type="dxa"/>
            <w:tcBorders/>
            <w:shd w:fill="auto" w:val="clear"/>
            <w:vAlign w:val="center"/>
          </w:tcPr>
          <w:p>
            <w:pPr>
              <w:pStyle w:val="TableContents"/>
              <w:spacing w:before="0" w:after="0"/>
              <w:rPr/>
            </w:pPr>
            <w:r>
              <w:rPr/>
              <w:t> </w:t>
            </w:r>
          </w:p>
        </w:tc>
      </w:tr>
      <w:tr>
        <w:trPr/>
        <w:tc>
          <w:tcPr>
            <w:tcW w:w="35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grant date fair value</w:t>
            </w:r>
          </w:p>
        </w:tc>
        <w:tc>
          <w:tcPr>
            <w:tcW w:w="12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448" w:type="dxa"/>
            <w:tcBorders/>
            <w:shd w:fill="CCEEFF" w:val="clear"/>
            <w:vAlign w:val="center"/>
          </w:tcPr>
          <w:p>
            <w:pPr>
              <w:pStyle w:val="TableContents"/>
              <w:spacing w:before="0" w:after="283"/>
              <w:jc w:val="right"/>
              <w:rPr/>
            </w:pPr>
            <w:r>
              <w:rPr/>
              <w:t>—  </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661" w:type="dxa"/>
            <w:tcBorders/>
            <w:shd w:fill="CCEEFF" w:val="clear"/>
            <w:vAlign w:val="center"/>
          </w:tcPr>
          <w:p>
            <w:pPr>
              <w:pStyle w:val="TableContents"/>
              <w:spacing w:before="0" w:after="283"/>
              <w:jc w:val="right"/>
              <w:rPr/>
            </w:pPr>
            <w:r>
              <w:rPr/>
              <w:t>2.28</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526" w:type="dxa"/>
            <w:tcBorders/>
            <w:shd w:fill="CCEEFF" w:val="clear"/>
            <w:vAlign w:val="center"/>
          </w:tcPr>
          <w:p>
            <w:pPr>
              <w:pStyle w:val="TableContents"/>
              <w:spacing w:before="0" w:after="283"/>
              <w:jc w:val="right"/>
              <w:rPr/>
            </w:pPr>
            <w:r>
              <w:rPr/>
              <w:t>1.21</w:t>
            </w:r>
          </w:p>
        </w:tc>
        <w:tc>
          <w:tcPr>
            <w:tcW w:w="75" w:type="dxa"/>
            <w:tcBorders/>
            <w:shd w:fill="CCEEFF"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44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the exercise of share options</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w:t>
            </w:r>
          </w:p>
        </w:tc>
        <w:tc>
          <w:tcPr>
            <w:tcW w:w="448" w:type="dxa"/>
            <w:tcBorders/>
            <w:shd w:fill="auto" w:val="clear"/>
            <w:vAlign w:val="center"/>
          </w:tcPr>
          <w:p>
            <w:pPr>
              <w:pStyle w:val="TableContents"/>
              <w:spacing w:before="0" w:after="283"/>
              <w:jc w:val="right"/>
              <w:rPr/>
            </w:pPr>
            <w:r>
              <w:rPr/>
              <w:t>—</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w:t>
            </w:r>
          </w:p>
        </w:tc>
        <w:tc>
          <w:tcPr>
            <w:tcW w:w="661" w:type="dxa"/>
            <w:tcBorders/>
            <w:shd w:fill="auto" w:val="clear"/>
            <w:vAlign w:val="center"/>
          </w:tcPr>
          <w:p>
            <w:pPr>
              <w:pStyle w:val="TableContents"/>
              <w:spacing w:before="0" w:after="283"/>
              <w:jc w:val="right"/>
              <w:rPr/>
            </w:pPr>
            <w:r>
              <w:rPr/>
              <w:t>4,345</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283"/>
              <w:rPr/>
            </w:pPr>
            <w:r>
              <w:rPr/>
              <w:t>$</w:t>
            </w:r>
          </w:p>
        </w:tc>
        <w:tc>
          <w:tcPr>
            <w:tcW w:w="526" w:type="dxa"/>
            <w:tcBorders/>
            <w:shd w:fill="auto" w:val="clear"/>
            <w:vAlign w:val="center"/>
          </w:tcPr>
          <w:p>
            <w:pPr>
              <w:pStyle w:val="TableContents"/>
              <w:spacing w:before="0" w:after="283"/>
              <w:jc w:val="right"/>
              <w:rPr/>
            </w:pPr>
            <w:r>
              <w:rPr/>
              <w:t>664</w:t>
            </w:r>
          </w:p>
        </w:tc>
        <w:tc>
          <w:tcPr>
            <w:tcW w:w="75" w:type="dxa"/>
            <w:tcBorders/>
            <w:shd w:fill="auto"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44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5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Intrinsic value of share options exercised</w:t>
            </w:r>
          </w:p>
        </w:tc>
        <w:tc>
          <w:tcPr>
            <w:tcW w:w="12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448" w:type="dxa"/>
            <w:tcBorders/>
            <w:shd w:fill="CCEEFF" w:val="clear"/>
            <w:vAlign w:val="center"/>
          </w:tcPr>
          <w:p>
            <w:pPr>
              <w:pStyle w:val="TableContents"/>
              <w:spacing w:before="0" w:after="283"/>
              <w:jc w:val="right"/>
              <w:rPr/>
            </w:pPr>
            <w:r>
              <w:rPr/>
              <w:t>—</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661" w:type="dxa"/>
            <w:tcBorders/>
            <w:shd w:fill="CCEEFF" w:val="clear"/>
            <w:vAlign w:val="center"/>
          </w:tcPr>
          <w:p>
            <w:pPr>
              <w:pStyle w:val="TableContents"/>
              <w:spacing w:before="0" w:after="283"/>
              <w:jc w:val="right"/>
              <w:rPr/>
            </w:pPr>
            <w:r>
              <w:rPr/>
              <w:t>1,655</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w:t>
            </w:r>
          </w:p>
        </w:tc>
        <w:tc>
          <w:tcPr>
            <w:tcW w:w="526" w:type="dxa"/>
            <w:tcBorders/>
            <w:shd w:fill="CCEEFF" w:val="clear"/>
            <w:vAlign w:val="center"/>
          </w:tcPr>
          <w:p>
            <w:pPr>
              <w:pStyle w:val="TableContents"/>
              <w:spacing w:before="0" w:after="283"/>
              <w:jc w:val="right"/>
              <w:rPr/>
            </w:pPr>
            <w:r>
              <w:rPr/>
              <w:t>129</w:t>
            </w:r>
          </w:p>
        </w:tc>
        <w:tc>
          <w:tcPr>
            <w:tcW w:w="75" w:type="dxa"/>
            <w:tcBorders/>
            <w:shd w:fill="CCEEFF"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44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6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16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26"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2022, there were $132 unrecognized compensation costs related to share options under the 2011 Share Incentive Plan and the costs are expected to be recognized over a weighted average period of 1.06 years.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Restricted Shares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Certain restricted shares were approved by Melco to be granted under the 2011 Share Incentive Plan to the eligible management personnel of the Company in lieu of the 2020 bonus for their services performed during 2020. A total of 1,899,897 restricted shares were granted and vested immediately on March 31, 2021 (the “2020 Bonus Shares”) with the grant date fair value of $19.91 per ADS or $6.6367 per share, which was the closing price of Melco’s ADS trading on the Nasdaq Global Select Market on the date of grant. Share-based compensation expenses of $13,799, of which $921 were capitalized, were recognized for such grant during the year ended December 31, 2020 based on the estimated bonus amount.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July 7, 2021, a total of 52,056 restricted shares were granted to employees of an affiliated company, a subsidiary of Melco International, for their services rendered to Melco International, with vesting periods of three months to twelve months. The grant date fair value for these restricted shares, which was determined with reference to the market closing price of Melco’s ADS trading on the Nasdaq Global Select Market 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F-6</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2011 Share Incentive Plan</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Restricted Shares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the date of grant, were recognized as deemed distribution to Melco International in respect of share-based compensation against retained earnings over the vesting period. Deemed distribution to Melco International in respect of these restricted shares of $143 and $136 were recognized during the years ended December 31, 2022 and 2021, respectively. The reimbursement from Melco International of $279</w:t>
      </w:r>
    </w:p>
    <w:p>
      <w:pPr>
        <w:pStyle w:val="TextBody"/>
        <w:spacing w:before="0" w:after="0"/>
        <w:jc w:val="left"/>
        <w:rPr>
          <w:spacing w:val="0"/>
        </w:rPr>
      </w:pPr>
      <w:r>
        <w:rPr>
          <w:spacing w:val="0"/>
        </w:rPr>
        <w:t> </w:t>
      </w:r>
      <w:r>
        <w:rPr>
          <w:rFonts w:ascii="Times New Roman" w:hAnsi="Times New Roman"/>
          <w:spacing w:val="0"/>
          <w:sz w:val="20"/>
        </w:rPr>
        <w:t xml:space="preserve">for restricted shares granted to employees of an affiliated company were recognized as an increase in additional </w:t>
      </w:r>
    </w:p>
    <w:p>
      <w:pPr>
        <w:pStyle w:val="TextBody"/>
        <w:spacing w:before="0" w:after="0"/>
        <w:jc w:val="left"/>
        <w:rPr>
          <w:rFonts w:ascii="Times New Roman" w:hAnsi="Times New Roman"/>
          <w:spacing w:val="0"/>
          <w:sz w:val="20"/>
        </w:rPr>
      </w:pPr>
      <w:r>
        <w:rPr>
          <w:rFonts w:ascii="Times New Roman" w:hAnsi="Times New Roman"/>
          <w:spacing w:val="0"/>
          <w:sz w:val="20"/>
        </w:rPr>
        <w:t>paid-in</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capital of the Company as deemed contribution from Melco International in respect of these restricted shares, with a corresponding increase in receivable from affiliated companies in the consolidated balance sheet.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were no restricted shares granted under the 2011 Share Incentive Plan during the year ended December 31, 2022. Other than the restricted shares granted under the 2020 Bonus Shares as described above, the grant date fair values for restricted shares granted under the 2011 Share Incentive Plan during the years ended December 31, 2021 and 2020, with vesting periods of generally three months to three years, were determined with reference to the market closing prices of Melco’s ADS trading on the Nasdaq Global Select Market on the dates of grant. </w:t>
      </w:r>
    </w:p>
    <w:p>
      <w:pPr>
        <w:pStyle w:val="TextBody"/>
        <w:spacing w:before="120" w:after="0"/>
        <w:jc w:val="left"/>
        <w:rPr>
          <w:rFonts w:ascii="Times New Roman" w:hAnsi="Times New Roman"/>
          <w:spacing w:val="0"/>
          <w:sz w:val="20"/>
        </w:rPr>
      </w:pPr>
      <w:r>
        <w:rPr>
          <w:rFonts w:ascii="Times New Roman" w:hAnsi="Times New Roman"/>
          <w:spacing w:val="0"/>
          <w:sz w:val="20"/>
        </w:rPr>
        <w:t>A summary of the restricted shares activity under the 2011 Share Incentive Plan for the year ended December 31, 2022, is presented as follows:</w:t>
      </w:r>
    </w:p>
    <w:p>
      <w:pPr>
        <w:pStyle w:val="TextBody"/>
        <w:spacing w:before="0" w:after="0"/>
        <w:ind w:left="0" w:right="0" w:hanging="0"/>
        <w:jc w:val="left"/>
        <w:rPr>
          <w:spacing w:val="0"/>
        </w:rPr>
      </w:pPr>
      <w:r>
        <w:rPr>
          <w:spacing w:val="0"/>
        </w:rPr>
        <w:t> </w:t>
      </w:r>
    </w:p>
    <w:tbl>
      <w:tblPr>
        <w:tblW w:w="5605" w:type="dxa"/>
        <w:jc w:val="left"/>
        <w:tblInd w:w="0" w:type="dxa"/>
        <w:tblCellMar>
          <w:top w:w="0" w:type="dxa"/>
          <w:left w:w="0" w:type="dxa"/>
          <w:bottom w:w="0" w:type="dxa"/>
          <w:right w:w="0" w:type="dxa"/>
        </w:tblCellMar>
      </w:tblPr>
      <w:tblGrid>
        <w:gridCol w:w="2840"/>
        <w:gridCol w:w="120"/>
        <w:gridCol w:w="60"/>
        <w:gridCol w:w="1175"/>
        <w:gridCol w:w="95"/>
        <w:gridCol w:w="120"/>
        <w:gridCol w:w="140"/>
        <w:gridCol w:w="980"/>
        <w:gridCol w:w="75"/>
      </w:tblGrid>
      <w:tr>
        <w:trPr/>
        <w:tc>
          <w:tcPr>
            <w:tcW w:w="2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4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Number of</w:t>
              <w:br/>
              <w:t>Restricted</w:t>
              <w:br/>
              <w:t>Shares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Weighted</w:t>
              <w:br/>
              <w:t>Average</w:t>
              <w:br/>
              <w:t>Grant Date</w:t>
              <w:br/>
              <w:t>Fair Value</w:t>
            </w:r>
          </w:p>
        </w:tc>
        <w:tc>
          <w:tcPr>
            <w:tcW w:w="75" w:type="dxa"/>
            <w:tcBorders/>
            <w:shd w:fill="auto" w:val="clear"/>
            <w:vAlign w:val="center"/>
          </w:tcPr>
          <w:p>
            <w:pPr>
              <w:pStyle w:val="TableContents"/>
              <w:spacing w:before="0" w:after="0"/>
              <w:rPr>
                <w:spacing w:val="0"/>
              </w:rPr>
            </w:pPr>
            <w:r>
              <w:rPr>
                <w:spacing w:val="0"/>
              </w:rPr>
              <w:t> </w:t>
            </w:r>
          </w:p>
        </w:tc>
      </w:tr>
      <w:tr>
        <w:trPr/>
        <w:tc>
          <w:tcPr>
            <w:tcW w:w="28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as of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18,531,384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r>
              <w:rPr/>
              <w:t>5.35</w:t>
            </w:r>
          </w:p>
        </w:tc>
        <w:tc>
          <w:tcPr>
            <w:tcW w:w="75" w:type="dxa"/>
            <w:tcBorders/>
            <w:shd w:fill="CCEEFF" w:val="clear"/>
            <w:vAlign w:val="center"/>
          </w:tcPr>
          <w:p>
            <w:pPr>
              <w:pStyle w:val="TableContents"/>
              <w:spacing w:before="0" w:after="283"/>
              <w:rPr/>
            </w:pPr>
            <w:r>
              <w:rPr/>
              <w:t> </w:t>
            </w:r>
          </w:p>
        </w:tc>
      </w:tr>
      <w:tr>
        <w:trPr/>
        <w:tc>
          <w:tcPr>
            <w:tcW w:w="28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(10,282,560</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xml:space="preserve">5.29 </w:t>
            </w:r>
          </w:p>
        </w:tc>
        <w:tc>
          <w:tcPr>
            <w:tcW w:w="75" w:type="dxa"/>
            <w:tcBorders/>
            <w:shd w:fill="auto" w:val="clear"/>
            <w:vAlign w:val="center"/>
          </w:tcPr>
          <w:p>
            <w:pPr>
              <w:pStyle w:val="TableContents"/>
              <w:spacing w:before="0" w:after="283"/>
              <w:rPr/>
            </w:pPr>
            <w:r>
              <w:rPr/>
              <w:t> </w:t>
            </w:r>
          </w:p>
        </w:tc>
      </w:tr>
      <w:tr>
        <w:trPr/>
        <w:tc>
          <w:tcPr>
            <w:tcW w:w="28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75" w:type="dxa"/>
            <w:tcBorders/>
            <w:shd w:fill="CCEEFF" w:val="clear"/>
            <w:vAlign w:val="center"/>
          </w:tcPr>
          <w:p>
            <w:pPr>
              <w:pStyle w:val="TableContents"/>
              <w:spacing w:before="0" w:after="283"/>
              <w:jc w:val="right"/>
              <w:rPr/>
            </w:pPr>
            <w:r>
              <w:rPr/>
              <w:t>(543,504</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5.57</w:t>
            </w:r>
          </w:p>
        </w:tc>
        <w:tc>
          <w:tcPr>
            <w:tcW w:w="75" w:type="dxa"/>
            <w:tcBorders/>
            <w:shd w:fill="CCEEFF" w:val="clear"/>
            <w:vAlign w:val="center"/>
          </w:tcPr>
          <w:p>
            <w:pPr>
              <w:pStyle w:val="TableContents"/>
              <w:spacing w:before="0" w:after="283"/>
              <w:rPr/>
            </w:pPr>
            <w:r>
              <w:rPr/>
              <w:t> </w:t>
            </w:r>
          </w:p>
        </w:tc>
      </w:tr>
      <w:tr>
        <w:trPr/>
        <w:tc>
          <w:tcPr>
            <w:tcW w:w="28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8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5" w:type="dxa"/>
            <w:tcBorders/>
            <w:shd w:fill="auto" w:val="clear"/>
            <w:vAlign w:val="center"/>
          </w:tcPr>
          <w:p>
            <w:pPr>
              <w:pStyle w:val="TableContents"/>
              <w:spacing w:before="0" w:after="283"/>
              <w:jc w:val="right"/>
              <w:rPr/>
            </w:pPr>
            <w:r>
              <w:rPr/>
              <w:t>7,705,320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5.42</w:t>
            </w:r>
          </w:p>
        </w:tc>
        <w:tc>
          <w:tcPr>
            <w:tcW w:w="75" w:type="dxa"/>
            <w:tcBorders/>
            <w:shd w:fill="auto" w:val="clear"/>
            <w:vAlign w:val="center"/>
          </w:tcPr>
          <w:p>
            <w:pPr>
              <w:pStyle w:val="TableContents"/>
              <w:spacing w:before="0" w:after="283"/>
              <w:rPr/>
            </w:pPr>
            <w:r>
              <w:rPr/>
              <w:t> </w:t>
            </w:r>
          </w:p>
        </w:tc>
      </w:tr>
      <w:tr>
        <w:trPr/>
        <w:tc>
          <w:tcPr>
            <w:tcW w:w="28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information is provided for restricted shares under the 2011 Share Incentive Plan: </w:t>
      </w:r>
    </w:p>
    <w:p>
      <w:pPr>
        <w:pStyle w:val="TextBody"/>
        <w:spacing w:before="0" w:after="0"/>
        <w:jc w:val="left"/>
        <w:rPr>
          <w:spacing w:val="0"/>
        </w:rPr>
      </w:pPr>
      <w:r>
        <w:rPr>
          <w:spacing w:val="0"/>
        </w:rPr>
        <w:t> </w:t>
      </w:r>
    </w:p>
    <w:tbl>
      <w:tblPr>
        <w:tblW w:w="8195" w:type="dxa"/>
        <w:jc w:val="left"/>
        <w:tblInd w:w="0" w:type="dxa"/>
        <w:tblCellMar>
          <w:top w:w="0" w:type="dxa"/>
          <w:left w:w="0" w:type="dxa"/>
          <w:bottom w:w="0" w:type="dxa"/>
          <w:right w:w="0" w:type="dxa"/>
        </w:tblCellMar>
      </w:tblPr>
      <w:tblGrid>
        <w:gridCol w:w="3800"/>
        <w:gridCol w:w="120"/>
        <w:gridCol w:w="140"/>
        <w:gridCol w:w="1100"/>
        <w:gridCol w:w="60"/>
        <w:gridCol w:w="120"/>
        <w:gridCol w:w="140"/>
        <w:gridCol w:w="1160"/>
        <w:gridCol w:w="60"/>
        <w:gridCol w:w="120"/>
        <w:gridCol w:w="140"/>
        <w:gridCol w:w="1160"/>
        <w:gridCol w:w="75"/>
      </w:tblGrid>
      <w:tr>
        <w:trPr/>
        <w:tc>
          <w:tcPr>
            <w:tcW w:w="3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200" w:type="dxa"/>
            <w:gridSpan w:val="10"/>
            <w:tcBorders>
              <w:bottom w:val="single" w:sz="8" w:space="0" w:color="000000"/>
            </w:tcBorders>
            <w:shd w:fill="auto" w:val="clear"/>
            <w:tcMar>
              <w:bottom w:w="28" w:type="dxa"/>
            </w:tcMar>
            <w:vAlign w:val="center"/>
          </w:tcPr>
          <w:p>
            <w:pPr>
              <w:pStyle w:val="TableContents"/>
              <w:spacing w:before="0" w:after="283"/>
              <w:jc w:val="center"/>
              <w:rPr/>
            </w:pPr>
            <w:r>
              <w:rPr/>
              <w:t>Year Ended December 31,</w:t>
            </w:r>
          </w:p>
        </w:tc>
        <w:tc>
          <w:tcPr>
            <w:tcW w:w="75" w:type="dxa"/>
            <w:tcBorders/>
            <w:shd w:fill="auto" w:val="clear"/>
            <w:vAlign w:val="center"/>
          </w:tcPr>
          <w:p>
            <w:pPr>
              <w:pStyle w:val="TableContents"/>
              <w:spacing w:before="0" w:after="283"/>
              <w:rPr/>
            </w:pPr>
            <w:r>
              <w:rPr/>
              <w:t> </w:t>
            </w:r>
          </w:p>
        </w:tc>
      </w:tr>
      <w:tr>
        <w:trPr/>
        <w:tc>
          <w:tcPr>
            <w:tcW w:w="38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283"/>
              <w:jc w:val="center"/>
              <w:rPr/>
            </w:pPr>
            <w:r>
              <w:rPr/>
              <w:t>2020</w:t>
            </w:r>
          </w:p>
        </w:tc>
        <w:tc>
          <w:tcPr>
            <w:tcW w:w="75" w:type="dxa"/>
            <w:tcBorders/>
            <w:shd w:fill="auto"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grant date fair value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6.07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4.17</w:t>
            </w:r>
          </w:p>
        </w:tc>
        <w:tc>
          <w:tcPr>
            <w:tcW w:w="75" w:type="dxa"/>
            <w:tcBorders/>
            <w:shd w:fill="CCEEFF" w:val="clear"/>
            <w:vAlign w:val="center"/>
          </w:tcPr>
          <w:p>
            <w:pPr>
              <w:pStyle w:val="TableContents"/>
              <w:spacing w:before="0" w:after="283"/>
              <w:rPr/>
            </w:pPr>
            <w:r>
              <w:rPr/>
              <w:t> </w:t>
            </w:r>
          </w:p>
        </w:tc>
      </w:tr>
      <w:tr>
        <w:trPr/>
        <w:tc>
          <w:tcPr>
            <w:tcW w:w="38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8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 date fair value of restricted shares vested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54,424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        </w:t>
            </w:r>
            <w:r>
              <w:rPr/>
              <w:t>43,533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        </w:t>
            </w:r>
            <w:r>
              <w:rPr/>
              <w:t>20,317</w:t>
            </w:r>
          </w:p>
        </w:tc>
        <w:tc>
          <w:tcPr>
            <w:tcW w:w="75" w:type="dxa"/>
            <w:tcBorders/>
            <w:shd w:fill="auto" w:val="clear"/>
            <w:vAlign w:val="center"/>
          </w:tcPr>
          <w:p>
            <w:pPr>
              <w:pStyle w:val="TableContents"/>
              <w:spacing w:before="0" w:after="283"/>
              <w:rPr/>
            </w:pPr>
            <w:r>
              <w:rPr/>
              <w:t> </w:t>
            </w:r>
          </w:p>
        </w:tc>
      </w:tr>
      <w:tr>
        <w:trPr/>
        <w:tc>
          <w:tcPr>
            <w:tcW w:w="38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there were $13,119 unrecognized compensation costs related to restricted shares under the 2011 Share Incentive Plan and the costs are expected to be recognized over a weighted average period of 1.05 years.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2021 Share Incentive Plan </w:t>
      </w:r>
    </w:p>
    <w:p>
      <w:pPr>
        <w:pStyle w:val="TextBody"/>
        <w:spacing w:before="120" w:after="0"/>
        <w:jc w:val="left"/>
        <w:rPr>
          <w:rFonts w:ascii="Times New Roman" w:hAnsi="Times New Roman"/>
          <w:sz w:val="20"/>
        </w:rPr>
      </w:pPr>
      <w:r>
        <w:rPr>
          <w:rFonts w:ascii="Times New Roman" w:hAnsi="Times New Roman"/>
          <w:sz w:val="20"/>
        </w:rPr>
        <w:t xml:space="preserve">Melco adopted the 2021 Share Incentive Plan, effective on December 6, 2021, for grants of various </w:t>
      </w:r>
    </w:p>
    <w:p>
      <w:pPr>
        <w:pStyle w:val="TextBody"/>
        <w:spacing w:before="120" w:after="0"/>
        <w:jc w:val="left"/>
        <w:rPr>
          <w:rFonts w:ascii="Times New Roman" w:hAnsi="Times New Roman"/>
          <w:spacing w:val="0"/>
          <w:sz w:val="20"/>
        </w:rPr>
      </w:pPr>
      <w:r>
        <w:rPr>
          <w:rFonts w:ascii="Times New Roman" w:hAnsi="Times New Roman"/>
          <w:spacing w:val="0"/>
          <w:sz w:val="20"/>
        </w:rPr>
        <w:t>share-based</w:t>
      </w:r>
    </w:p>
    <w:p>
      <w:pPr>
        <w:pStyle w:val="TextBody"/>
        <w:spacing w:before="120" w:after="0"/>
        <w:jc w:val="left"/>
        <w:rPr>
          <w:rFonts w:ascii="Times New Roman" w:hAnsi="Times New Roman"/>
          <w:sz w:val="20"/>
        </w:rPr>
      </w:pPr>
      <w:r>
        <w:rPr>
          <w:rFonts w:ascii="Times New Roman" w:hAnsi="Times New Roman"/>
          <w:sz w:val="20"/>
        </w:rPr>
        <w:t xml:space="preserve">awards, including but not limited to, options to purchase Melco’s ordinary shares, restricted shares, share appreciation rights and other types of awards to eligible directors, employees and consultants of the Company and its affiliates. The maximum term of an award is 10 years from the date of the grant.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F-6</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2021 Share Incentive Plan</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maximum aggregate number of ordinary shares to be available for all awards under the 2021 Share Incentive Plan may be increased from time to time, provided that the maximum aggregate number of Melco’s ordinary shares which may be issued upon exercise of options granted under the 2021 Share Incentive Plan shall not be more than 10% of the total number of the issued share capital of Melco on the date the new plan limit is approved by the shareholders of Melco International in accordance with the applicable listing rules in Hong Kong. As of December 31, 2022, there were 115,536,483 ordinary shares available for grants of various share-based awards under the 2021 Share Incentive Plan.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Share Options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 ended December 31, 2022, the exercise prices for share options granted under the 2021 Share Incentive Plan were determined at the market closing prices of Melco’s ADS trading on the Nasdaq Global Select Market on the dates of grant. These share options became exercisable over vesting periods of one to three years. The share options granted expire 10 years from the date of grant. There were </w:t>
      </w:r>
    </w:p>
    <w:p>
      <w:pPr>
        <w:pStyle w:val="TextBody"/>
        <w:spacing w:before="120" w:after="0"/>
        <w:jc w:val="left"/>
        <w:rPr>
          <w:rFonts w:ascii="Times New Roman" w:hAnsi="Times New Roman"/>
          <w:spacing w:val="0"/>
          <w:sz w:val="20"/>
        </w:rPr>
      </w:pPr>
      <w:r>
        <w:rPr>
          <w:rFonts w:ascii="Times New Roman" w:hAnsi="Times New Roman"/>
          <w:spacing w:val="0"/>
          <w:sz w:val="20"/>
        </w:rPr>
        <w:t>no</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share options granted under the 2021 Share Incentive Plan during the year ended December 31, 2021.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Melco’s ADS trading on the Nasdaq Global Select Market. Expected term is based upon the vesting term or the historical expected term of publicly traded companies. The risk-free interest rate used for each period presented is based on the United States of America Treasury yield curve at the time of grant for the period equal to the expected term. </w:t>
      </w:r>
    </w:p>
    <w:p>
      <w:pPr>
        <w:pStyle w:val="TextBody"/>
        <w:spacing w:before="120" w:after="0"/>
        <w:jc w:val="left"/>
        <w:rPr>
          <w:rFonts w:ascii="Times New Roman" w:hAnsi="Times New Roman"/>
          <w:spacing w:val="0"/>
          <w:sz w:val="20"/>
        </w:rPr>
      </w:pPr>
      <w:r>
        <w:rPr>
          <w:rFonts w:ascii="Times New Roman" w:hAnsi="Times New Roman"/>
          <w:spacing w:val="0"/>
          <w:sz w:val="20"/>
        </w:rPr>
        <w:t>The fair values of share options granted under the 2021 Share Incentive Plan were estimated on the dates of grant using the following weighted average assumptions:</w:t>
      </w:r>
    </w:p>
    <w:p>
      <w:pPr>
        <w:pStyle w:val="TextBody"/>
        <w:spacing w:before="0" w:after="0"/>
        <w:ind w:left="0" w:right="0" w:hanging="0"/>
        <w:jc w:val="left"/>
        <w:rPr>
          <w:spacing w:val="0"/>
        </w:rPr>
      </w:pPr>
      <w:r>
        <w:rPr>
          <w:spacing w:val="0"/>
        </w:rPr>
        <w:t> </w:t>
      </w:r>
    </w:p>
    <w:tbl>
      <w:tblPr>
        <w:tblW w:w="4845" w:type="dxa"/>
        <w:jc w:val="left"/>
        <w:tblInd w:w="0" w:type="dxa"/>
        <w:tblCellMar>
          <w:top w:w="0" w:type="dxa"/>
          <w:left w:w="0" w:type="dxa"/>
          <w:bottom w:w="0" w:type="dxa"/>
          <w:right w:w="0" w:type="dxa"/>
        </w:tblCellMar>
      </w:tblPr>
      <w:tblGrid>
        <w:gridCol w:w="2540"/>
        <w:gridCol w:w="120"/>
        <w:gridCol w:w="183"/>
        <w:gridCol w:w="1712"/>
        <w:gridCol w:w="290"/>
      </w:tblGrid>
      <w:tr>
        <w:trPr/>
        <w:tc>
          <w:tcPr>
            <w:tcW w:w="2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w:t>
              <w:br/>
              <w:t>December 31, 2022</w:t>
            </w:r>
          </w:p>
        </w:tc>
        <w:tc>
          <w:tcPr>
            <w:tcW w:w="290" w:type="dxa"/>
            <w:tcBorders/>
            <w:shd w:fill="auto" w:val="clear"/>
            <w:vAlign w:val="center"/>
          </w:tcPr>
          <w:p>
            <w:pPr>
              <w:pStyle w:val="TableContents"/>
              <w:spacing w:before="0" w:after="0"/>
              <w:rPr>
                <w:spacing w:val="0"/>
              </w:rPr>
            </w:pPr>
            <w:r>
              <w:rPr>
                <w:spacing w:val="0"/>
              </w:rPr>
              <w:t> </w:t>
            </w:r>
          </w:p>
        </w:tc>
      </w:tr>
      <w:tr>
        <w:trPr/>
        <w:tc>
          <w:tcPr>
            <w:tcW w:w="2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2.50</w:t>
            </w:r>
          </w:p>
        </w:tc>
        <w:tc>
          <w:tcPr>
            <w:tcW w:w="290"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stock price volatility</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51.00</w:t>
            </w:r>
          </w:p>
        </w:tc>
        <w:tc>
          <w:tcPr>
            <w:tcW w:w="290"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712" w:type="dxa"/>
            <w:tcBorders/>
            <w:shd w:fill="CCEEFF" w:val="clear"/>
            <w:vAlign w:val="center"/>
          </w:tcPr>
          <w:p>
            <w:pPr>
              <w:pStyle w:val="TableContents"/>
              <w:spacing w:before="0" w:after="283"/>
              <w:jc w:val="right"/>
              <w:rPr/>
            </w:pPr>
            <w:r>
              <w:rPr/>
              <w:t>2.69</w:t>
            </w:r>
          </w:p>
        </w:tc>
        <w:tc>
          <w:tcPr>
            <w:tcW w:w="290"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term (years)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712" w:type="dxa"/>
            <w:tcBorders/>
            <w:shd w:fill="auto" w:val="clear"/>
            <w:vAlign w:val="center"/>
          </w:tcPr>
          <w:p>
            <w:pPr>
              <w:pStyle w:val="TableContents"/>
              <w:spacing w:before="0" w:after="283"/>
              <w:jc w:val="right"/>
              <w:rPr/>
            </w:pPr>
            <w:r>
              <w:rPr/>
              <w:t>5.1</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On March 28, 2022, the compensation committee of Melco approved a proposal to allow for an option exchange program, designed to provide the eligible participants an opportunity to exchange certain outstanding underwater share options for new share options and new restricted shares to be granted, subject to the eligible participants’ consent (the “Option Exchange Program”). The share options eligible for exchange under the Option Exchange Program were those that were granted during the years from 2012 to 2021 under the 2011 Share Incentive Plan, including those unvested, or vested but not exercised or the unexercised share options granted in 2012 but expired in March 2022. The Option Exchange Program became unconditional and effective on April 15, 2022, the date Melco accepted the eligible participants’ consent (the “Modification Date”), with a total of 26,076,978 eligible share options were tendered and surrendered by eligible participants (the “Cancelled Share Options”) and Melco granted an aggregate of 2,486,241 new share options (the “Replacement Share Options”) and 5,912,547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new restricted shares (the “Replacement Restricted Shares”) under the 2021 Share Incentive Plan. The Replacement Share Options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2021 Share Incentive Plan</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Share Options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and Replacement Restricted Shares have vesting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periods of one to two years. </w:t>
      </w:r>
    </w:p>
    <w:p>
      <w:pPr>
        <w:pStyle w:val="TextBody"/>
        <w:spacing w:before="0" w:after="0"/>
        <w:jc w:val="left"/>
        <w:rPr>
          <w:rFonts w:ascii="Times New Roman" w:hAnsi="Times New Roman"/>
          <w:spacing w:val="0"/>
          <w:sz w:val="20"/>
        </w:rPr>
      </w:pPr>
      <w:r>
        <w:rPr>
          <w:rFonts w:ascii="Times New Roman" w:hAnsi="Times New Roman"/>
          <w:spacing w:val="0"/>
          <w:sz w:val="20"/>
        </w:rPr>
        <w:t>The Replacement Share Options expire 10 years from April 6, 2022. A total incremental share-based compensation expense resulting from the Option Exchange program was approximately $3,306, representing the excess of (i) the fair value of certain Replacement Share Options measured using the Black-Scholes valuation model on the Modification Date; and (ii) the fair value of certain Replacement Restricted Shares determined with reference to the market closing price of Melco’s ADS trading on the Nasdaq Global Select Market on the Modification Date, over the fair value of the Cancelled Share Options that were granted during 2013 to 2021 immediately before the exchange. The incremental share-based compensation expenses and the unrecognized compensation costs remaining from the Cancelled Share Options are being recognized over the new vesting periods of the Replacement Share Options and Replacement Restricted Shares. The weighted average fair value of the Replacement Share Options at the Modification Date was $0.82.</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fair values of the Replacement Share Options granted under the 2021 Share Incentive Plan were estimated on the Modification Date using the following weighted average assumptions: </w:t>
      </w:r>
    </w:p>
    <w:p>
      <w:pPr>
        <w:pStyle w:val="TextBody"/>
        <w:spacing w:before="0" w:after="0"/>
        <w:jc w:val="left"/>
        <w:rPr>
          <w:spacing w:val="0"/>
        </w:rPr>
      </w:pPr>
      <w:r>
        <w:rPr>
          <w:spacing w:val="0"/>
        </w:rPr>
        <w:t> </w:t>
      </w:r>
    </w:p>
    <w:tbl>
      <w:tblPr>
        <w:tblW w:w="3570" w:type="dxa"/>
        <w:jc w:val="left"/>
        <w:tblInd w:w="0" w:type="dxa"/>
        <w:tblCellMar>
          <w:top w:w="0" w:type="dxa"/>
          <w:left w:w="0" w:type="dxa"/>
          <w:bottom w:w="0" w:type="dxa"/>
          <w:right w:w="0" w:type="dxa"/>
        </w:tblCellMar>
      </w:tblPr>
      <w:tblGrid>
        <w:gridCol w:w="2540"/>
        <w:gridCol w:w="120"/>
        <w:gridCol w:w="60"/>
        <w:gridCol w:w="560"/>
        <w:gridCol w:w="290"/>
      </w:tblGrid>
      <w:tr>
        <w:trPr/>
        <w:tc>
          <w:tcPr>
            <w:tcW w:w="2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2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2.50</w:t>
            </w:r>
          </w:p>
        </w:tc>
        <w:tc>
          <w:tcPr>
            <w:tcW w:w="290"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stock price volatility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52.50</w:t>
            </w:r>
          </w:p>
        </w:tc>
        <w:tc>
          <w:tcPr>
            <w:tcW w:w="290" w:type="dxa"/>
            <w:tcBorders/>
            <w:shd w:fill="auto" w:val="clear"/>
            <w:vAlign w:val="center"/>
          </w:tcPr>
          <w:p>
            <w:pPr>
              <w:pStyle w:val="TableContents"/>
              <w:spacing w:before="0" w:after="283"/>
              <w:rPr/>
            </w:pPr>
            <w:r>
              <w:rPr/>
              <w:t>% </w:t>
            </w:r>
          </w:p>
        </w:tc>
      </w:tr>
      <w:tr>
        <w:trPr/>
        <w:tc>
          <w:tcPr>
            <w:tcW w:w="2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Risk-free interest rate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2.75</w:t>
            </w:r>
          </w:p>
        </w:tc>
        <w:tc>
          <w:tcPr>
            <w:tcW w:w="290" w:type="dxa"/>
            <w:tcBorders/>
            <w:shd w:fill="CCEEFF" w:val="clear"/>
            <w:vAlign w:val="center"/>
          </w:tcPr>
          <w:p>
            <w:pPr>
              <w:pStyle w:val="TableContents"/>
              <w:spacing w:before="0" w:after="283"/>
              <w:rPr/>
            </w:pPr>
            <w:r>
              <w:rPr/>
              <w:t>% </w:t>
            </w:r>
          </w:p>
        </w:tc>
      </w:tr>
      <w:tr>
        <w:trPr/>
        <w:tc>
          <w:tcPr>
            <w:tcW w:w="2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term (years)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4.6</w:t>
            </w:r>
          </w:p>
        </w:tc>
        <w:tc>
          <w:tcPr>
            <w:tcW w:w="290"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 summary of the share options activity under the 2021 Share Incentive Plan for the year ended December 31, 2022, is presented as follows: </w:t>
      </w:r>
    </w:p>
    <w:p>
      <w:pPr>
        <w:pStyle w:val="TextBody"/>
        <w:spacing w:before="0" w:after="0"/>
        <w:jc w:val="left"/>
        <w:rPr>
          <w:spacing w:val="0"/>
        </w:rPr>
      </w:pPr>
      <w:r>
        <w:rPr>
          <w:spacing w:val="0"/>
        </w:rPr>
        <w:t> </w:t>
      </w:r>
    </w:p>
    <w:tbl>
      <w:tblPr>
        <w:tblW w:w="8895" w:type="dxa"/>
        <w:jc w:val="left"/>
        <w:tblInd w:w="0" w:type="dxa"/>
        <w:tblCellMar>
          <w:top w:w="0" w:type="dxa"/>
          <w:left w:w="0" w:type="dxa"/>
          <w:bottom w:w="0" w:type="dxa"/>
          <w:right w:w="0" w:type="dxa"/>
        </w:tblCellMar>
      </w:tblPr>
      <w:tblGrid>
        <w:gridCol w:w="3680"/>
        <w:gridCol w:w="120"/>
        <w:gridCol w:w="60"/>
        <w:gridCol w:w="995"/>
        <w:gridCol w:w="60"/>
        <w:gridCol w:w="120"/>
        <w:gridCol w:w="140"/>
        <w:gridCol w:w="1160"/>
        <w:gridCol w:w="60"/>
        <w:gridCol w:w="120"/>
        <w:gridCol w:w="133"/>
        <w:gridCol w:w="982"/>
        <w:gridCol w:w="60"/>
        <w:gridCol w:w="120"/>
        <w:gridCol w:w="202"/>
        <w:gridCol w:w="808"/>
        <w:gridCol w:w="75"/>
      </w:tblGrid>
      <w:tr>
        <w:trPr/>
        <w:tc>
          <w:tcPr>
            <w:tcW w:w="3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55" w:type="dxa"/>
            <w:gridSpan w:val="2"/>
            <w:tcBorders/>
            <w:shd w:fill="auto" w:val="clear"/>
            <w:vAlign w:val="center"/>
          </w:tcPr>
          <w:p>
            <w:pPr>
              <w:pStyle w:val="TableContents"/>
              <w:spacing w:before="0" w:after="0"/>
              <w:jc w:val="center"/>
              <w:rPr>
                <w:spacing w:val="0"/>
              </w:rPr>
            </w:pPr>
            <w:r>
              <w:rPr>
                <w:spacing w:val="0"/>
              </w:rPr>
              <w:t>Number of</w:t>
              <w:br/>
              <w:t>Share</w:t>
              <w:br/>
              <w:t>Options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00" w:type="dxa"/>
            <w:gridSpan w:val="2"/>
            <w:tcBorders/>
            <w:shd w:fill="auto" w:val="clear"/>
            <w:vAlign w:val="center"/>
          </w:tcPr>
          <w:p>
            <w:pPr>
              <w:pStyle w:val="TableContents"/>
              <w:spacing w:before="0" w:after="0"/>
              <w:jc w:val="center"/>
              <w:rPr>
                <w:spacing w:val="0"/>
              </w:rPr>
            </w:pPr>
            <w:r>
              <w:rPr>
                <w:spacing w:val="0"/>
              </w:rPr>
              <w:t>Weighted</w:t>
              <w:br/>
              <w:t>Average</w:t>
              <w:br/>
              <w:t>Exercise</w:t>
              <w:br/>
              <w:t>Price</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shd w:fill="auto" w:val="clear"/>
            <w:vAlign w:val="center"/>
          </w:tcPr>
          <w:p>
            <w:pPr>
              <w:pStyle w:val="TableContents"/>
              <w:spacing w:before="0" w:after="0"/>
              <w:jc w:val="center"/>
              <w:rPr>
                <w:spacing w:val="0"/>
              </w:rPr>
            </w:pPr>
            <w:r>
              <w:rPr>
                <w:spacing w:val="0"/>
              </w:rPr>
              <w:t>Weighted</w:t>
              <w:br/>
              <w:t>Average</w:t>
              <w:br/>
              <w:t>Remaining</w:t>
              <w:br/>
              <w:t>Contractual</w:t>
              <w:br/>
              <w:t>Term</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0" w:type="dxa"/>
            <w:gridSpan w:val="2"/>
            <w:tcBorders/>
            <w:shd w:fill="auto" w:val="clear"/>
            <w:vAlign w:val="center"/>
          </w:tcPr>
          <w:p>
            <w:pPr>
              <w:pStyle w:val="TableContents"/>
              <w:spacing w:before="0" w:after="0"/>
              <w:jc w:val="center"/>
              <w:rPr>
                <w:spacing w:val="0"/>
              </w:rPr>
            </w:pPr>
            <w:r>
              <w:rPr>
                <w:spacing w:val="0"/>
              </w:rPr>
              <w:t>Aggregate</w:t>
              <w:br/>
              <w:t>Intrinsic</w:t>
              <w:br/>
              <w:t>Value</w:t>
            </w:r>
          </w:p>
        </w:tc>
        <w:tc>
          <w:tcPr>
            <w:tcW w:w="75" w:type="dxa"/>
            <w:tcBorders/>
            <w:shd w:fill="auto" w:val="clear"/>
            <w:vAlign w:val="center"/>
          </w:tcPr>
          <w:p>
            <w:pPr>
              <w:pStyle w:val="TableContents"/>
              <w:spacing w:before="0" w:after="0"/>
              <w:rPr>
                <w:spacing w:val="0"/>
              </w:rPr>
            </w:pPr>
            <w:r>
              <w:rPr>
                <w:spacing w:val="0"/>
              </w:rPr>
              <w:t> </w:t>
            </w:r>
          </w:p>
        </w:tc>
      </w:tr>
      <w:tr>
        <w:trPr/>
        <w:tc>
          <w:tcPr>
            <w:tcW w:w="3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as of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2,874,285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2.47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 under the Option Exchange Program</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2,486,241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            </w:t>
            </w:r>
            <w:r>
              <w:rPr/>
              <w:t>2.47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 </w:t>
            </w:r>
          </w:p>
        </w:tc>
        <w:tc>
          <w:tcPr>
            <w:tcW w:w="808"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9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 </w:t>
            </w:r>
          </w:p>
        </w:tc>
        <w:tc>
          <w:tcPr>
            <w:tcW w:w="808"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5,360,526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2.47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jc w:val="right"/>
              <w:rPr/>
            </w:pPr>
            <w:r>
              <w:rPr/>
              <w:t>9.26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w:t>
            </w:r>
          </w:p>
        </w:tc>
        <w:tc>
          <w:tcPr>
            <w:tcW w:w="808" w:type="dxa"/>
            <w:tcBorders/>
            <w:shd w:fill="auto" w:val="clear"/>
            <w:vAlign w:val="center"/>
          </w:tcPr>
          <w:p>
            <w:pPr>
              <w:pStyle w:val="TableContents"/>
              <w:spacing w:before="0" w:after="283"/>
              <w:jc w:val="right"/>
              <w:rPr/>
            </w:pPr>
            <w:r>
              <w:rPr/>
              <w:t>7,326</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68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Expected to vest as of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95" w:type="dxa"/>
            <w:tcBorders/>
            <w:shd w:fill="CCEEFF" w:val="clear"/>
            <w:vAlign w:val="center"/>
          </w:tcPr>
          <w:p>
            <w:pPr>
              <w:pStyle w:val="TableContents"/>
              <w:spacing w:before="0" w:after="283"/>
              <w:jc w:val="right"/>
              <w:rPr/>
            </w:pPr>
            <w:r>
              <w:rPr/>
              <w:t>5,360,526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2.47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jc w:val="right"/>
              <w:rPr/>
            </w:pPr>
            <w:r>
              <w:rPr/>
              <w:t>9.26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rPr/>
            </w:pPr>
            <w:r>
              <w:rPr/>
              <w:t>$</w:t>
            </w:r>
          </w:p>
        </w:tc>
        <w:tc>
          <w:tcPr>
            <w:tcW w:w="808" w:type="dxa"/>
            <w:tcBorders/>
            <w:shd w:fill="CCEEFF" w:val="clear"/>
            <w:vAlign w:val="center"/>
          </w:tcPr>
          <w:p>
            <w:pPr>
              <w:pStyle w:val="TableContents"/>
              <w:spacing w:before="0" w:after="283"/>
              <w:jc w:val="right"/>
              <w:rPr/>
            </w:pPr>
            <w:r>
              <w:rPr/>
              <w:t>7,326</w:t>
            </w:r>
          </w:p>
        </w:tc>
        <w:tc>
          <w:tcPr>
            <w:tcW w:w="75" w:type="dxa"/>
            <w:tcBorders/>
            <w:shd w:fill="CCEEFF"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Exercisable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tcBorders/>
            <w:shd w:fill="auto" w:val="clear"/>
            <w:vAlign w:val="center"/>
          </w:tcPr>
          <w:p>
            <w:pPr>
              <w:pStyle w:val="TableContents"/>
              <w:spacing w:before="0" w:after="283"/>
              <w:jc w:val="right"/>
              <w:rPr/>
            </w:pPr>
            <w:r>
              <w:rPr/>
              <w:t xml:space="preserv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 xml:space="preserv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jc w:val="right"/>
              <w:rPr/>
            </w:pPr>
            <w:r>
              <w:rPr/>
              <w:t xml:space="preserv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283"/>
              <w:rPr/>
            </w:pPr>
            <w:r>
              <w:rPr/>
              <w:t>$</w:t>
            </w:r>
          </w:p>
        </w:tc>
        <w:tc>
          <w:tcPr>
            <w:tcW w:w="808" w:type="dxa"/>
            <w:tcBorders/>
            <w:shd w:fill="auto" w:val="clear"/>
            <w:vAlign w:val="center"/>
          </w:tcPr>
          <w:p>
            <w:pPr>
              <w:pStyle w:val="TableContents"/>
              <w:spacing w:before="0" w:after="283"/>
              <w:jc w:val="right"/>
              <w:rPr/>
            </w:pPr>
            <w:r>
              <w:rPr/>
              <w:t xml:space="preserve">— </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9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There were no share options exercised under the 2021 Share Incentive Plan during the year ended December 31, 2022. During the year ended December 31, 2022, the weighted average grant date fair value for share options (excluding the option granted under the Option Exchange Program) under the 2021 Share Incentive Plan was $0.94.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2021 Share Incentive Plan</w:t>
      </w:r>
    </w:p>
    <w:p>
      <w:pPr>
        <w:pStyle w:val="TextBody"/>
        <w:spacing w:before="120" w:after="0"/>
        <w:jc w:val="left"/>
        <w:rPr/>
      </w:pPr>
      <w:r>
        <w:rPr/>
        <w:t> </w:t>
      </w:r>
      <w:r>
        <w:rPr>
          <w:rFonts w:ascii="Times New Roman" w:hAnsi="Times New Roman"/>
          <w:sz w:val="20"/>
        </w:rPr>
        <w:t>- continued</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Share Options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As of December 31, 2022, there were $3,247 unrecognized compensation costs related to share options under the 2021 Share Incentive Plan and the costs are expected to be recognized over a weighted average period of 1.89 years.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Restricted Shares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Certain restricted shares were approved by Melco be granted under the 2021 Share Incentive Plan to the eligible management personnel of the Company and its affiliated company in lieu of the 2021 bonus for their services performed during 2021. A total of 4,578,543 restricted shares were granted and vested immediately on April 6, 2022 (the “2021 Bonus Shares”) with the grant date fair value of $7.40 per ADS or $2.47 per share, which was the closing price of Melco’s ADS trading on the Nasdaq Global Select Market on the date of grant. Based on the estimated bonus amount, share-based compensation expenses of $10,929, of which $729 were capitalized, were recognized for the restricted shares granted to the management personnel rendered services to the Company and deemed distribution to Melco International in respect of the restricted shares granted to employees of an affiliated company of $272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was recognized during the year ended December 31, 2021.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Certain restricted shares were approved by Melco be granted under the 2021 Share Incentive Plan to the eligible management personnel of the Company in lieu of the 2022 bonus for their services performed during 2022 (the “2022 Bonus Shares”). The 2022 Bonus Shares are expected to be granted in April 2023 and vest immediately on its grant date. Based on the estimated bonus amount, share-based compensation expenses of $17,926, of which $680 were capitalized, were recognized for such grant during the year ended December 31, 2022.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Other than the restricted shares granted under the 2021 Bonus Shares as described above, the fair values for restricted shares granted under the 2021 Share Incentive Plan during the year ended December 31, 2022, with vesting periods of generally</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five months</w:t>
      </w:r>
    </w:p>
    <w:p>
      <w:pPr>
        <w:pStyle w:val="TextBody"/>
        <w:spacing w:before="120" w:after="0"/>
        <w:jc w:val="left"/>
        <w:rPr>
          <w:rFonts w:ascii="Times New Roman" w:hAnsi="Times New Roman"/>
          <w:spacing w:val="0"/>
          <w:sz w:val="20"/>
        </w:rPr>
      </w:pPr>
      <w:r>
        <w:rPr>
          <w:rFonts w:ascii="Times New Roman" w:hAnsi="Times New Roman"/>
          <w:spacing w:val="0"/>
          <w:sz w:val="20"/>
        </w:rPr>
        <w:t>to</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three years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were determined with reference to the market closing prices of Melco’s ADS trading on the Nasdaq Global Select Market on the dates of grant or the Modification Date. There we</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 </w:t>
      </w:r>
    </w:p>
    <w:p>
      <w:pPr>
        <w:pStyle w:val="TextBody"/>
        <w:spacing w:before="120" w:after="0"/>
        <w:jc w:val="left"/>
        <w:rPr>
          <w:rFonts w:ascii="Times New Roman" w:hAnsi="Times New Roman"/>
          <w:sz w:val="20"/>
        </w:rPr>
      </w:pPr>
      <w:r>
        <w:rPr>
          <w:rFonts w:ascii="Times New Roman" w:hAnsi="Times New Roman"/>
          <w:sz w:val="20"/>
        </w:rPr>
        <w:t>no</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restricted shares granted under the 2021 Share Incentive Plan during the year ended December 31, 2021.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 summary of the restricted shares activity under the 2021 Share Incentive Plan for the year ended December 31, 2022, is presented as follows:</w:t>
      </w:r>
    </w:p>
    <w:p>
      <w:pPr>
        <w:pStyle w:val="TextBody"/>
        <w:spacing w:before="0" w:after="0"/>
        <w:ind w:left="0" w:right="0" w:hanging="0"/>
        <w:jc w:val="left"/>
        <w:rPr>
          <w:spacing w:val="0"/>
        </w:rPr>
      </w:pPr>
      <w:r>
        <w:rPr>
          <w:spacing w:val="0"/>
        </w:rPr>
        <w:t> </w:t>
      </w:r>
    </w:p>
    <w:tbl>
      <w:tblPr>
        <w:tblW w:w="7150" w:type="dxa"/>
        <w:jc w:val="left"/>
        <w:tblInd w:w="0" w:type="dxa"/>
        <w:tblCellMar>
          <w:top w:w="0" w:type="dxa"/>
          <w:left w:w="0" w:type="dxa"/>
          <w:bottom w:w="0" w:type="dxa"/>
          <w:right w:w="0" w:type="dxa"/>
        </w:tblCellMar>
      </w:tblPr>
      <w:tblGrid>
        <w:gridCol w:w="3680"/>
        <w:gridCol w:w="120"/>
        <w:gridCol w:w="60"/>
        <w:gridCol w:w="1160"/>
        <w:gridCol w:w="95"/>
        <w:gridCol w:w="120"/>
        <w:gridCol w:w="140"/>
        <w:gridCol w:w="1700"/>
        <w:gridCol w:w="75"/>
      </w:tblGrid>
      <w:tr>
        <w:trPr/>
        <w:tc>
          <w:tcPr>
            <w:tcW w:w="3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Number of</w:t>
              <w:br/>
              <w:t>Restricted</w:t>
              <w:br/>
              <w:t>Shares</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8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Weighted</w:t>
              <w:br/>
              <w:t>Average</w:t>
              <w:br/>
              <w:t>Grant Date or</w:t>
              <w:br/>
              <w:t>Modification Date</w:t>
              <w:br/>
              <w:t>Fair Value</w:t>
            </w:r>
          </w:p>
        </w:tc>
        <w:tc>
          <w:tcPr>
            <w:tcW w:w="75" w:type="dxa"/>
            <w:tcBorders/>
            <w:shd w:fill="auto" w:val="clear"/>
            <w:vAlign w:val="center"/>
          </w:tcPr>
          <w:p>
            <w:pPr>
              <w:pStyle w:val="TableContents"/>
              <w:spacing w:before="0" w:after="0"/>
              <w:rPr>
                <w:spacing w:val="0"/>
              </w:rPr>
            </w:pPr>
            <w:r>
              <w:rPr>
                <w:spacing w:val="0"/>
              </w:rPr>
              <w:t> </w:t>
            </w:r>
          </w:p>
        </w:tc>
      </w:tr>
      <w:tr>
        <w:trPr/>
        <w:tc>
          <w:tcPr>
            <w:tcW w:w="3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as of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700" w:type="dxa"/>
            <w:tcBorders/>
            <w:shd w:fill="CCEEFF" w:val="clear"/>
            <w:vAlign w:val="center"/>
          </w:tcPr>
          <w:p>
            <w:pPr>
              <w:pStyle w:val="TableContents"/>
              <w:spacing w:before="0" w:after="283"/>
              <w:jc w:val="right"/>
              <w:rPr/>
            </w:pPr>
            <w:r>
              <w:rPr/>
              <w:t>                      —  </w:t>
            </w:r>
          </w:p>
        </w:tc>
        <w:tc>
          <w:tcPr>
            <w:tcW w:w="75" w:type="dxa"/>
            <w:tcBorders/>
            <w:shd w:fill="CCEEFF"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 xml:space="preserve">19,282,521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2.35</w:t>
            </w:r>
          </w:p>
        </w:tc>
        <w:tc>
          <w:tcPr>
            <w:tcW w:w="75" w:type="dxa"/>
            <w:tcBorders/>
            <w:shd w:fill="auto" w:val="clear"/>
            <w:vAlign w:val="center"/>
          </w:tcPr>
          <w:p>
            <w:pPr>
              <w:pStyle w:val="TableContents"/>
              <w:spacing w:before="0" w:after="283"/>
              <w:rPr/>
            </w:pPr>
            <w:r>
              <w:rPr/>
              <w:t> </w:t>
            </w:r>
          </w:p>
        </w:tc>
      </w:tr>
      <w:tr>
        <w:trPr/>
        <w:tc>
          <w:tcPr>
            <w:tcW w:w="3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 under the Option Exchange Program</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5,912,547</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2.27</w:t>
            </w:r>
          </w:p>
        </w:tc>
        <w:tc>
          <w:tcPr>
            <w:tcW w:w="75" w:type="dxa"/>
            <w:tcBorders/>
            <w:shd w:fill="CCEEFF"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(5,574,357</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700" w:type="dxa"/>
            <w:tcBorders/>
            <w:shd w:fill="auto" w:val="clear"/>
            <w:vAlign w:val="center"/>
          </w:tcPr>
          <w:p>
            <w:pPr>
              <w:pStyle w:val="TableContents"/>
              <w:spacing w:before="0" w:after="283"/>
              <w:jc w:val="right"/>
              <w:rPr/>
            </w:pPr>
            <w:r>
              <w:rPr/>
              <w:t>2.33</w:t>
            </w:r>
          </w:p>
        </w:tc>
        <w:tc>
          <w:tcPr>
            <w:tcW w:w="75" w:type="dxa"/>
            <w:tcBorders/>
            <w:shd w:fill="auto" w:val="clear"/>
            <w:vAlign w:val="center"/>
          </w:tcPr>
          <w:p>
            <w:pPr>
              <w:pStyle w:val="TableContents"/>
              <w:spacing w:before="0" w:after="283"/>
              <w:rPr/>
            </w:pPr>
            <w:r>
              <w:rPr/>
              <w:t> </w:t>
            </w:r>
          </w:p>
        </w:tc>
      </w:tr>
      <w:tr>
        <w:trPr/>
        <w:tc>
          <w:tcPr>
            <w:tcW w:w="3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(437,283</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700" w:type="dxa"/>
            <w:tcBorders/>
            <w:shd w:fill="CCEEFF" w:val="clear"/>
            <w:vAlign w:val="center"/>
          </w:tcPr>
          <w:p>
            <w:pPr>
              <w:pStyle w:val="TableContents"/>
              <w:spacing w:before="0" w:after="283"/>
              <w:jc w:val="right"/>
              <w:rPr/>
            </w:pPr>
            <w:r>
              <w:rPr/>
              <w:t>2.40</w:t>
            </w:r>
          </w:p>
        </w:tc>
        <w:tc>
          <w:tcPr>
            <w:tcW w:w="75" w:type="dxa"/>
            <w:tcBorders/>
            <w:shd w:fill="CCEEFF"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 xml:space="preserve">19,183,428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jc w:val="right"/>
              <w:rPr/>
            </w:pPr>
            <w:r>
              <w:rPr/>
              <w:t>2.33</w:t>
            </w:r>
          </w:p>
        </w:tc>
        <w:tc>
          <w:tcPr>
            <w:tcW w:w="75" w:type="dxa"/>
            <w:tcBorders/>
            <w:shd w:fill="auto" w:val="clear"/>
            <w:vAlign w:val="center"/>
          </w:tcPr>
          <w:p>
            <w:pPr>
              <w:pStyle w:val="TableContents"/>
              <w:spacing w:before="0" w:after="283"/>
              <w:rPr/>
            </w:pPr>
            <w:r>
              <w:rPr/>
              <w:t> </w:t>
            </w:r>
          </w:p>
        </w:tc>
      </w:tr>
      <w:tr>
        <w:trPr/>
        <w:tc>
          <w:tcPr>
            <w:tcW w:w="3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2021 Share Incentive Plan</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Restricted Shares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The grant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date fair value of restricted shares vested under the 2021 Share Incentive Plan during the year ended December 31, 2022 was $12,967.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there were $28,876 unrecognized compensation costs related to restricted shares under the 2021 Share Incentive Plan and the costs are expected to be recognized over a weighted average period of 1.93 years.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MRP Share Incentive Plan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MRP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adopted </w:t>
      </w:r>
    </w:p>
    <w:p>
      <w:pPr>
        <w:pStyle w:val="TextBody"/>
        <w:spacing w:before="120" w:after="0"/>
        <w:jc w:val="left"/>
        <w:rPr>
          <w:rFonts w:ascii="Times New Roman" w:hAnsi="Times New Roman"/>
          <w:sz w:val="20"/>
        </w:rPr>
      </w:pPr>
      <w:r>
        <w:rPr>
          <w:rFonts w:ascii="Times New Roman" w:hAnsi="Times New Roman"/>
          <w:sz w:val="20"/>
        </w:rPr>
        <w:t xml:space="preserve">a share incentive plan (the “MRP Share Incentive Plan”), effective on June 24, 2013, which has been subsequently amended and restated, for grants of various share-based awards, including but not limited to, options to purchase MRP common shares, restricted shares, share appreciation rights and other types of awards to eligible directors, employees and consultants of MRP and its subsidiaries, and the Company and its affiliates. The maximum term of an award is 10 years from the date of grant. The maximum aggregate number of common shares to be available for all awards under the MRP Share Incentive Plan is 442,630,330 shares and with up to 5% of the issued capital stock of MRP from time to time over 10 years. On April 24, 2019 and June 24, 2019, the board and the shareholders of MRP approved an amendment to the Amended Articles of Incorporation of MRP, respectively, whereby, without changing the total amount of the authorized capital stock, the par value per MRP common share was increased from PHP1 (equivalent to $0.02) per share to PHP500,000 (equivalent to $9,857) per share, thereby decreasing the total number of MRP common shares on a </w:t>
      </w:r>
    </w:p>
    <w:p>
      <w:pPr>
        <w:pStyle w:val="TextBody"/>
        <w:spacing w:before="120" w:after="0"/>
        <w:jc w:val="left"/>
        <w:rPr>
          <w:rFonts w:ascii="Times New Roman" w:hAnsi="Times New Roman"/>
          <w:spacing w:val="0"/>
          <w:sz w:val="20"/>
        </w:rPr>
      </w:pPr>
      <w:r>
        <w:rPr>
          <w:rFonts w:ascii="Times New Roman" w:hAnsi="Times New Roman"/>
          <w:spacing w:val="0"/>
          <w:sz w:val="20"/>
        </w:rPr>
        <w:t>pro-rata</w:t>
      </w:r>
    </w:p>
    <w:p>
      <w:pPr>
        <w:pStyle w:val="TextBody"/>
        <w:spacing w:before="120" w:after="0"/>
        <w:jc w:val="left"/>
        <w:rPr>
          <w:rFonts w:ascii="Times New Roman" w:hAnsi="Times New Roman"/>
          <w:sz w:val="20"/>
        </w:rPr>
      </w:pPr>
      <w:r>
        <w:rPr>
          <w:rFonts w:ascii="Times New Roman" w:hAnsi="Times New Roman"/>
          <w:sz w:val="20"/>
        </w:rPr>
        <w:t xml:space="preserve">basis (“Reverse Stock Split”). The Reverse Stock Split was approved by the Philippine Securities and Exchange Commission (the “Philippine SEC”) on May 12, 2020. As of December 31, 2022, there were 305 MRP common shares available for grants of various share-based awards under the MRP Share Incentive Plan. All share and per share data of MRP common shares relating to the transactions carried out before May 12, 2020 as disclosed in the accompanying consolidated financial statements, represent the number of shares or value per share of MRP common shares before the Reverse Stock Split. </w:t>
      </w:r>
    </w:p>
    <w:p>
      <w:pPr>
        <w:pStyle w:val="TextBody"/>
        <w:spacing w:before="120" w:after="0"/>
        <w:jc w:val="left"/>
        <w:rPr>
          <w:rFonts w:ascii="Times New Roman" w:hAnsi="Times New Roman"/>
          <w:spacing w:val="0"/>
          <w:sz w:val="20"/>
        </w:rPr>
      </w:pPr>
      <w:r>
        <w:rPr>
          <w:rFonts w:ascii="Times New Roman" w:hAnsi="Times New Roman"/>
          <w:spacing w:val="0"/>
          <w:sz w:val="20"/>
        </w:rPr>
        <w:t>On May 22, 2019, MRP offered to all eligible participants of the MRP Share Incentive Plan the option to retire all outstanding equity awards, including the unvested share options, vested but unexercised share options and unvested restricted shares (collectively, the “MRP Outstanding Awards”) by the payment of cash to the eligible participants (the “MRP SIP Retirement Arrangements”) in light of the delisting of the MRP. The acquiescence of such MRP SIP Retirement Arrangements was obtained from the Philippine SEC on May 17, 2019. As a result of all eligible participants electing to participate in the MRP SIP Retirement Arrangements, all the MRP Outstanding Awards, including a total of 15,971,173 outstanding share options (including both unvested and vested but unexercised share options) and 29,068,424</w:t>
      </w:r>
    </w:p>
    <w:p>
      <w:pPr>
        <w:pStyle w:val="TextBody"/>
        <w:spacing w:before="120" w:after="0"/>
        <w:jc w:val="left"/>
        <w:rPr>
          <w:spacing w:val="0"/>
        </w:rPr>
      </w:pPr>
      <w:r>
        <w:rPr>
          <w:spacing w:val="0"/>
        </w:rPr>
        <w:t> </w:t>
      </w:r>
      <w:r>
        <w:rPr>
          <w:rFonts w:ascii="Times New Roman" w:hAnsi="Times New Roman"/>
          <w:spacing w:val="0"/>
          <w:sz w:val="20"/>
        </w:rPr>
        <w:t xml:space="preserve">outstanding restricted shares under the MRP Share Incentive Plan, were irrevocably cancelled and extinguished pursuant to the MRP SIP Retirement Arrangements on May 31, 2019.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Under the MRP SIP Retirement Arrangements, MRP will pay the eligible participants a fixed amount in cash (“MRP Settlement Amount”) according to the original vesting schedules of the outstanding share options and restricted shares, subject to other terms and conditions. The MRP Settlement Amount of the outstanding restricted shares is PHP7.25 (equivalent to $0.14)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per share, based on the offer price of a voluntary tender offer in 2018 and the MRP Settlement Amount of the outstanding share options which was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69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MRP Share Incentive Plan</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determined using the Black-Scholes valuation model. The weighted average fair value of the share options at the modification date was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PHP4.23 (equivalent to $0.08) per option.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All accrued liability associated with the cash-settled share options and restricted shares in accordance with the original vesting schedules was fully vested and settled during the year ended December 31, 2021</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No</w:t>
      </w:r>
    </w:p>
    <w:p>
      <w:pPr>
        <w:pStyle w:val="TextBody"/>
        <w:spacing w:before="120" w:after="0"/>
        <w:jc w:val="left"/>
        <w:rPr>
          <w:rFonts w:ascii="Times New Roman" w:hAnsi="Times New Roman"/>
          <w:spacing w:val="0"/>
          <w:sz w:val="20"/>
        </w:rPr>
      </w:pPr>
      <w:r>
        <w:rPr>
          <w:rFonts w:ascii="Times New Roman" w:hAnsi="Times New Roman"/>
          <w:spacing w:val="0"/>
          <w:sz w:val="20"/>
        </w:rPr>
        <w:t>f</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air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value gain or loss on remeasurement of the liability associated with the cash-settled share options and restricted shares was recognized for the years ended December 31, 2021 and 2020. </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Share Options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and 2021, there were no outstanding share options under the MRP Share Incentive Plan. </w:t>
      </w:r>
    </w:p>
    <w:p>
      <w:pPr>
        <w:pStyle w:val="TextBody"/>
        <w:spacing w:before="120" w:after="0"/>
        <w:jc w:val="left"/>
        <w:rPr>
          <w:rFonts w:ascii="Times New Roman" w:hAnsi="Times New Roman"/>
          <w:spacing w:val="0"/>
          <w:sz w:val="20"/>
        </w:rPr>
      </w:pPr>
      <w:r>
        <w:rPr>
          <w:rFonts w:ascii="Times New Roman" w:hAnsi="Times New Roman"/>
          <w:spacing w:val="0"/>
          <w:sz w:val="20"/>
        </w:rPr>
        <w:t>There were no share options granted or exercised under the MRP Share Incentive Plan during the years ended December 31, 2022, 2021 and 2020.</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years ended December 31, 2021 and 2020, MRP paid $87 and $495 to settle the vested share options that are classified as cash-settled awards under the MRP Share Inventive Plan, respectively.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there were no unrecognized compensation costs related to share options under the MRP Share Incentive Plan.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Restricted Shares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and 2021, there were no unvested restricted shares under the MRP Share Incentive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were no restricted shares granted under the MRP Share Incentive Plan during the years ended December 31, 2022, 2021, and 2020. </w:t>
      </w:r>
    </w:p>
    <w:p>
      <w:pPr>
        <w:pStyle w:val="TextBody"/>
        <w:spacing w:before="120" w:after="0"/>
        <w:jc w:val="left"/>
        <w:rPr>
          <w:rFonts w:ascii="Times New Roman" w:hAnsi="Times New Roman"/>
          <w:spacing w:val="0"/>
          <w:sz w:val="20"/>
        </w:rPr>
      </w:pPr>
      <w:r>
        <w:rPr>
          <w:rFonts w:ascii="Times New Roman" w:hAnsi="Times New Roman"/>
          <w:spacing w:val="0"/>
          <w:sz w:val="20"/>
        </w:rPr>
        <w:t>The following information is provided for restricted shares under the MRP Share Incentive Plan:</w:t>
      </w:r>
    </w:p>
    <w:p>
      <w:pPr>
        <w:pStyle w:val="TextBody"/>
        <w:spacing w:before="0" w:after="0"/>
        <w:ind w:left="0" w:right="0" w:hanging="0"/>
        <w:jc w:val="left"/>
        <w:rPr>
          <w:spacing w:val="0"/>
        </w:rPr>
      </w:pPr>
      <w:r>
        <w:rPr>
          <w:spacing w:val="0"/>
        </w:rPr>
        <w:t> </w:t>
      </w:r>
    </w:p>
    <w:tbl>
      <w:tblPr>
        <w:tblW w:w="7235" w:type="dxa"/>
        <w:jc w:val="left"/>
        <w:tblInd w:w="0" w:type="dxa"/>
        <w:tblCellMar>
          <w:top w:w="0" w:type="dxa"/>
          <w:left w:w="0" w:type="dxa"/>
          <w:bottom w:w="0" w:type="dxa"/>
          <w:right w:w="0" w:type="dxa"/>
        </w:tblCellMar>
      </w:tblPr>
      <w:tblGrid>
        <w:gridCol w:w="3800"/>
        <w:gridCol w:w="120"/>
        <w:gridCol w:w="140"/>
        <w:gridCol w:w="860"/>
        <w:gridCol w:w="60"/>
        <w:gridCol w:w="120"/>
        <w:gridCol w:w="140"/>
        <w:gridCol w:w="800"/>
        <w:gridCol w:w="60"/>
        <w:gridCol w:w="120"/>
        <w:gridCol w:w="140"/>
        <w:gridCol w:w="800"/>
        <w:gridCol w:w="75"/>
      </w:tblGrid>
      <w:tr>
        <w:trPr/>
        <w:tc>
          <w:tcPr>
            <w:tcW w:w="38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8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24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8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38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 date fair value of restricted shares vested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jc w:val="center"/>
              <w:rPr/>
            </w:pPr>
            <w:r>
              <w:rPr/>
              <w:t>        —  </w:t>
            </w:r>
          </w:p>
        </w:tc>
        <w:tc>
          <w:tcPr>
            <w:tcW w:w="60" w:type="dxa"/>
            <w:tcBorders/>
            <w:shd w:fill="CCEEFF" w:val="clear"/>
            <w:vAlign w:val="center"/>
          </w:tcPr>
          <w:p>
            <w:pPr>
              <w:pStyle w:val="TableContents"/>
              <w:spacing w:before="0" w:after="0"/>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r>
              <w:rPr/>
              <w:t>351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r>
              <w:rPr/>
              <w:t>1,030</w:t>
            </w:r>
          </w:p>
        </w:tc>
        <w:tc>
          <w:tcPr>
            <w:tcW w:w="75" w:type="dxa"/>
            <w:tcBorders/>
            <w:shd w:fill="CCEEFF" w:val="clear"/>
            <w:vAlign w:val="center"/>
          </w:tcPr>
          <w:p>
            <w:pPr>
              <w:pStyle w:val="TableContents"/>
              <w:spacing w:before="0" w:after="283"/>
              <w:rPr/>
            </w:pPr>
            <w:r>
              <w:rPr/>
              <w:t> </w:t>
            </w:r>
          </w:p>
        </w:tc>
      </w:tr>
      <w:tr>
        <w:trPr/>
        <w:tc>
          <w:tcPr>
            <w:tcW w:w="38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years ended December 31, 2021 and 2020, MRP paid $346 and $871 to settle the vested restricted shares that are classified as cash-settled awards under the MRP Share Incentive Plan, respectively.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there were no unrecognized compensation costs related to restricted shares under the MRP Share Incentive Plan. </w:t>
      </w:r>
    </w:p>
    <w:p>
      <w:pPr>
        <w:pStyle w:val="TextBody"/>
        <w:spacing w:before="120" w:after="0"/>
        <w:jc w:val="left"/>
        <w:rPr>
          <w:rFonts w:ascii="Times New Roman" w:hAnsi="Times New Roman"/>
          <w:b/>
          <w:sz w:val="20"/>
        </w:rPr>
      </w:pPr>
      <w:r>
        <w:rPr>
          <w:rFonts w:ascii="Times New Roman" w:hAnsi="Times New Roman"/>
          <w:b/>
          <w:sz w:val="20"/>
        </w:rPr>
        <w:t xml:space="preserve">Melco International Share Incentive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September 6, 2019, certain share-based awards under Melco International’s share option scheme adopted on May 30, 2012 and share purchase scheme adopted on October 18, 2007 (the “Melco International Share Incentive Plan”) were granted by Melco International to an employee of the Company.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accordance with the applicable accounting standards, the share-based compensation expenses related to the grant of share-based awards under the Melco International Share Incentive Plan to an employee of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Melco International Share Incentive Plan</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Company, to the extent of services received by the Company, are recognized in the accompanying consolidated statements of operations with a corresponding increase in additional </w:t>
      </w:r>
    </w:p>
    <w:p>
      <w:pPr>
        <w:pStyle w:val="TextBody"/>
        <w:spacing w:before="0" w:after="0"/>
        <w:jc w:val="left"/>
        <w:rPr>
          <w:rFonts w:ascii="Times New Roman" w:hAnsi="Times New Roman"/>
          <w:spacing w:val="0"/>
          <w:sz w:val="20"/>
        </w:rPr>
      </w:pPr>
      <w:r>
        <w:rPr>
          <w:rFonts w:ascii="Times New Roman" w:hAnsi="Times New Roman"/>
          <w:spacing w:val="0"/>
          <w:sz w:val="20"/>
        </w:rPr>
        <w:t>paid-in</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capital, representing capital contribution from Melco International. </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Share Options </w:t>
      </w:r>
    </w:p>
    <w:p>
      <w:pPr>
        <w:pStyle w:val="TextBody"/>
        <w:spacing w:before="120" w:after="0"/>
        <w:jc w:val="left"/>
        <w:rPr>
          <w:rFonts w:ascii="Times New Roman" w:hAnsi="Times New Roman"/>
          <w:spacing w:val="0"/>
          <w:sz w:val="20"/>
        </w:rPr>
      </w:pPr>
      <w:r>
        <w:rPr>
          <w:rFonts w:ascii="Times New Roman" w:hAnsi="Times New Roman"/>
          <w:spacing w:val="0"/>
          <w:sz w:val="20"/>
        </w:rPr>
        <w:t>A summary of the share options activity under the Melco International Share Incentive Plan for the year ended December 31, 2022, is presented as follows:</w:t>
      </w:r>
    </w:p>
    <w:p>
      <w:pPr>
        <w:pStyle w:val="TextBody"/>
        <w:spacing w:before="0" w:after="0"/>
        <w:ind w:left="0" w:right="0" w:hanging="0"/>
        <w:jc w:val="left"/>
        <w:rPr>
          <w:spacing w:val="0"/>
        </w:rPr>
      </w:pPr>
      <w:r>
        <w:rPr>
          <w:spacing w:val="0"/>
        </w:rPr>
        <w:t> </w:t>
      </w:r>
    </w:p>
    <w:tbl>
      <w:tblPr>
        <w:tblW w:w="8580" w:type="dxa"/>
        <w:jc w:val="left"/>
        <w:tblInd w:w="0" w:type="dxa"/>
        <w:tblCellMar>
          <w:top w:w="0" w:type="dxa"/>
          <w:left w:w="0" w:type="dxa"/>
          <w:bottom w:w="0" w:type="dxa"/>
          <w:right w:w="0" w:type="dxa"/>
        </w:tblCellMar>
      </w:tblPr>
      <w:tblGrid>
        <w:gridCol w:w="3080"/>
        <w:gridCol w:w="120"/>
        <w:gridCol w:w="60"/>
        <w:gridCol w:w="1280"/>
        <w:gridCol w:w="60"/>
        <w:gridCol w:w="120"/>
        <w:gridCol w:w="140"/>
        <w:gridCol w:w="1160"/>
        <w:gridCol w:w="60"/>
        <w:gridCol w:w="120"/>
        <w:gridCol w:w="133"/>
        <w:gridCol w:w="982"/>
        <w:gridCol w:w="60"/>
        <w:gridCol w:w="120"/>
        <w:gridCol w:w="353"/>
        <w:gridCol w:w="657"/>
        <w:gridCol w:w="75"/>
      </w:tblGrid>
      <w:tr>
        <w:trPr/>
        <w:tc>
          <w:tcPr>
            <w:tcW w:w="3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Number of</w:t>
              <w:br/>
              <w:t>Share</w:t>
              <w:br/>
              <w:t>Options</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Weighted</w:t>
              <w:br/>
              <w:t>Average</w:t>
              <w:br/>
              <w:t>Exercise</w:t>
              <w:br/>
              <w:t>Price</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Weighted</w:t>
              <w:br/>
              <w:t>Average</w:t>
              <w:br/>
              <w:t>Remaining</w:t>
              <w:br/>
              <w:t>Contractual</w:t>
              <w:br/>
              <w:t>Term</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Aggregate</w:t>
              <w:br/>
              <w:t>Intrinsic</w:t>
              <w:br/>
              <w:t>Value</w:t>
            </w:r>
          </w:p>
        </w:tc>
        <w:tc>
          <w:tcPr>
            <w:tcW w:w="75" w:type="dxa"/>
            <w:tcBorders/>
            <w:shd w:fill="auto" w:val="clear"/>
            <w:vAlign w:val="center"/>
          </w:tcPr>
          <w:p>
            <w:pPr>
              <w:pStyle w:val="TableContents"/>
              <w:spacing w:before="0" w:after="0"/>
              <w:rPr>
                <w:spacing w:val="0"/>
              </w:rPr>
            </w:pPr>
            <w:r>
              <w:rPr>
                <w:spacing w:val="0"/>
              </w:rPr>
              <w:t> </w:t>
            </w:r>
          </w:p>
        </w:tc>
      </w:tr>
      <w:tr>
        <w:trPr/>
        <w:tc>
          <w:tcPr>
            <w:tcW w:w="30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as of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   </w:t>
            </w:r>
            <w:r>
              <w:rPr/>
              <w:t>14,200,000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            </w:t>
            </w:r>
            <w:r>
              <w:rPr/>
              <w:t>2.43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rPr/>
            </w:pPr>
            <w:r>
              <w:rPr/>
              <w:t> </w:t>
            </w:r>
          </w:p>
        </w:tc>
        <w:tc>
          <w:tcPr>
            <w:tcW w:w="657"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2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1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35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0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 xml:space="preserve">14,200,000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2.43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jc w:val="right"/>
              <w:rPr/>
            </w:pPr>
            <w:r>
              <w:rPr/>
              <w:t>6.69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w:t>
            </w:r>
          </w:p>
        </w:tc>
        <w:tc>
          <w:tcPr>
            <w:tcW w:w="657" w:type="dxa"/>
            <w:tcBorders/>
            <w:shd w:fill="auto" w:val="clear"/>
            <w:vAlign w:val="center"/>
          </w:tcPr>
          <w:p>
            <w:pPr>
              <w:pStyle w:val="TableContents"/>
              <w:spacing w:before="0" w:after="283"/>
              <w:jc w:val="right"/>
              <w:rPr/>
            </w:pPr>
            <w:r>
              <w:rPr/>
              <w:t xml:space="preserve">— </w:t>
            </w:r>
          </w:p>
        </w:tc>
        <w:tc>
          <w:tcPr>
            <w:tcW w:w="75" w:type="dxa"/>
            <w:tcBorders/>
            <w:shd w:fill="auto" w:val="clear"/>
            <w:vAlign w:val="center"/>
          </w:tcPr>
          <w:p>
            <w:pPr>
              <w:pStyle w:val="TableContents"/>
              <w:spacing w:before="0" w:after="283"/>
              <w:rPr/>
            </w:pPr>
            <w:r>
              <w:rPr/>
              <w:t> </w:t>
            </w:r>
          </w:p>
        </w:tc>
      </w:tr>
      <w:tr>
        <w:trPr/>
        <w:tc>
          <w:tcPr>
            <w:tcW w:w="3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0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Fully vested as of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0" w:type="dxa"/>
            <w:tcBorders/>
            <w:shd w:fill="CCEEFF" w:val="clear"/>
            <w:vAlign w:val="center"/>
          </w:tcPr>
          <w:p>
            <w:pPr>
              <w:pStyle w:val="TableContents"/>
              <w:spacing w:before="0" w:after="283"/>
              <w:jc w:val="right"/>
              <w:rPr/>
            </w:pPr>
            <w:r>
              <w:rPr/>
              <w:t xml:space="preserve">14,200,000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2.43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982" w:type="dxa"/>
            <w:tcBorders/>
            <w:shd w:fill="CCEEFF" w:val="clear"/>
            <w:vAlign w:val="center"/>
          </w:tcPr>
          <w:p>
            <w:pPr>
              <w:pStyle w:val="TableContents"/>
              <w:spacing w:before="0" w:after="283"/>
              <w:jc w:val="right"/>
              <w:rPr/>
            </w:pPr>
            <w:r>
              <w:rPr/>
              <w:t>6.69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53" w:type="dxa"/>
            <w:tcBorders/>
            <w:shd w:fill="CCEEFF" w:val="clear"/>
            <w:vAlign w:val="center"/>
          </w:tcPr>
          <w:p>
            <w:pPr>
              <w:pStyle w:val="TableContents"/>
              <w:spacing w:before="0" w:after="283"/>
              <w:rPr/>
            </w:pPr>
            <w:r>
              <w:rPr/>
              <w:t>$</w:t>
            </w:r>
          </w:p>
        </w:tc>
        <w:tc>
          <w:tcPr>
            <w:tcW w:w="657" w:type="dxa"/>
            <w:tcBorders/>
            <w:shd w:fill="CCEEFF" w:val="clear"/>
            <w:vAlign w:val="center"/>
          </w:tcPr>
          <w:p>
            <w:pPr>
              <w:pStyle w:val="TableContents"/>
              <w:spacing w:before="0" w:after="283"/>
              <w:jc w:val="right"/>
              <w:rPr/>
            </w:pPr>
            <w:r>
              <w:rPr/>
              <w:t xml:space="preserve">— </w:t>
            </w:r>
          </w:p>
        </w:tc>
        <w:tc>
          <w:tcPr>
            <w:tcW w:w="75" w:type="dxa"/>
            <w:tcBorders/>
            <w:shd w:fill="CCEEFF" w:val="clear"/>
            <w:vAlign w:val="center"/>
          </w:tcPr>
          <w:p>
            <w:pPr>
              <w:pStyle w:val="TableContents"/>
              <w:spacing w:before="0" w:after="283"/>
              <w:rPr/>
            </w:pPr>
            <w:r>
              <w:rPr/>
              <w:t> </w:t>
            </w:r>
          </w:p>
        </w:tc>
      </w:tr>
      <w:tr>
        <w:trPr/>
        <w:tc>
          <w:tcPr>
            <w:tcW w:w="3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30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Exercisable as of December 31, 2022</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tcBorders/>
            <w:shd w:fill="auto" w:val="clear"/>
            <w:vAlign w:val="center"/>
          </w:tcPr>
          <w:p>
            <w:pPr>
              <w:pStyle w:val="TableContents"/>
              <w:spacing w:before="0" w:after="283"/>
              <w:jc w:val="right"/>
              <w:rPr/>
            </w:pPr>
            <w:r>
              <w:rPr/>
              <w:t xml:space="preserve">14,200,000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2.43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283"/>
              <w:rPr/>
            </w:pPr>
            <w:r>
              <w:rPr/>
              <w:t> </w:t>
            </w:r>
          </w:p>
        </w:tc>
        <w:tc>
          <w:tcPr>
            <w:tcW w:w="982" w:type="dxa"/>
            <w:tcBorders/>
            <w:shd w:fill="auto" w:val="clear"/>
            <w:vAlign w:val="center"/>
          </w:tcPr>
          <w:p>
            <w:pPr>
              <w:pStyle w:val="TableContents"/>
              <w:spacing w:before="0" w:after="283"/>
              <w:jc w:val="right"/>
              <w:rPr/>
            </w:pPr>
            <w:r>
              <w:rPr/>
              <w:t>6.69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w:t>
            </w:r>
          </w:p>
        </w:tc>
        <w:tc>
          <w:tcPr>
            <w:tcW w:w="657" w:type="dxa"/>
            <w:tcBorders/>
            <w:shd w:fill="auto" w:val="clear"/>
            <w:vAlign w:val="center"/>
          </w:tcPr>
          <w:p>
            <w:pPr>
              <w:pStyle w:val="TableContents"/>
              <w:spacing w:before="0" w:after="283"/>
              <w:jc w:val="right"/>
              <w:rPr/>
            </w:pPr>
            <w:r>
              <w:rPr/>
              <w:t xml:space="preserve">— </w:t>
            </w:r>
          </w:p>
        </w:tc>
        <w:tc>
          <w:tcPr>
            <w:tcW w:w="75" w:type="dxa"/>
            <w:tcBorders/>
            <w:shd w:fill="auto" w:val="clear"/>
            <w:vAlign w:val="center"/>
          </w:tcPr>
          <w:p>
            <w:pPr>
              <w:pStyle w:val="TableContents"/>
              <w:spacing w:before="0" w:after="283"/>
              <w:rPr/>
            </w:pPr>
            <w:r>
              <w:rPr/>
              <w:t> </w:t>
            </w:r>
          </w:p>
        </w:tc>
      </w:tr>
      <w:tr>
        <w:trPr/>
        <w:tc>
          <w:tcPr>
            <w:tcW w:w="3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2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1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7"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There were no share options granted or exercised under the Melco International Share Incentive Plan during the years ended December 31, 2022, 2021 and 2020.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there were no unrecognized compensation costs related to share options under the Melco International Share Incentive Plan.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Restricted Shares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Under the existing arrangements of the Melco International Share Incentive Plan, a grantee shall satisfy any tax or other liabilities to which he or she may become subject to as a result of his or her participation in the Melco International Share Incentive Plan by his or her own cash.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 ended December 31, 2020, to enhance administration flexibility of the board of Melco International in the implementation of the Melco International Share Incentive Plan, Melco International revised the rules of the Melco International Share Incentive Plan so as to give authority to Melco International to deduct or withhold a portion of the awards granted to the grantee pursuant to the Melco International Share Incentive Plan (the “Awards”) if Melco International is statutorily required to deduct or withhold an amount to satisfy the tax obligation of any grantee arising from the grant of the Awards (the “Grantee Tax Obligation”), or if a grantee otherwise elects to satisfy his/her Grantee Tax Obligation (which is not statutorily required to be deducted or withheld) and/or exercise cost (in case a grantee exercises his/ her share options granted under the Melco International Share Incentive Plan) by way of deduction or withholding of the relevant portion of his/her Awards (the “Net Settlement Arrangement”). The Net Settlement Arrangement was approved by the board of Melco International on March 31, 2020 and further approved by the shareholders of Melco International for amendments to the Melco International Share Incentive Plan on June 5, 2020.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F-7</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370" w:type="dxa"/>
        <w:jc w:val="left"/>
        <w:tblInd w:w="0" w:type="dxa"/>
        <w:tblCellMar>
          <w:top w:w="0" w:type="dxa"/>
          <w:left w:w="0" w:type="dxa"/>
          <w:bottom w:w="0" w:type="dxa"/>
          <w:right w:w="0" w:type="dxa"/>
        </w:tblCellMar>
      </w:tblPr>
      <w:tblGrid>
        <w:gridCol w:w="335"/>
        <w:gridCol w:w="3035"/>
      </w:tblGrid>
      <w:tr>
        <w:trPr/>
        <w:tc>
          <w:tcPr>
            <w:tcW w:w="335" w:type="dxa"/>
            <w:tcBorders/>
            <w:shd w:fill="auto" w:val="clear"/>
            <w:vAlign w:val="center"/>
          </w:tcPr>
          <w:p>
            <w:pPr>
              <w:pStyle w:val="TableContents"/>
              <w:spacing w:before="0" w:after="0"/>
              <w:jc w:val="left"/>
              <w:rPr>
                <w:b/>
                <w:spacing w:val="0"/>
              </w:rPr>
            </w:pPr>
            <w:r>
              <w:rPr>
                <w:b/>
                <w:spacing w:val="0"/>
              </w:rPr>
              <w:t>18.</w:t>
            </w:r>
          </w:p>
        </w:tc>
        <w:tc>
          <w:tcPr>
            <w:tcW w:w="30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SHARE-BASED COMPENSATION</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Melco International Share Incentive Plan</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Restricted Shares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On June 30, 2020, an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employee of the Company, who was granted certain share-based awards under the Melco International Share Incentive Plan on September 6, 2019, elected the Net Settlement Arrangement on certain awards and approximately 2,569,000 restricted shares were modified from equity-settled to cash-settled with all other terms unchanged.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A summary of the restricted shares activity under the Melco International Share Incentive Plan for the year ended December 31, 2022, is presented as follows: </w:t>
      </w:r>
    </w:p>
    <w:p>
      <w:pPr>
        <w:pStyle w:val="TextBody"/>
        <w:spacing w:before="0" w:after="0"/>
        <w:jc w:val="left"/>
        <w:rPr/>
      </w:pPr>
      <w:r>
        <w:rPr/>
        <w:t> </w:t>
      </w:r>
    </w:p>
    <w:tbl>
      <w:tblPr>
        <w:tblW w:w="5435" w:type="dxa"/>
        <w:jc w:val="left"/>
        <w:tblInd w:w="0" w:type="dxa"/>
        <w:tblCellMar>
          <w:top w:w="0" w:type="dxa"/>
          <w:left w:w="0" w:type="dxa"/>
          <w:bottom w:w="0" w:type="dxa"/>
          <w:right w:w="0" w:type="dxa"/>
        </w:tblCellMar>
      </w:tblPr>
      <w:tblGrid>
        <w:gridCol w:w="2840"/>
        <w:gridCol w:w="120"/>
        <w:gridCol w:w="60"/>
        <w:gridCol w:w="1055"/>
        <w:gridCol w:w="155"/>
        <w:gridCol w:w="60"/>
        <w:gridCol w:w="258"/>
        <w:gridCol w:w="812"/>
        <w:gridCol w:w="75"/>
      </w:tblGrid>
      <w:tr>
        <w:trPr/>
        <w:tc>
          <w:tcPr>
            <w:tcW w:w="2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center"/>
          </w:tcPr>
          <w:p>
            <w:pPr>
              <w:pStyle w:val="TableContents"/>
              <w:spacing w:before="0" w:after="283"/>
              <w:jc w:val="center"/>
              <w:rPr/>
            </w:pPr>
            <w:r>
              <w:rPr/>
              <w:t>Number of</w:t>
              <w:br/>
              <w:t>Restricted</w:t>
              <w:br/>
              <w:t>Shares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center"/>
          </w:tcPr>
          <w:p>
            <w:pPr>
              <w:pStyle w:val="TableContents"/>
              <w:spacing w:before="0" w:after="283"/>
              <w:jc w:val="center"/>
              <w:rPr/>
            </w:pPr>
            <w:r>
              <w:rPr/>
              <w:t>Weighted</w:t>
              <w:br/>
              <w:t>Average</w:t>
              <w:br/>
              <w:t>Grant Date</w:t>
              <w:br/>
              <w:t>Fair Value</w:t>
            </w:r>
          </w:p>
        </w:tc>
        <w:tc>
          <w:tcPr>
            <w:tcW w:w="75" w:type="dxa"/>
            <w:tcBorders/>
            <w:shd w:fill="auto" w:val="clear"/>
            <w:vAlign w:val="center"/>
          </w:tcPr>
          <w:p>
            <w:pPr>
              <w:pStyle w:val="TableContents"/>
              <w:spacing w:before="0" w:after="283"/>
              <w:rPr/>
            </w:pPr>
            <w:r>
              <w:rPr/>
              <w:t> </w:t>
            </w:r>
          </w:p>
        </w:tc>
      </w:tr>
      <w:tr>
        <w:trPr/>
        <w:tc>
          <w:tcPr>
            <w:tcW w:w="28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as of January 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1,626,000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w:t>
            </w:r>
          </w:p>
        </w:tc>
        <w:tc>
          <w:tcPr>
            <w:tcW w:w="812" w:type="dxa"/>
            <w:tcBorders/>
            <w:shd w:fill="CCEEFF" w:val="clear"/>
            <w:vAlign w:val="center"/>
          </w:tcPr>
          <w:p>
            <w:pPr>
              <w:pStyle w:val="TableContents"/>
              <w:spacing w:before="0" w:after="283"/>
              <w:jc w:val="right"/>
              <w:rPr/>
            </w:pPr>
            <w:r>
              <w:rPr/>
              <w:t>2.43</w:t>
            </w:r>
          </w:p>
        </w:tc>
        <w:tc>
          <w:tcPr>
            <w:tcW w:w="75" w:type="dxa"/>
            <w:tcBorders/>
            <w:shd w:fill="CCEEFF" w:val="clear"/>
            <w:vAlign w:val="center"/>
          </w:tcPr>
          <w:p>
            <w:pPr>
              <w:pStyle w:val="TableContents"/>
              <w:spacing w:before="0" w:after="283"/>
              <w:rPr/>
            </w:pPr>
            <w:r>
              <w:rPr/>
              <w:t> </w:t>
            </w:r>
          </w:p>
        </w:tc>
      </w:tr>
      <w:tr>
        <w:trPr/>
        <w:tc>
          <w:tcPr>
            <w:tcW w:w="28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(1,626,000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283"/>
              <w:rPr/>
            </w:pPr>
            <w:r>
              <w:rPr/>
              <w:t> </w:t>
            </w:r>
          </w:p>
        </w:tc>
        <w:tc>
          <w:tcPr>
            <w:tcW w:w="812" w:type="dxa"/>
            <w:tcBorders/>
            <w:shd w:fill="auto" w:val="clear"/>
            <w:vAlign w:val="center"/>
          </w:tcPr>
          <w:p>
            <w:pPr>
              <w:pStyle w:val="TableContents"/>
              <w:spacing w:before="0" w:after="283"/>
              <w:jc w:val="right"/>
              <w:rPr/>
            </w:pPr>
            <w:r>
              <w:rPr/>
              <w:t>2.43</w:t>
            </w:r>
          </w:p>
        </w:tc>
        <w:tc>
          <w:tcPr>
            <w:tcW w:w="75" w:type="dxa"/>
            <w:tcBorders/>
            <w:shd w:fill="auto" w:val="clear"/>
            <w:vAlign w:val="center"/>
          </w:tcPr>
          <w:p>
            <w:pPr>
              <w:pStyle w:val="TableContents"/>
              <w:spacing w:before="0" w:after="283"/>
              <w:rPr/>
            </w:pPr>
            <w:r>
              <w:rPr/>
              <w:t> </w:t>
            </w:r>
          </w:p>
        </w:tc>
      </w:tr>
      <w:tr>
        <w:trPr/>
        <w:tc>
          <w:tcPr>
            <w:tcW w:w="28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12"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8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Unvested as of December 31, 2022</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w:t>
            </w:r>
          </w:p>
        </w:tc>
        <w:tc>
          <w:tcPr>
            <w:tcW w:w="81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28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12"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years ended December 31, 2022, 2021 and 2020, the grant date fair value of restricted shares vested under the Melco International Share Incentive Plan were $3,948, $3,953 and $3,979, respectively.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were no restricted shares granted under the Melco International Share Incentive Plan during the years ended December 31, 2022, 2021 and 2020.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there were no unrecognized compensation costs related to restricted shares under the Melco International Share Incentive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share-based compensation expenses for the Company were recognized as follows: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6966"/>
        <w:gridCol w:w="120"/>
        <w:gridCol w:w="140"/>
        <w:gridCol w:w="738"/>
        <w:gridCol w:w="95"/>
        <w:gridCol w:w="120"/>
        <w:gridCol w:w="140"/>
        <w:gridCol w:w="680"/>
        <w:gridCol w:w="155"/>
        <w:gridCol w:w="60"/>
        <w:gridCol w:w="140"/>
        <w:gridCol w:w="680"/>
        <w:gridCol w:w="171"/>
      </w:tblGrid>
      <w:tr>
        <w:trPr/>
        <w:tc>
          <w:tcPr>
            <w:tcW w:w="6966"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948" w:type="dxa"/>
            <w:gridSpan w:val="10"/>
            <w:tcBorders/>
            <w:shd w:fill="auto" w:val="clear"/>
            <w:vAlign w:val="center"/>
          </w:tcPr>
          <w:p>
            <w:pPr>
              <w:pStyle w:val="TableContents"/>
              <w:spacing w:before="0" w:after="0"/>
              <w:jc w:val="center"/>
              <w:rPr>
                <w:spacing w:val="0"/>
              </w:rPr>
            </w:pPr>
            <w:r>
              <w:rPr>
                <w:spacing w:val="0"/>
              </w:rPr>
              <w:t>Year Ended December 31,</w:t>
            </w:r>
          </w:p>
        </w:tc>
        <w:tc>
          <w:tcPr>
            <w:tcW w:w="171" w:type="dxa"/>
            <w:tcBorders/>
            <w:shd w:fill="auto" w:val="clear"/>
            <w:vAlign w:val="center"/>
          </w:tcPr>
          <w:p>
            <w:pPr>
              <w:pStyle w:val="TableContents"/>
              <w:spacing w:before="0" w:after="0"/>
              <w:rPr>
                <w:spacing w:val="0"/>
              </w:rPr>
            </w:pPr>
            <w:r>
              <w:rPr>
                <w:spacing w:val="0"/>
              </w:rPr>
              <w:t> </w:t>
            </w:r>
          </w:p>
        </w:tc>
      </w:tr>
      <w:tr>
        <w:trPr/>
        <w:tc>
          <w:tcPr>
            <w:tcW w:w="6966"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78" w:type="dxa"/>
            <w:gridSpan w:val="2"/>
            <w:tcBorders/>
            <w:shd w:fill="auto" w:val="cle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820" w:type="dxa"/>
            <w:gridSpan w:val="2"/>
            <w:tcBorders/>
            <w:shd w:fill="auto" w:val="cle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820" w:type="dxa"/>
            <w:gridSpan w:val="2"/>
            <w:tcBorders/>
            <w:shd w:fill="auto" w:val="clear"/>
            <w:vAlign w:val="center"/>
          </w:tcPr>
          <w:p>
            <w:pPr>
              <w:pStyle w:val="TableContents"/>
              <w:spacing w:before="0" w:after="0"/>
              <w:jc w:val="center"/>
              <w:rPr>
                <w:spacing w:val="0"/>
              </w:rPr>
            </w:pPr>
            <w:r>
              <w:rPr>
                <w:spacing w:val="0"/>
              </w:rPr>
              <w:t>2020</w:t>
            </w:r>
          </w:p>
        </w:tc>
        <w:tc>
          <w:tcPr>
            <w:tcW w:w="171" w:type="dxa"/>
            <w:tcBorders/>
            <w:shd w:fill="auto" w:val="clear"/>
            <w:vAlign w:val="center"/>
          </w:tcPr>
          <w:p>
            <w:pPr>
              <w:pStyle w:val="TableContents"/>
              <w:spacing w:before="0" w:after="0"/>
              <w:rPr>
                <w:spacing w:val="0"/>
              </w:rPr>
            </w:pPr>
            <w:r>
              <w:rPr>
                <w:spacing w:val="0"/>
              </w:rPr>
              <w:t> </w:t>
            </w:r>
          </w:p>
        </w:tc>
      </w:tr>
      <w:tr>
        <w:trPr/>
        <w:tc>
          <w:tcPr>
            <w:tcW w:w="6966"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 expenses: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738"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680" w:type="dxa"/>
            <w:tcBorders/>
            <w:shd w:fill="CCEEFF" w:val="clear"/>
            <w:vAlign w:val="center"/>
          </w:tcPr>
          <w:p>
            <w:pPr>
              <w:pStyle w:val="TableContents"/>
              <w:spacing w:before="0" w:after="283"/>
              <w:rPr>
                <w:sz w:val="4"/>
                <w:szCs w:val="4"/>
              </w:rPr>
            </w:pPr>
            <w:r>
              <w:rPr>
                <w:sz w:val="4"/>
                <w:szCs w:val="4"/>
              </w:rPr>
            </w:r>
          </w:p>
        </w:tc>
        <w:tc>
          <w:tcPr>
            <w:tcW w:w="171" w:type="dxa"/>
            <w:tcBorders/>
            <w:shd w:fill="CCEEFF" w:val="clear"/>
            <w:vAlign w:val="center"/>
          </w:tcPr>
          <w:p>
            <w:pPr>
              <w:pStyle w:val="TableContents"/>
              <w:spacing w:before="0" w:after="283"/>
              <w:rPr>
                <w:sz w:val="4"/>
                <w:szCs w:val="4"/>
              </w:rPr>
            </w:pPr>
            <w:r>
              <w:rPr>
                <w:sz w:val="4"/>
                <w:szCs w:val="4"/>
              </w:rPr>
            </w:r>
          </w:p>
        </w:tc>
      </w:tr>
      <w:tr>
        <w:trPr/>
        <w:tc>
          <w:tcPr>
            <w:tcW w:w="6966"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2011 Share Incentive Plan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38" w:type="dxa"/>
            <w:tcBorders/>
            <w:shd w:fill="auto" w:val="clear"/>
            <w:vAlign w:val="center"/>
          </w:tcPr>
          <w:p>
            <w:pPr>
              <w:pStyle w:val="TableContents"/>
              <w:spacing w:before="0" w:after="283"/>
              <w:jc w:val="right"/>
              <w:rPr/>
            </w:pPr>
            <w:r>
              <w:rPr/>
              <w:t xml:space="preserve">38,823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53,466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49,579</w:t>
            </w:r>
          </w:p>
        </w:tc>
        <w:tc>
          <w:tcPr>
            <w:tcW w:w="171" w:type="dxa"/>
            <w:tcBorders/>
            <w:shd w:fill="auto" w:val="clear"/>
            <w:vAlign w:val="center"/>
          </w:tcPr>
          <w:p>
            <w:pPr>
              <w:pStyle w:val="TableContents"/>
              <w:spacing w:before="0" w:after="283"/>
              <w:rPr/>
            </w:pPr>
            <w:r>
              <w:rPr/>
              <w:t> </w:t>
            </w:r>
          </w:p>
        </w:tc>
      </w:tr>
      <w:tr>
        <w:trPr/>
        <w:tc>
          <w:tcPr>
            <w:tcW w:w="6966"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2021 Share Incentive Plan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283"/>
              <w:jc w:val="right"/>
              <w:rPr/>
            </w:pPr>
            <w:r>
              <w:rPr/>
              <w:t xml:space="preserve">32,803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10,929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  </w:t>
            </w:r>
          </w:p>
        </w:tc>
        <w:tc>
          <w:tcPr>
            <w:tcW w:w="171" w:type="dxa"/>
            <w:tcBorders/>
            <w:shd w:fill="CCEEFF" w:val="clear"/>
            <w:vAlign w:val="center"/>
          </w:tcPr>
          <w:p>
            <w:pPr>
              <w:pStyle w:val="TableContents"/>
              <w:spacing w:before="0" w:after="283"/>
              <w:rPr/>
            </w:pPr>
            <w:r>
              <w:rPr/>
              <w:t> </w:t>
            </w:r>
          </w:p>
        </w:tc>
      </w:tr>
      <w:tr>
        <w:trPr/>
        <w:tc>
          <w:tcPr>
            <w:tcW w:w="6966"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MRP Share Incentive Plan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38"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671</w:t>
            </w:r>
          </w:p>
        </w:tc>
        <w:tc>
          <w:tcPr>
            <w:tcW w:w="171" w:type="dxa"/>
            <w:tcBorders/>
            <w:shd w:fill="auto" w:val="clear"/>
            <w:vAlign w:val="center"/>
          </w:tcPr>
          <w:p>
            <w:pPr>
              <w:pStyle w:val="TableContents"/>
              <w:spacing w:before="0" w:after="283"/>
              <w:rPr/>
            </w:pPr>
            <w:r>
              <w:rPr/>
              <w:t> </w:t>
            </w:r>
          </w:p>
        </w:tc>
      </w:tr>
      <w:tr>
        <w:trPr/>
        <w:tc>
          <w:tcPr>
            <w:tcW w:w="6966"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Melco International Share Incentive Plan</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283"/>
              <w:jc w:val="right"/>
              <w:rPr/>
            </w:pPr>
            <w:r>
              <w:rPr/>
              <w:t>2,865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6,641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7,021</w:t>
            </w:r>
          </w:p>
        </w:tc>
        <w:tc>
          <w:tcPr>
            <w:tcW w:w="171" w:type="dxa"/>
            <w:tcBorders/>
            <w:shd w:fill="CCEEFF" w:val="clear"/>
            <w:vAlign w:val="center"/>
          </w:tcPr>
          <w:p>
            <w:pPr>
              <w:pStyle w:val="TableContents"/>
              <w:spacing w:before="0" w:after="283"/>
              <w:rPr/>
            </w:pPr>
            <w:r>
              <w:rPr/>
              <w:t> </w:t>
            </w:r>
          </w:p>
        </w:tc>
      </w:tr>
      <w:tr>
        <w:trPr/>
        <w:tc>
          <w:tcPr>
            <w:tcW w:w="696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6966"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share-based compensation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38" w:type="dxa"/>
            <w:tcBorders/>
            <w:shd w:fill="auto" w:val="clear"/>
            <w:vAlign w:val="center"/>
          </w:tcPr>
          <w:p>
            <w:pPr>
              <w:pStyle w:val="TableContents"/>
              <w:spacing w:before="0" w:after="283"/>
              <w:jc w:val="right"/>
              <w:rPr/>
            </w:pPr>
            <w:r>
              <w:rPr/>
              <w:t>74,491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71,144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57,271</w:t>
            </w:r>
          </w:p>
        </w:tc>
        <w:tc>
          <w:tcPr>
            <w:tcW w:w="171" w:type="dxa"/>
            <w:tcBorders/>
            <w:shd w:fill="auto" w:val="clear"/>
            <w:vAlign w:val="center"/>
          </w:tcPr>
          <w:p>
            <w:pPr>
              <w:pStyle w:val="TableContents"/>
              <w:spacing w:before="0" w:after="283"/>
              <w:rPr/>
            </w:pPr>
            <w:r>
              <w:rPr/>
              <w:t> </w:t>
            </w:r>
          </w:p>
        </w:tc>
      </w:tr>
      <w:tr>
        <w:trPr/>
        <w:tc>
          <w:tcPr>
            <w:tcW w:w="6966"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Share-based compensation expenses capitalized in property and equipment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38" w:type="dxa"/>
            <w:tcBorders/>
            <w:shd w:fill="CCEEFF" w:val="clear"/>
            <w:vAlign w:val="center"/>
          </w:tcPr>
          <w:p>
            <w:pPr>
              <w:pStyle w:val="TableContents"/>
              <w:spacing w:before="0" w:after="283"/>
              <w:jc w:val="right"/>
              <w:rPr/>
            </w:pPr>
            <w:r>
              <w:rPr/>
              <w:t>(2,682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(3,187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680" w:type="dxa"/>
            <w:tcBorders/>
            <w:shd w:fill="CCEEFF" w:val="clear"/>
            <w:vAlign w:val="center"/>
          </w:tcPr>
          <w:p>
            <w:pPr>
              <w:pStyle w:val="TableContents"/>
              <w:spacing w:before="0" w:after="283"/>
              <w:jc w:val="right"/>
              <w:rPr/>
            </w:pPr>
            <w:r>
              <w:rPr/>
              <w:t>(2,879</w:t>
            </w:r>
          </w:p>
        </w:tc>
        <w:tc>
          <w:tcPr>
            <w:tcW w:w="171" w:type="dxa"/>
            <w:tcBorders/>
            <w:shd w:fill="CCEEFF" w:val="clear"/>
            <w:vAlign w:val="center"/>
          </w:tcPr>
          <w:p>
            <w:pPr>
              <w:pStyle w:val="TableContents"/>
              <w:spacing w:before="0" w:after="283"/>
              <w:rPr/>
            </w:pPr>
            <w:r>
              <w:rPr/>
              <w:t>) </w:t>
            </w:r>
          </w:p>
        </w:tc>
      </w:tr>
      <w:tr>
        <w:trPr/>
        <w:tc>
          <w:tcPr>
            <w:tcW w:w="696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38"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1" w:type="dxa"/>
            <w:tcBorders/>
            <w:shd w:fill="auto" w:val="clear"/>
            <w:vAlign w:val="center"/>
          </w:tcPr>
          <w:p>
            <w:pPr>
              <w:pStyle w:val="TableContents"/>
              <w:spacing w:before="0" w:after="283"/>
              <w:rPr/>
            </w:pPr>
            <w:r>
              <w:rPr/>
              <w:t> </w:t>
            </w:r>
          </w:p>
        </w:tc>
      </w:tr>
      <w:tr>
        <w:trPr/>
        <w:tc>
          <w:tcPr>
            <w:tcW w:w="6966"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 expenses recognized in general and administrative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738" w:type="dxa"/>
            <w:tcBorders/>
            <w:shd w:fill="auto" w:val="clear"/>
            <w:vAlign w:val="center"/>
          </w:tcPr>
          <w:p>
            <w:pPr>
              <w:pStyle w:val="TableContents"/>
              <w:spacing w:before="0" w:after="283"/>
              <w:jc w:val="right"/>
              <w:rPr/>
            </w:pPr>
            <w:r>
              <w:rPr/>
              <w:t>71,809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67,957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680" w:type="dxa"/>
            <w:tcBorders/>
            <w:shd w:fill="auto" w:val="clear"/>
            <w:vAlign w:val="center"/>
          </w:tcPr>
          <w:p>
            <w:pPr>
              <w:pStyle w:val="TableContents"/>
              <w:spacing w:before="0" w:after="283"/>
              <w:jc w:val="right"/>
              <w:rPr/>
            </w:pPr>
            <w:r>
              <w:rPr/>
              <w:t>54,392</w:t>
            </w:r>
          </w:p>
        </w:tc>
        <w:tc>
          <w:tcPr>
            <w:tcW w:w="171" w:type="dxa"/>
            <w:tcBorders/>
            <w:shd w:fill="auto" w:val="clear"/>
            <w:vAlign w:val="center"/>
          </w:tcPr>
          <w:p>
            <w:pPr>
              <w:pStyle w:val="TableContents"/>
              <w:spacing w:before="0" w:after="283"/>
              <w:rPr/>
            </w:pPr>
            <w:r>
              <w:rPr/>
              <w:t> </w:t>
            </w:r>
          </w:p>
        </w:tc>
      </w:tr>
      <w:tr>
        <w:trPr/>
        <w:tc>
          <w:tcPr>
            <w:tcW w:w="696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38"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1"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F-7</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3130" w:type="dxa"/>
        <w:jc w:val="left"/>
        <w:tblInd w:w="0" w:type="dxa"/>
        <w:tblCellMar>
          <w:top w:w="0" w:type="dxa"/>
          <w:left w:w="0" w:type="dxa"/>
          <w:bottom w:w="0" w:type="dxa"/>
          <w:right w:w="0" w:type="dxa"/>
        </w:tblCellMar>
      </w:tblPr>
      <w:tblGrid>
        <w:gridCol w:w="335"/>
        <w:gridCol w:w="2795"/>
      </w:tblGrid>
      <w:tr>
        <w:trPr/>
        <w:tc>
          <w:tcPr>
            <w:tcW w:w="335" w:type="dxa"/>
            <w:tcBorders/>
            <w:shd w:fill="auto" w:val="clear"/>
            <w:vAlign w:val="center"/>
          </w:tcPr>
          <w:p>
            <w:pPr>
              <w:pStyle w:val="TableContents"/>
              <w:spacing w:before="0" w:after="0"/>
              <w:jc w:val="left"/>
              <w:rPr>
                <w:b/>
                <w:spacing w:val="0"/>
              </w:rPr>
            </w:pPr>
            <w:r>
              <w:rPr>
                <w:b/>
                <w:spacing w:val="0"/>
              </w:rPr>
              <w:t>19.</w:t>
            </w:r>
          </w:p>
        </w:tc>
        <w:tc>
          <w:tcPr>
            <w:tcW w:w="27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EMPLOYEE BENEFIT PLANS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operates defined contribution fund schemes in different jurisdictions, which allow eligible employees to participate in defined contribution plans (the “Defined Contribution Fund Schemes”). The Company either contributes a fixed percentage of the eligible employees’ relevant income, a fixed amount or an amount which matches the contributions of the employees up to a certain percentage of relevant income to the Defined Contribution Fund Schemes. The Company’s contributions to the Defined Contribution Fund Schemes are vested with employees in accordance to vesting schedules, achieving full vesting ranging from upon contribution to 10 years from the date of employment effective in April 2021. The Defined Contribution Fund Schemes were established under trusts with the fund assets being held separately from those of the Company by independent trustees.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Employees employed by the Company in different jurisdictions are members of government-managed social security fund schemes (the “Social Security Fund Schemes”), which are operated by the respective governments, if applicable. The Company is required to pay monthly fixed contributions or certain percentages of employee relevant income and meet the minimum mandatory requirements of the respective Social Security Fund Schemes to fund the benefits.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years ended December 31, 2022, 2021 and 2020, the Company’s contributions into the defined contribution retirement benefits schemes were $26,688, $26,984 and $30,310, respectively. </w:t>
      </w:r>
    </w:p>
    <w:p>
      <w:pPr>
        <w:pStyle w:val="TextBody"/>
        <w:spacing w:before="0" w:after="0"/>
        <w:jc w:val="left"/>
        <w:rPr>
          <w:spacing w:val="0"/>
        </w:rPr>
      </w:pPr>
      <w:r>
        <w:rPr>
          <w:spacing w:val="0"/>
        </w:rPr>
        <w:t> </w:t>
      </w:r>
    </w:p>
    <w:tbl>
      <w:tblPr>
        <w:tblW w:w="3040" w:type="dxa"/>
        <w:jc w:val="left"/>
        <w:tblInd w:w="0" w:type="dxa"/>
        <w:tblCellMar>
          <w:top w:w="0" w:type="dxa"/>
          <w:left w:w="0" w:type="dxa"/>
          <w:bottom w:w="0" w:type="dxa"/>
          <w:right w:w="0" w:type="dxa"/>
        </w:tblCellMar>
      </w:tblPr>
      <w:tblGrid>
        <w:gridCol w:w="335"/>
        <w:gridCol w:w="2705"/>
      </w:tblGrid>
      <w:tr>
        <w:trPr/>
        <w:tc>
          <w:tcPr>
            <w:tcW w:w="335" w:type="dxa"/>
            <w:tcBorders/>
            <w:shd w:fill="auto" w:val="clear"/>
            <w:vAlign w:val="center"/>
          </w:tcPr>
          <w:p>
            <w:pPr>
              <w:pStyle w:val="TableContents"/>
              <w:spacing w:before="0" w:after="0"/>
              <w:jc w:val="left"/>
              <w:rPr>
                <w:b/>
                <w:spacing w:val="0"/>
              </w:rPr>
            </w:pPr>
            <w:r>
              <w:rPr>
                <w:b/>
                <w:spacing w:val="0"/>
              </w:rPr>
              <w:t>20.</w:t>
            </w:r>
          </w:p>
        </w:tc>
        <w:tc>
          <w:tcPr>
            <w:tcW w:w="270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DISTRIBUTION OF PROFITS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All subsidiaries of Melco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the legal reserve is recorded in the subsidiaries’ financial statements in the year in which it is approved by the shareholders of the relevant subsidiaries. As of December 31, 2022 and 2021, the aggregate balance of the reserves amounted to $31,524 and $31,524, respectively.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borrowings, subject to certain exceptions and conditions, contain certain restrictions on paying dividends and other distributions, as defined in the respective indentures governing the relevant senior notes and credit facility agreements, details of which are disclosed in Note 13 under each of the respective borrowings. </w:t>
      </w:r>
    </w:p>
    <w:p>
      <w:pPr>
        <w:pStyle w:val="TextBody"/>
        <w:spacing w:before="0" w:after="0"/>
        <w:jc w:val="left"/>
        <w:rPr>
          <w:spacing w:val="0"/>
        </w:rPr>
      </w:pPr>
      <w:r>
        <w:rPr>
          <w:spacing w:val="0"/>
        </w:rPr>
        <w:t> </w:t>
      </w:r>
    </w:p>
    <w:tbl>
      <w:tblPr>
        <w:tblW w:w="1480" w:type="dxa"/>
        <w:jc w:val="left"/>
        <w:tblInd w:w="0" w:type="dxa"/>
        <w:tblCellMar>
          <w:top w:w="0" w:type="dxa"/>
          <w:left w:w="0" w:type="dxa"/>
          <w:bottom w:w="0" w:type="dxa"/>
          <w:right w:w="0" w:type="dxa"/>
        </w:tblCellMar>
      </w:tblPr>
      <w:tblGrid>
        <w:gridCol w:w="335"/>
        <w:gridCol w:w="1145"/>
      </w:tblGrid>
      <w:tr>
        <w:trPr/>
        <w:tc>
          <w:tcPr>
            <w:tcW w:w="335" w:type="dxa"/>
            <w:tcBorders/>
            <w:shd w:fill="auto" w:val="clear"/>
            <w:vAlign w:val="center"/>
          </w:tcPr>
          <w:p>
            <w:pPr>
              <w:pStyle w:val="TableContents"/>
              <w:spacing w:before="0" w:after="0"/>
              <w:jc w:val="left"/>
              <w:rPr>
                <w:b/>
                <w:spacing w:val="0"/>
              </w:rPr>
            </w:pPr>
            <w:r>
              <w:rPr>
                <w:b/>
                <w:spacing w:val="0"/>
              </w:rPr>
              <w:t>21.</w:t>
            </w:r>
          </w:p>
        </w:tc>
        <w:tc>
          <w:tcPr>
            <w:tcW w:w="11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DIVIDENDS </w:t>
            </w:r>
          </w:p>
        </w:tc>
      </w:tr>
    </w:tbl>
    <w:p>
      <w:pPr>
        <w:pStyle w:val="TextBody"/>
        <w:spacing w:before="120" w:after="0"/>
        <w:jc w:val="left"/>
        <w:rPr>
          <w:rFonts w:ascii="Times New Roman" w:hAnsi="Times New Roman"/>
          <w:sz w:val="20"/>
        </w:rPr>
      </w:pPr>
      <w:r>
        <w:rPr>
          <w:rFonts w:ascii="Times New Roman" w:hAnsi="Times New Roman"/>
          <w:sz w:val="20"/>
        </w:rPr>
        <w:t xml:space="preserve">In May 2020, the Company suspended its quarterly dividend program due to the impact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outbreak.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March 12, 2020, Melco paid a quarterly dividend of $0.05504 per share, and during the year ended December 31, 2020, Melco recorded a total amount of quarterly dividends of $79,116 as a distribution against retained earnings. </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jc w:val="left"/>
              <w:rPr>
                <w:b/>
                <w:spacing w:val="0"/>
              </w:rPr>
            </w:pPr>
            <w:r>
              <w:rPr>
                <w:b/>
                <w:spacing w:val="0"/>
              </w:rPr>
              <w:t>22.</w:t>
            </w:r>
          </w:p>
        </w:tc>
        <w:tc>
          <w:tcPr>
            <w:tcW w:w="9888"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REGULAR LICENSE, COOPERATION AGREEMENT, OPERATING AGREEMENT AND MRP LEASE AGREEMENT FOR CITY OF DREAMS MANILA </w:t>
            </w:r>
          </w:p>
        </w:tc>
      </w:tr>
    </w:tbl>
    <w:p>
      <w:pPr>
        <w:pStyle w:val="TextBody"/>
        <w:spacing w:before="120" w:after="0"/>
        <w:jc w:val="left"/>
        <w:rPr>
          <w:rFonts w:ascii="Times New Roman" w:hAnsi="Times New Roman"/>
          <w:spacing w:val="0"/>
          <w:sz w:val="20"/>
        </w:rPr>
      </w:pPr>
      <w:r>
        <w:rPr>
          <w:rFonts w:ascii="Times New Roman" w:hAnsi="Times New Roman"/>
          <w:spacing w:val="0"/>
          <w:sz w:val="20"/>
        </w:rPr>
        <w:t>Pursuant to a memorandum of agreement entered into by a subsidiary of Melco with the Philippine Parties as described below and certain of its subsidiaries in 2012 for the development of City of Dreams Manila, the</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160" w:after="0"/>
        <w:jc w:val="center"/>
        <w:rPr>
          <w:rFonts w:ascii="Times New Roman" w:hAnsi="Times New Roman"/>
          <w:spacing w:val="0"/>
          <w:sz w:val="20"/>
        </w:rPr>
      </w:pPr>
      <w:r>
        <w:rPr>
          <w:rFonts w:ascii="Times New Roman" w:hAnsi="Times New Roman"/>
          <w:spacing w:val="0"/>
          <w:sz w:val="20"/>
        </w:rPr>
        <w:t>F-73</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jc w:val="left"/>
              <w:rPr>
                <w:b/>
                <w:spacing w:val="0"/>
              </w:rPr>
            </w:pPr>
            <w:r>
              <w:rPr>
                <w:b/>
                <w:spacing w:val="0"/>
              </w:rPr>
              <w:t>22.</w:t>
            </w:r>
          </w:p>
        </w:tc>
        <w:tc>
          <w:tcPr>
            <w:tcW w:w="9888"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REGULAR LICENSE, COOPERATION AGREEMENT, OPERATING AGREEMENT AND MRP LEASE AGREEMENT FOR CITY OF DREAMS MANILA</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pPr>
      <w:r>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relevant parties of the Licensees as described below and certain of its subsidiaries entered into the following agreements which became effective on March 13, 2013 and end on the date of expiry of the Regular License as described below, currently expected to be on July 11, 2033, unless terminated earlier in accordance with the respective terms of the individual agreements. </w:t>
      </w:r>
    </w:p>
    <w:p>
      <w:pPr>
        <w:pStyle w:val="TextBody"/>
        <w:spacing w:before="0" w:after="0"/>
        <w:jc w:val="left"/>
        <w:rPr>
          <w:spacing w:val="0"/>
        </w:rPr>
      </w:pPr>
      <w:r>
        <w:rPr>
          <w:spacing w:val="0"/>
        </w:rPr>
        <w:t> </w:t>
      </w:r>
    </w:p>
    <w:tbl>
      <w:tblPr>
        <w:tblW w:w="1765" w:type="dxa"/>
        <w:jc w:val="left"/>
        <w:tblInd w:w="0" w:type="dxa"/>
        <w:tblCellMar>
          <w:top w:w="0" w:type="dxa"/>
          <w:left w:w="0" w:type="dxa"/>
          <w:bottom w:w="0" w:type="dxa"/>
          <w:right w:w="0" w:type="dxa"/>
        </w:tblCellMar>
      </w:tblPr>
      <w:tblGrid>
        <w:gridCol w:w="75"/>
        <w:gridCol w:w="275"/>
        <w:gridCol w:w="141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141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Regular License</w:t>
            </w:r>
          </w:p>
        </w:tc>
      </w:tr>
    </w:tbl>
    <w:p>
      <w:pPr>
        <w:pStyle w:val="TextBody"/>
        <w:spacing w:before="120" w:after="0"/>
        <w:jc w:val="left"/>
        <w:rPr>
          <w:rFonts w:ascii="Times New Roman" w:hAnsi="Times New Roman"/>
          <w:sz w:val="20"/>
        </w:rPr>
      </w:pPr>
      <w:r>
        <w:rPr>
          <w:rFonts w:ascii="Times New Roman" w:hAnsi="Times New Roman"/>
          <w:sz w:val="20"/>
        </w:rPr>
        <w:t xml:space="preserve">On April 29, 2015, PAGCOR issued a regular casino gaming license, as amended (the “Regular License”) in replacement of a provisional license granted as of March 13, 2013, to the </w:t>
      </w:r>
    </w:p>
    <w:p>
      <w:pPr>
        <w:pStyle w:val="TextBody"/>
        <w:spacing w:before="120" w:after="0"/>
        <w:jc w:val="left"/>
        <w:rPr>
          <w:rFonts w:ascii="Times New Roman" w:hAnsi="Times New Roman"/>
          <w:spacing w:val="0"/>
          <w:sz w:val="20"/>
        </w:rPr>
      </w:pPr>
      <w:r>
        <w:rPr>
          <w:rFonts w:ascii="Times New Roman" w:hAnsi="Times New Roman"/>
          <w:spacing w:val="0"/>
          <w:sz w:val="20"/>
        </w:rPr>
        <w:t>co-licensees</w:t>
      </w:r>
    </w:p>
    <w:p>
      <w:pPr>
        <w:pStyle w:val="TextBody"/>
        <w:spacing w:before="120" w:after="0"/>
        <w:jc w:val="left"/>
        <w:rPr>
          <w:rFonts w:ascii="Times New Roman" w:hAnsi="Times New Roman"/>
          <w:sz w:val="20"/>
        </w:rPr>
      </w:pPr>
      <w:r>
        <w:rPr>
          <w:rFonts w:ascii="Times New Roman" w:hAnsi="Times New Roman"/>
          <w:sz w:val="20"/>
        </w:rPr>
        <w:t xml:space="preserve">(the “Licensees”) namely, MPHIL Holdings No. 1 Corporation, a subsidiary of MRP, and its subsidiaries including Melco Resorts Leisure (collectively the “MPHIL Holdings Group”), SM Investments Corporation (“SMIC”), Belle Corporation (“Belle”) and PremiumLeisure and Amusement, Inc. (“PLAI”) (SMIC, Belle and PLAI are collectively referred to as the “Philippine Parties”) for the establishment and operation of City of Dreams Manila, with Melco Resorts Leisure, a </w:t>
      </w:r>
    </w:p>
    <w:p>
      <w:pPr>
        <w:pStyle w:val="TextBody"/>
        <w:spacing w:before="120" w:after="0"/>
        <w:jc w:val="left"/>
        <w:rPr>
          <w:rFonts w:ascii="Times New Roman" w:hAnsi="Times New Roman"/>
          <w:spacing w:val="0"/>
          <w:sz w:val="20"/>
        </w:rPr>
      </w:pPr>
      <w:r>
        <w:rPr>
          <w:rFonts w:ascii="Times New Roman" w:hAnsi="Times New Roman"/>
          <w:spacing w:val="0"/>
          <w:sz w:val="20"/>
        </w:rPr>
        <w:t>co-licensee,</w:t>
      </w:r>
    </w:p>
    <w:p>
      <w:pPr>
        <w:pStyle w:val="TextBody"/>
        <w:spacing w:before="120" w:after="0"/>
        <w:jc w:val="left"/>
        <w:rPr>
          <w:rFonts w:ascii="Times New Roman" w:hAnsi="Times New Roman"/>
          <w:sz w:val="20"/>
        </w:rPr>
      </w:pPr>
      <w:r>
        <w:rPr>
          <w:rFonts w:ascii="Times New Roman" w:hAnsi="Times New Roman"/>
          <w:sz w:val="20"/>
        </w:rPr>
        <w:t xml:space="preserve">as the “special purpose entity” to operate the casino business and as representative for itself and on behalf of the other </w:t>
      </w:r>
    </w:p>
    <w:p>
      <w:pPr>
        <w:pStyle w:val="TextBody"/>
        <w:spacing w:before="120" w:after="0"/>
        <w:jc w:val="left"/>
        <w:rPr>
          <w:rFonts w:ascii="Times New Roman" w:hAnsi="Times New Roman"/>
          <w:spacing w:val="0"/>
          <w:sz w:val="20"/>
        </w:rPr>
      </w:pPr>
      <w:r>
        <w:rPr>
          <w:rFonts w:ascii="Times New Roman" w:hAnsi="Times New Roman"/>
          <w:spacing w:val="0"/>
          <w:sz w:val="20"/>
        </w:rPr>
        <w:t>co-licensees</w:t>
      </w:r>
    </w:p>
    <w:p>
      <w:pPr>
        <w:pStyle w:val="TextBody"/>
        <w:spacing w:before="120" w:after="0"/>
        <w:jc w:val="left"/>
        <w:rPr>
          <w:rFonts w:ascii="Times New Roman" w:hAnsi="Times New Roman"/>
          <w:sz w:val="20"/>
        </w:rPr>
      </w:pPr>
      <w:r>
        <w:rPr>
          <w:rFonts w:ascii="Times New Roman" w:hAnsi="Times New Roman"/>
          <w:sz w:val="20"/>
        </w:rPr>
        <w:t xml:space="preserve">in dealings with PAGCOR. The Regular License has the same terms and conditions as the provisional license, and is valid until July 11, 2033. Further details of the terms and commitments under the Regular License are included in Note 23(b). </w:t>
      </w:r>
    </w:p>
    <w:p>
      <w:pPr>
        <w:pStyle w:val="TextBody"/>
        <w:spacing w:before="0" w:after="0"/>
        <w:jc w:val="left"/>
        <w:rPr>
          <w:spacing w:val="0"/>
        </w:rPr>
      </w:pPr>
      <w:r>
        <w:rPr>
          <w:spacing w:val="0"/>
        </w:rPr>
        <w:t> </w:t>
      </w:r>
    </w:p>
    <w:tbl>
      <w:tblPr>
        <w:tblW w:w="2440" w:type="dxa"/>
        <w:jc w:val="left"/>
        <w:tblInd w:w="0" w:type="dxa"/>
        <w:tblCellMar>
          <w:top w:w="0" w:type="dxa"/>
          <w:left w:w="0" w:type="dxa"/>
          <w:bottom w:w="0" w:type="dxa"/>
          <w:right w:w="0" w:type="dxa"/>
        </w:tblCellMar>
      </w:tblPr>
      <w:tblGrid>
        <w:gridCol w:w="75"/>
        <w:gridCol w:w="290"/>
        <w:gridCol w:w="20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20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Cooperation Agreement</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Licensees and certain of its subsidiaries entered into a cooperation agreement (the “Cooperation Agreement”) and other related arrangements which govern the rights and obligations of the Licensees. Under the Cooperation Agreement, Melco Resorts Leisure is appointed as the sole and exclusive representative of the Licensees in connection with the Regular License and is designated as the operator to operate and manage City of Dreams Manila. Further details of the commitments under the Cooperation Agreement are included in Note 23(b). </w:t>
      </w:r>
    </w:p>
    <w:p>
      <w:pPr>
        <w:pStyle w:val="TextBody"/>
        <w:spacing w:before="0" w:after="0"/>
        <w:jc w:val="left"/>
        <w:rPr>
          <w:spacing w:val="0"/>
        </w:rPr>
      </w:pPr>
      <w:r>
        <w:rPr>
          <w:spacing w:val="0"/>
        </w:rPr>
        <w:t> </w:t>
      </w:r>
    </w:p>
    <w:tbl>
      <w:tblPr>
        <w:tblW w:w="2230" w:type="dxa"/>
        <w:jc w:val="left"/>
        <w:tblInd w:w="0" w:type="dxa"/>
        <w:tblCellMar>
          <w:top w:w="0" w:type="dxa"/>
          <w:left w:w="0" w:type="dxa"/>
          <w:bottom w:w="0" w:type="dxa"/>
          <w:right w:w="0" w:type="dxa"/>
        </w:tblCellMar>
      </w:tblPr>
      <w:tblGrid>
        <w:gridCol w:w="75"/>
        <w:gridCol w:w="275"/>
        <w:gridCol w:w="1880"/>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(c)</w:t>
            </w:r>
          </w:p>
        </w:tc>
        <w:tc>
          <w:tcPr>
            <w:tcW w:w="18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Operating Agreement</w:t>
            </w:r>
          </w:p>
        </w:tc>
      </w:tr>
    </w:tbl>
    <w:p>
      <w:pPr>
        <w:pStyle w:val="TextBody"/>
        <w:spacing w:before="120" w:after="0"/>
        <w:jc w:val="left"/>
        <w:rPr>
          <w:rFonts w:ascii="Times New Roman" w:hAnsi="Times New Roman"/>
          <w:sz w:val="20"/>
        </w:rPr>
      </w:pPr>
      <w:r>
        <w:rPr>
          <w:rFonts w:ascii="Times New Roman" w:hAnsi="Times New Roman"/>
          <w:sz w:val="20"/>
        </w:rPr>
        <w:t xml:space="preserve">The Licensees entered into an operating agreement (the “Operating Agreement”) which governs the operation and management of City of Dreams Manila by Melco Resorts Leisure. Under the Operating Agreement, Melco Resorts Leisure is appointed as the sole and exclusive operator and manager of City of Dreams Manila, and is responsible for, and has sole discretion (subject to certain exceptions) and control over, all matters relating to the operation and management of City of Dreams Manila (including the gaming and </w:t>
      </w:r>
    </w:p>
    <w:p>
      <w:pPr>
        <w:pStyle w:val="TextBody"/>
        <w:spacing w:before="120" w:after="0"/>
        <w:jc w:val="left"/>
        <w:rPr>
          <w:rFonts w:ascii="Times New Roman" w:hAnsi="Times New Roman"/>
          <w:spacing w:val="0"/>
          <w:sz w:val="20"/>
        </w:rPr>
      </w:pPr>
      <w:r>
        <w:rPr>
          <w:rFonts w:ascii="Times New Roman" w:hAnsi="Times New Roman"/>
          <w:spacing w:val="0"/>
          <w:sz w:val="20"/>
        </w:rPr>
        <w:t>non-gaming</w:t>
      </w:r>
    </w:p>
    <w:p>
      <w:pPr>
        <w:pStyle w:val="TextBody"/>
        <w:spacing w:before="120" w:after="0"/>
        <w:jc w:val="left"/>
        <w:rPr>
          <w:rFonts w:ascii="Times New Roman" w:hAnsi="Times New Roman"/>
          <w:sz w:val="20"/>
        </w:rPr>
      </w:pPr>
      <w:r>
        <w:rPr>
          <w:rFonts w:ascii="Times New Roman" w:hAnsi="Times New Roman"/>
          <w:sz w:val="20"/>
        </w:rPr>
        <w:t xml:space="preserve">operations). The Operating Agreement also includes terms of certain monthly payments to PLAI from Melco Resorts Leisure, based on the performance of gaming operations of City of Dreams Manila and is included in “Payments to the Philippine Parties” in the accompanying consolidated statements of operations, and further provides that Melco Resorts Leisure has the right to retain all revenues from </w:t>
      </w:r>
    </w:p>
    <w:p>
      <w:pPr>
        <w:pStyle w:val="TextBody"/>
        <w:spacing w:before="120" w:after="0"/>
        <w:jc w:val="left"/>
        <w:rPr>
          <w:rFonts w:ascii="Times New Roman" w:hAnsi="Times New Roman"/>
          <w:spacing w:val="0"/>
          <w:sz w:val="20"/>
        </w:rPr>
      </w:pPr>
      <w:r>
        <w:rPr>
          <w:rFonts w:ascii="Times New Roman" w:hAnsi="Times New Roman"/>
          <w:spacing w:val="0"/>
          <w:sz w:val="20"/>
        </w:rPr>
        <w:t>non-gaming</w:t>
      </w:r>
    </w:p>
    <w:p>
      <w:pPr>
        <w:pStyle w:val="TextBody"/>
        <w:spacing w:before="120" w:after="0"/>
        <w:jc w:val="left"/>
        <w:rPr>
          <w:rFonts w:ascii="Times New Roman" w:hAnsi="Times New Roman"/>
          <w:sz w:val="20"/>
        </w:rPr>
      </w:pPr>
      <w:r>
        <w:rPr>
          <w:rFonts w:ascii="Times New Roman" w:hAnsi="Times New Roman"/>
          <w:sz w:val="20"/>
        </w:rPr>
        <w:t xml:space="preserve">operations of City of Dreams Manila. </w:t>
      </w:r>
    </w:p>
    <w:p>
      <w:pPr>
        <w:pStyle w:val="TextBody"/>
        <w:spacing w:before="120" w:after="0"/>
        <w:jc w:val="left"/>
        <w:rPr>
          <w:rFonts w:ascii="Times New Roman" w:hAnsi="Times New Roman"/>
          <w:sz w:val="20"/>
        </w:rPr>
      </w:pPr>
      <w:r>
        <w:rPr>
          <w:rFonts w:ascii="Times New Roman" w:hAnsi="Times New Roman"/>
          <w:sz w:val="20"/>
        </w:rPr>
        <w:t xml:space="preserve">As a result of the disruptions and impact caused by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outbreak, on March 22, 2021, Melco Resorts Leisure and PLAI entered into a supplemental agreement to the Operating Agreement where the monthly payments paid or payable by Melco Resorts Leisure from 2019 to 2022 were adjusted.</w:t>
      </w:r>
    </w:p>
    <w:p>
      <w:pPr>
        <w:pStyle w:val="TextBody"/>
        <w:spacing w:before="0" w:after="0"/>
        <w:jc w:val="left"/>
        <w:rPr/>
      </w:pPr>
      <w:r>
        <w:rPr/>
        <w:t> </w:t>
      </w:r>
    </w:p>
    <w:tbl>
      <w:tblPr>
        <w:tblW w:w="2313" w:type="dxa"/>
        <w:jc w:val="left"/>
        <w:tblInd w:w="0" w:type="dxa"/>
        <w:tblCellMar>
          <w:top w:w="0" w:type="dxa"/>
          <w:left w:w="0" w:type="dxa"/>
          <w:bottom w:w="0" w:type="dxa"/>
          <w:right w:w="0" w:type="dxa"/>
        </w:tblCellMar>
      </w:tblPr>
      <w:tblGrid>
        <w:gridCol w:w="38"/>
        <w:gridCol w:w="290"/>
        <w:gridCol w:w="1985"/>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jc w:val="left"/>
              <w:rPr>
                <w:spacing w:val="0"/>
              </w:rPr>
            </w:pPr>
            <w:r>
              <w:rPr>
                <w:spacing w:val="0"/>
              </w:rPr>
              <w:t>(d)</w:t>
            </w:r>
          </w:p>
        </w:tc>
        <w:tc>
          <w:tcPr>
            <w:tcW w:w="19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MRP Lease Agreement</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Melco Resorts Leisure and Belle entered into a lease agreement, as amended from time to time (the “MRP Lease Agreement”) under which Belle agreed to lease to Melco Resorts Leisure the land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F-7</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0"/>
              <w:jc w:val="left"/>
              <w:rPr>
                <w:b/>
                <w:spacing w:val="0"/>
              </w:rPr>
            </w:pPr>
            <w:r>
              <w:rPr>
                <w:b/>
                <w:spacing w:val="0"/>
              </w:rPr>
              <w:t>22.</w:t>
            </w:r>
          </w:p>
        </w:tc>
        <w:tc>
          <w:tcPr>
            <w:tcW w:w="9888"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REGULAR LICENSE, COOPERATION AGREEMENT, OPERATING AGREEMENT AND MRP LEASE AGREEMENT FOR CITY OF DREAMS MANILA</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tbl>
      <w:tblPr>
        <w:tblW w:w="2350" w:type="dxa"/>
        <w:jc w:val="left"/>
        <w:tblInd w:w="0" w:type="dxa"/>
        <w:tblCellMar>
          <w:top w:w="0" w:type="dxa"/>
          <w:left w:w="0" w:type="dxa"/>
          <w:bottom w:w="0" w:type="dxa"/>
          <w:right w:w="0" w:type="dxa"/>
        </w:tblCellMar>
      </w:tblPr>
      <w:tblGrid>
        <w:gridCol w:w="75"/>
        <w:gridCol w:w="290"/>
        <w:gridCol w:w="1985"/>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(d)</w:t>
            </w:r>
          </w:p>
        </w:tc>
        <w:tc>
          <w:tcPr>
            <w:tcW w:w="19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MRP Lease Agreement</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certain of the building structures for City of Dreams Manila. The leased property is used by Melco Resorts Leisure and any of its affiliates exclusively as a hotel, casino and resort complex. </w:t>
      </w:r>
    </w:p>
    <w:p>
      <w:pPr>
        <w:pStyle w:val="TextBody"/>
        <w:spacing w:before="120" w:after="0"/>
        <w:jc w:val="left"/>
        <w:rPr>
          <w:rFonts w:ascii="Times New Roman" w:hAnsi="Times New Roman"/>
          <w:sz w:val="20"/>
        </w:rPr>
      </w:pPr>
      <w:r>
        <w:rPr>
          <w:rFonts w:ascii="Times New Roman" w:hAnsi="Times New Roman"/>
          <w:sz w:val="20"/>
        </w:rPr>
        <w:t xml:space="preserve">As a result of the disruptions and impact caused by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outbreak, on March 22, 2021</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Melco Resorts Leisure and Belle entered into a supplemental agreement to the MRP Lease Agreement to make certain adjustments to the rental payments paid or payable by Melco Resorts Leisure for 2020 and 2021.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August 19, 2022 and October 31, 2022, Melco Resorts Leisure and Belle entered into supplemental agreements to the MRP Lease Agreement to make certain adjustments to the rental payments paid or payable by Melco Resorts Leisure from 2022 to 2033. </w:t>
      </w:r>
    </w:p>
    <w:p>
      <w:pPr>
        <w:pStyle w:val="TextBody"/>
        <w:spacing w:before="0" w:after="0"/>
        <w:ind w:left="0" w:right="0" w:hanging="0"/>
        <w:jc w:val="left"/>
        <w:rPr>
          <w:spacing w:val="0"/>
        </w:rPr>
      </w:pPr>
      <w:r>
        <w:rPr>
          <w:spacing w:val="0"/>
        </w:rPr>
        <w:t> </w:t>
      </w:r>
    </w:p>
    <w:tbl>
      <w:tblPr>
        <w:tblW w:w="4090" w:type="dxa"/>
        <w:jc w:val="left"/>
        <w:tblInd w:w="0" w:type="dxa"/>
        <w:tblCellMar>
          <w:top w:w="0" w:type="dxa"/>
          <w:left w:w="0" w:type="dxa"/>
          <w:bottom w:w="0" w:type="dxa"/>
          <w:right w:w="0" w:type="dxa"/>
        </w:tblCellMar>
      </w:tblPr>
      <w:tblGrid>
        <w:gridCol w:w="335"/>
        <w:gridCol w:w="3755"/>
      </w:tblGrid>
      <w:tr>
        <w:trPr/>
        <w:tc>
          <w:tcPr>
            <w:tcW w:w="335" w:type="dxa"/>
            <w:tcBorders/>
            <w:shd w:fill="auto" w:val="clear"/>
            <w:vAlign w:val="center"/>
          </w:tcPr>
          <w:p>
            <w:pPr>
              <w:pStyle w:val="TableContents"/>
              <w:spacing w:before="0" w:after="0"/>
              <w:jc w:val="left"/>
              <w:rPr>
                <w:b/>
                <w:spacing w:val="0"/>
              </w:rPr>
            </w:pPr>
            <w:r>
              <w:rPr>
                <w:b/>
                <w:spacing w:val="0"/>
              </w:rPr>
              <w:t>23.</w:t>
            </w:r>
          </w:p>
        </w:tc>
        <w:tc>
          <w:tcPr>
            <w:tcW w:w="37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spacing w:before="0" w:after="0"/>
        <w:jc w:val="left"/>
        <w:rPr>
          <w:spacing w:val="0"/>
        </w:rPr>
      </w:pPr>
      <w:r>
        <w:rPr>
          <w:spacing w:val="0"/>
        </w:rPr>
        <w:t> </w:t>
      </w:r>
    </w:p>
    <w:tbl>
      <w:tblPr>
        <w:tblW w:w="2245" w:type="dxa"/>
        <w:jc w:val="left"/>
        <w:tblInd w:w="0" w:type="dxa"/>
        <w:tblCellMar>
          <w:top w:w="0" w:type="dxa"/>
          <w:left w:w="0" w:type="dxa"/>
          <w:bottom w:w="0" w:type="dxa"/>
          <w:right w:w="0" w:type="dxa"/>
        </w:tblCellMar>
      </w:tblPr>
      <w:tblGrid>
        <w:gridCol w:w="75"/>
        <w:gridCol w:w="275"/>
        <w:gridCol w:w="189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left"/>
              <w:rPr/>
            </w:pPr>
            <w:r>
              <w:rPr/>
              <w:t>(a)</w:t>
            </w:r>
          </w:p>
        </w:tc>
        <w:tc>
          <w:tcPr>
            <w:tcW w:w="18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Capital Commitments</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December 31, 2022, the Company had capital commitments contracted for but not incurred mainly for the construction and acquisition of property and equipment for Studio City, City of Dreams and Cyprus Operations totaling $78,497. </w:t>
      </w:r>
    </w:p>
    <w:p>
      <w:pPr>
        <w:pStyle w:val="TextBody"/>
        <w:spacing w:before="0" w:after="0"/>
        <w:jc w:val="left"/>
        <w:rPr>
          <w:spacing w:val="0"/>
        </w:rPr>
      </w:pPr>
      <w:r>
        <w:rPr>
          <w:spacing w:val="0"/>
        </w:rPr>
        <w:t> </w:t>
      </w:r>
    </w:p>
    <w:tbl>
      <w:tblPr>
        <w:tblW w:w="2125" w:type="dxa"/>
        <w:jc w:val="left"/>
        <w:tblInd w:w="0" w:type="dxa"/>
        <w:tblCellMar>
          <w:top w:w="0" w:type="dxa"/>
          <w:left w:w="0" w:type="dxa"/>
          <w:bottom w:w="0" w:type="dxa"/>
          <w:right w:w="0" w:type="dxa"/>
        </w:tblCellMar>
      </w:tblPr>
      <w:tblGrid>
        <w:gridCol w:w="75"/>
        <w:gridCol w:w="290"/>
        <w:gridCol w:w="176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1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Commitments</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Gaming Subconcession — Macau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On September 8, 2006, the Macau government granted a gaming subconcession to Melco Resorts Macau to operate its gaming business in Macau which expired on June 26, 2022 and was extended to December 31, 2022. Pursuant to the gaming subconcession agreement, Melco Resorts Macau committed to pay the Macau government the following:</w:t>
      </w:r>
    </w:p>
    <w:p>
      <w:pPr>
        <w:pStyle w:val="TextBody"/>
        <w:spacing w:before="0" w:after="0"/>
        <w:jc w:val="left"/>
        <w:rPr>
          <w:spacing w:val="0"/>
        </w:rPr>
      </w:pPr>
      <w:r>
        <w:rPr>
          <w:spacing w:val="0"/>
        </w:rPr>
        <w:t> </w:t>
      </w:r>
    </w:p>
    <w:tbl>
      <w:tblPr>
        <w:tblW w:w="5425" w:type="dxa"/>
        <w:jc w:val="left"/>
        <w:tblInd w:w="0" w:type="dxa"/>
        <w:tblCellMar>
          <w:top w:w="0" w:type="dxa"/>
          <w:left w:w="0" w:type="dxa"/>
          <w:bottom w:w="0" w:type="dxa"/>
          <w:right w:w="0" w:type="dxa"/>
        </w:tblCellMar>
      </w:tblPr>
      <w:tblGrid>
        <w:gridCol w:w="75"/>
        <w:gridCol w:w="155"/>
        <w:gridCol w:w="5195"/>
      </w:tblGrid>
      <w:tr>
        <w:trPr/>
        <w:tc>
          <w:tcPr>
            <w:tcW w:w="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jc w:val="left"/>
              <w:rPr/>
            </w:pPr>
            <w:r>
              <w:rPr/>
              <w:t>i)</w:t>
            </w:r>
          </w:p>
        </w:tc>
        <w:tc>
          <w:tcPr>
            <w:tcW w:w="51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fixed annual premium of MOP30,000 (equivalent to $3,730).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89"/>
        <w:gridCol w:w="9941"/>
      </w:tblGrid>
      <w:tr>
        <w:trPr/>
        <w:tc>
          <w:tcPr>
            <w:tcW w:w="75" w:type="dxa"/>
            <w:tcBorders/>
            <w:shd w:fill="auto" w:val="clear"/>
            <w:vAlign w:val="center"/>
          </w:tcPr>
          <w:p>
            <w:pPr>
              <w:pStyle w:val="TableContents"/>
              <w:spacing w:before="0" w:after="283"/>
              <w:rPr/>
            </w:pPr>
            <w:r>
              <w:rPr/>
              <w:t> </w:t>
            </w:r>
          </w:p>
        </w:tc>
        <w:tc>
          <w:tcPr>
            <w:tcW w:w="189" w:type="dxa"/>
            <w:tcBorders/>
            <w:shd w:fill="auto" w:val="clear"/>
            <w:vAlign w:val="center"/>
          </w:tcPr>
          <w:p>
            <w:pPr>
              <w:pStyle w:val="TableContents"/>
              <w:spacing w:before="0" w:after="283"/>
              <w:jc w:val="left"/>
              <w:rPr/>
            </w:pPr>
            <w:r>
              <w:rPr/>
              <w:t>ii)</w:t>
            </w:r>
          </w:p>
        </w:tc>
        <w:tc>
          <w:tcPr>
            <w:tcW w:w="994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variable premium depending on the number and type of gaming tables and gaming machines that Melco Resorts Macau operates. The variable premium is calculated as follows: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MOP300 (equivalent to $37) per year for each gaming table (subject to a minimum of 100 tables) reserved exclusively for certain kinds of games or to certain players;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MOP150 (equivalent to $19) per year for each gaming table (subject to a minimum of 100 tables) not reserved exclusively for certain kinds of games or to certain players; and </w:t>
            </w:r>
          </w:p>
        </w:tc>
      </w:tr>
    </w:tbl>
    <w:p>
      <w:pPr>
        <w:pStyle w:val="TextBody"/>
        <w:spacing w:before="0" w:after="0"/>
        <w:jc w:val="left"/>
        <w:rPr>
          <w:spacing w:val="0"/>
        </w:rPr>
      </w:pPr>
      <w:r>
        <w:rPr>
          <w:spacing w:val="0"/>
        </w:rPr>
        <w:t> </w:t>
      </w:r>
    </w:p>
    <w:tbl>
      <w:tblPr>
        <w:tblW w:w="9565" w:type="dxa"/>
        <w:jc w:val="left"/>
        <w:tblInd w:w="0" w:type="dxa"/>
        <w:tblCellMar>
          <w:top w:w="0" w:type="dxa"/>
          <w:left w:w="0" w:type="dxa"/>
          <w:bottom w:w="0" w:type="dxa"/>
          <w:right w:w="0" w:type="dxa"/>
        </w:tblCellMar>
      </w:tblPr>
      <w:tblGrid>
        <w:gridCol w:w="75"/>
        <w:gridCol w:w="110"/>
        <w:gridCol w:w="60"/>
        <w:gridCol w:w="9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MOP1 (equivalent to $0.1) per year for each electrical or mechanical gaming machine, including the slot machine.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72"/>
        <w:gridCol w:w="9858"/>
      </w:tblGrid>
      <w:tr>
        <w:trPr/>
        <w:tc>
          <w:tcPr>
            <w:tcW w:w="75" w:type="dxa"/>
            <w:tcBorders/>
            <w:shd w:fill="auto" w:val="clear"/>
            <w:vAlign w:val="center"/>
          </w:tcPr>
          <w:p>
            <w:pPr>
              <w:pStyle w:val="TableContents"/>
              <w:spacing w:before="0" w:after="283"/>
              <w:rPr/>
            </w:pPr>
            <w:r>
              <w:rPr/>
              <w:t> </w:t>
            </w:r>
          </w:p>
        </w:tc>
        <w:tc>
          <w:tcPr>
            <w:tcW w:w="272" w:type="dxa"/>
            <w:tcBorders/>
            <w:shd w:fill="auto" w:val="clear"/>
            <w:vAlign w:val="center"/>
          </w:tcPr>
          <w:p>
            <w:pPr>
              <w:pStyle w:val="TableContents"/>
              <w:spacing w:before="0" w:after="283"/>
              <w:jc w:val="left"/>
              <w:rPr/>
            </w:pPr>
            <w:r>
              <w:rPr/>
              <w:t>iii)</w:t>
            </w:r>
          </w:p>
        </w:tc>
        <w:tc>
          <w:tcPr>
            <w:tcW w:w="9858"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special gaming tax of an amount equal to 35% of the gross revenues of the gaming business operations on a monthly basis.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44"/>
        <w:gridCol w:w="9886"/>
      </w:tblGrid>
      <w:tr>
        <w:trPr/>
        <w:tc>
          <w:tcPr>
            <w:tcW w:w="75" w:type="dxa"/>
            <w:tcBorders/>
            <w:shd w:fill="auto" w:val="clear"/>
            <w:vAlign w:val="center"/>
          </w:tcPr>
          <w:p>
            <w:pPr>
              <w:pStyle w:val="TableContents"/>
              <w:spacing w:before="0" w:after="283"/>
              <w:rPr/>
            </w:pPr>
            <w:r>
              <w:rPr/>
              <w:t> </w:t>
            </w:r>
          </w:p>
        </w:tc>
        <w:tc>
          <w:tcPr>
            <w:tcW w:w="244" w:type="dxa"/>
            <w:tcBorders/>
            <w:shd w:fill="auto" w:val="clear"/>
            <w:vAlign w:val="center"/>
          </w:tcPr>
          <w:p>
            <w:pPr>
              <w:pStyle w:val="TableContents"/>
              <w:spacing w:before="0" w:after="283"/>
              <w:jc w:val="left"/>
              <w:rPr/>
            </w:pPr>
            <w:r>
              <w:rPr/>
              <w:t>iv)</w:t>
            </w:r>
          </w:p>
        </w:tc>
        <w:tc>
          <w:tcPr>
            <w:tcW w:w="9886" w:type="dxa"/>
            <w:tcBorders/>
            <w:shd w:fill="auto" w:val="clear"/>
            <w:vAlign w:val="center"/>
          </w:tcPr>
          <w:p>
            <w:pPr>
              <w:pStyle w:val="TableContents"/>
              <w:spacing w:before="0" w:after="0"/>
              <w:ind w:left="0" w:right="0" w:hanging="0"/>
              <w:jc w:val="left"/>
              <w:rPr>
                <w:rFonts w:ascii="Times New Roman" w:hAnsi="Times New Roman"/>
                <w:spacing w:val="0"/>
                <w:sz w:val="20"/>
              </w:rPr>
            </w:pPr>
            <w:r>
              <w:rPr>
                <w:rFonts w:ascii="Times New Roman" w:hAnsi="Times New Roman"/>
                <w:spacing w:val="0"/>
                <w:sz w:val="20"/>
              </w:rPr>
              <w:t>A sum of up to </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4% of the gross revenues of the gaming business operations to utilities designated by the Macau government (a portion of which must be used for promotion of tourism in Macau) on a monthly basis. </w:t>
            </w:r>
          </w:p>
        </w:tc>
      </w:tr>
    </w:tbl>
    <w:p>
      <w:pPr>
        <w:pStyle w:val="TextBody"/>
        <w:spacing w:before="0" w:after="0"/>
        <w:jc w:val="left"/>
        <w:rPr>
          <w:sz w:val="12"/>
        </w:rPr>
      </w:pPr>
      <w:r>
        <w:rPr>
          <w:sz w:val="12"/>
        </w:rPr>
      </w:r>
    </w:p>
    <w:p>
      <w:pPr>
        <w:pStyle w:val="TextBody"/>
        <w:spacing w:before="0" w:after="0"/>
        <w:jc w:val="center"/>
        <w:rPr>
          <w:rFonts w:ascii="Times New Roman" w:hAnsi="Times New Roman"/>
          <w:spacing w:val="0"/>
          <w:sz w:val="20"/>
        </w:rPr>
      </w:pPr>
      <w:r>
        <w:rPr>
          <w:rFonts w:ascii="Times New Roman" w:hAnsi="Times New Roman"/>
          <w:spacing w:val="0"/>
          <w:sz w:val="20"/>
        </w:rPr>
        <w:t>F-7</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continued</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spacing w:val="0"/>
        </w:rPr>
      </w:pPr>
      <w:r>
        <w:rPr>
          <w:spacing w:val="0"/>
        </w:rPr>
        <w:t> </w:t>
      </w:r>
    </w:p>
    <w:tbl>
      <w:tblPr>
        <w:tblW w:w="4045" w:type="dxa"/>
        <w:jc w:val="left"/>
        <w:tblInd w:w="0" w:type="dxa"/>
        <w:tblCellMar>
          <w:top w:w="0" w:type="dxa"/>
          <w:left w:w="0" w:type="dxa"/>
          <w:bottom w:w="0" w:type="dxa"/>
          <w:right w:w="0" w:type="dxa"/>
        </w:tblCellMar>
      </w:tblPr>
      <w:tblGrid>
        <w:gridCol w:w="335"/>
        <w:gridCol w:w="3710"/>
      </w:tblGrid>
      <w:tr>
        <w:trPr/>
        <w:tc>
          <w:tcPr>
            <w:tcW w:w="335" w:type="dxa"/>
            <w:tcBorders/>
            <w:shd w:fill="auto" w:val="clear"/>
            <w:vAlign w:val="center"/>
          </w:tcPr>
          <w:p>
            <w:pPr>
              <w:pStyle w:val="TableContents"/>
              <w:spacing w:before="0" w:after="0"/>
              <w:jc w:val="left"/>
              <w:rPr>
                <w:b/>
                <w:spacing w:val="0"/>
              </w:rPr>
            </w:pPr>
            <w:r>
              <w:rPr>
                <w:b/>
                <w:spacing w:val="0"/>
              </w:rPr>
              <w:t>23.</w:t>
            </w:r>
          </w:p>
        </w:tc>
        <w:tc>
          <w:tcPr>
            <w:tcW w:w="37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COMMITMENTS AND CONTINGENCIES</w:t>
            </w:r>
          </w:p>
          <w:p>
            <w:pPr>
              <w:pStyle w:val="TableContents"/>
              <w:spacing w:before="0" w:after="0"/>
              <w:jc w:val="left"/>
              <w:rPr/>
            </w:pPr>
            <w:r>
              <w:rPr/>
              <w:t> </w:t>
            </w:r>
            <w:r>
              <w:rPr>
                <w:rFonts w:ascii="Times New Roman" w:hAnsi="Times New Roman"/>
                <w:sz w:val="20"/>
              </w:rPr>
              <w:t>- continued</w:t>
            </w:r>
          </w:p>
        </w:tc>
      </w:tr>
    </w:tbl>
    <w:p>
      <w:pPr>
        <w:pStyle w:val="TextBody"/>
        <w:spacing w:before="0" w:after="0"/>
        <w:jc w:val="left"/>
        <w:rPr>
          <w:spacing w:val="0"/>
        </w:rPr>
      </w:pPr>
      <w:r>
        <w:rPr>
          <w:spacing w:val="0"/>
        </w:rPr>
        <w:t> </w:t>
      </w:r>
    </w:p>
    <w:tbl>
      <w:tblPr>
        <w:tblW w:w="2125" w:type="dxa"/>
        <w:jc w:val="left"/>
        <w:tblInd w:w="0" w:type="dxa"/>
        <w:tblCellMar>
          <w:top w:w="0" w:type="dxa"/>
          <w:left w:w="0" w:type="dxa"/>
          <w:bottom w:w="0" w:type="dxa"/>
          <w:right w:w="0" w:type="dxa"/>
        </w:tblCellMar>
      </w:tblPr>
      <w:tblGrid>
        <w:gridCol w:w="75"/>
        <w:gridCol w:w="290"/>
        <w:gridCol w:w="176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1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Commitments</w:t>
            </w:r>
          </w:p>
          <w:p>
            <w:pPr>
              <w:pStyle w:val="TableContents"/>
              <w:spacing w:before="0" w:after="0"/>
              <w:jc w:val="left"/>
              <w:rPr/>
            </w:pPr>
            <w:r>
              <w:rPr/>
              <w:t> </w:t>
            </w:r>
            <w:r>
              <w:rPr>
                <w:rFonts w:ascii="Times New Roman" w:hAnsi="Times New Roman"/>
                <w:sz w:val="20"/>
              </w:rPr>
              <w:t xml:space="preserve">- continued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Gaming Subconcession — Macau</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8"/>
        <w:gridCol w:w="184"/>
        <w:gridCol w:w="9983"/>
      </w:tblGrid>
      <w:tr>
        <w:trPr/>
        <w:tc>
          <w:tcPr>
            <w:tcW w:w="3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0"/>
              <w:jc w:val="left"/>
              <w:rPr>
                <w:spacing w:val="0"/>
              </w:rPr>
            </w:pPr>
            <w:r>
              <w:rPr>
                <w:spacing w:val="0"/>
              </w:rPr>
              <w:t>v)</w:t>
            </w:r>
          </w:p>
        </w:tc>
        <w:tc>
          <w:tcPr>
            <w:tcW w:w="9983"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Melco Resorts Macau was required to maintain a guarantee issued by a Macau bank in favor of the Macau government for a maximum amount of MOP300,000 (equivalent to $37,296) until the 180</w:t>
            </w:r>
          </w:p>
          <w:p>
            <w:pPr>
              <w:pStyle w:val="TableContents"/>
              <w:spacing w:before="0" w:after="0"/>
              <w:jc w:val="left"/>
              <w:rPr>
                <w:rFonts w:ascii="Times New Roman" w:hAnsi="Times New Roman"/>
                <w:spacing w:val="0"/>
                <w:sz w:val="12"/>
              </w:rPr>
            </w:pPr>
            <w:r>
              <w:rPr>
                <w:rFonts w:ascii="Times New Roman" w:hAnsi="Times New Roman"/>
                <w:spacing w:val="0"/>
                <w:sz w:val="12"/>
              </w:rPr>
              <w:t>th</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day after the termination date of the gaming subconcession. This bank guarantee was not enforceable with effect from January 1, 2023 and was released in January 2023.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As a result of the bank guarantee issued by the bank to the Macau government as disclosed in Note 23(b)(v) above, a sum</w:t>
      </w:r>
    </w:p>
    <w:p>
      <w:pPr>
        <w:pStyle w:val="TextBody"/>
        <w:spacing w:before="120" w:after="0"/>
        <w:jc w:val="left"/>
        <w:rPr>
          <w:spacing w:val="0"/>
        </w:rPr>
      </w:pPr>
      <w:r>
        <w:rPr>
          <w:spacing w:val="0"/>
        </w:rPr>
        <w:t> </w:t>
      </w:r>
      <w:r>
        <w:rPr>
          <w:rFonts w:ascii="Times New Roman" w:hAnsi="Times New Roman"/>
          <w:spacing w:val="0"/>
          <w:sz w:val="20"/>
        </w:rPr>
        <w:t>o</w:t>
      </w:r>
    </w:p>
    <w:p>
      <w:pPr>
        <w:pStyle w:val="TextBody"/>
        <w:spacing w:before="120" w:after="0"/>
        <w:jc w:val="left"/>
        <w:rPr>
          <w:rFonts w:ascii="Times New Roman" w:hAnsi="Times New Roman"/>
          <w:spacing w:val="0"/>
          <w:sz w:val="20"/>
        </w:rPr>
      </w:pPr>
      <w:r>
        <w:rPr>
          <w:rFonts w:ascii="Times New Roman" w:hAnsi="Times New Roman"/>
          <w:spacing w:val="0"/>
          <w:sz w:val="20"/>
        </w:rPr>
        <w:t>f 1.75</w:t>
      </w:r>
    </w:p>
    <w:p>
      <w:pPr>
        <w:pStyle w:val="TextBody"/>
        <w:spacing w:before="120" w:after="0"/>
        <w:jc w:val="left"/>
        <w:rPr>
          <w:rFonts w:ascii="Times New Roman" w:hAnsi="Times New Roman"/>
          <w:spacing w:val="0"/>
          <w:sz w:val="20"/>
        </w:rPr>
      </w:pPr>
      <w:r>
        <w:rPr>
          <w:rFonts w:ascii="Times New Roman" w:hAnsi="Times New Roman"/>
          <w:spacing w:val="0"/>
          <w:sz w:val="20"/>
        </w:rPr>
        <w:t>% per annum of the guarantee amount w</w:t>
      </w:r>
    </w:p>
    <w:p>
      <w:pPr>
        <w:pStyle w:val="TextBody"/>
        <w:spacing w:before="120" w:after="0"/>
        <w:jc w:val="left"/>
        <w:rPr>
          <w:rFonts w:ascii="Times New Roman" w:hAnsi="Times New Roman"/>
          <w:spacing w:val="0"/>
          <w:sz w:val="20"/>
        </w:rPr>
      </w:pPr>
      <w:r>
        <w:rPr>
          <w:rFonts w:ascii="Times New Roman" w:hAnsi="Times New Roman"/>
          <w:spacing w:val="0"/>
          <w:sz w:val="20"/>
        </w:rPr>
        <w:t>as</w:t>
      </w:r>
    </w:p>
    <w:p>
      <w:pPr>
        <w:pStyle w:val="TextBody"/>
        <w:spacing w:before="120" w:after="0"/>
        <w:jc w:val="left"/>
        <w:rPr>
          <w:spacing w:val="0"/>
        </w:rPr>
      </w:pPr>
      <w:r>
        <w:rPr>
          <w:spacing w:val="0"/>
        </w:rPr>
        <w:t> </w:t>
      </w:r>
      <w:r>
        <w:rPr>
          <w:rFonts w:ascii="Times New Roman" w:hAnsi="Times New Roman"/>
          <w:spacing w:val="0"/>
          <w:sz w:val="20"/>
        </w:rPr>
        <w:t>payable by Melco Resorts Macau quarterly to the bank.</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September 20, 2022, Melco Resorts Macau provided a bank guarantee issued by a Macau bank in favor of the Macau government in an amount of MOP820,000 (equivalent to $101,942) to guarantee the satisfaction of any labor liabilities upon expiry of the subconcession and an aggregate sum of </w:t>
      </w:r>
    </w:p>
    <w:p>
      <w:pPr>
        <w:pStyle w:val="TextBody"/>
        <w:spacing w:before="120" w:after="0"/>
        <w:jc w:val="left"/>
        <w:rPr>
          <w:rFonts w:ascii="Times New Roman" w:hAnsi="Times New Roman"/>
          <w:spacing w:val="0"/>
          <w:sz w:val="20"/>
        </w:rPr>
      </w:pPr>
      <w:r>
        <w:rPr>
          <w:rFonts w:ascii="Times New Roman" w:hAnsi="Times New Roman"/>
          <w:spacing w:val="0"/>
          <w:sz w:val="20"/>
        </w:rPr>
        <w:t>0.9</w:t>
      </w:r>
    </w:p>
    <w:p>
      <w:pPr>
        <w:pStyle w:val="TextBody"/>
        <w:spacing w:before="120" w:after="0"/>
        <w:jc w:val="left"/>
        <w:rPr>
          <w:rFonts w:ascii="Times New Roman" w:hAnsi="Times New Roman"/>
          <w:spacing w:val="0"/>
          <w:sz w:val="20"/>
        </w:rPr>
      </w:pPr>
      <w:r>
        <w:rPr>
          <w:rFonts w:ascii="Times New Roman" w:hAnsi="Times New Roman"/>
          <w:spacing w:val="0"/>
          <w:sz w:val="20"/>
        </w:rPr>
        <w:t>% per annum of MOP410,000</w:t>
      </w:r>
    </w:p>
    <w:p>
      <w:pPr>
        <w:pStyle w:val="TextBody"/>
        <w:spacing w:before="120" w:after="0"/>
        <w:jc w:val="left"/>
        <w:rPr>
          <w:rFonts w:ascii="Times New Roman" w:hAnsi="Times New Roman"/>
          <w:spacing w:val="0"/>
          <w:sz w:val="20"/>
        </w:rPr>
      </w:pPr>
      <w:r>
        <w:rPr>
          <w:rFonts w:ascii="Times New Roman" w:hAnsi="Times New Roman"/>
          <w:spacing w:val="0"/>
          <w:sz w:val="20"/>
        </w:rPr>
        <w:t>(equivalent to $50,971) was payable by Melco Resorts Macau quarterly to the bank. This bank guarantee was not enforceable with effect from January 1, 2023 and was released in January 2023</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Concession — Macau</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Under the Concession awarded by the Macau government to Melco Resorts Macau on December 16, 2022, Melco Resorts Macau is obligated to pay the Macau government the following:</w:t>
      </w:r>
    </w:p>
    <w:p>
      <w:pPr>
        <w:pStyle w:val="TextBody"/>
        <w:spacing w:before="0" w:after="0"/>
        <w:jc w:val="left"/>
        <w:rPr>
          <w:spacing w:val="0"/>
        </w:rPr>
      </w:pPr>
      <w:r>
        <w:rPr>
          <w:spacing w:val="0"/>
        </w:rPr>
        <w:t> </w:t>
      </w:r>
    </w:p>
    <w:tbl>
      <w:tblPr>
        <w:tblW w:w="5425" w:type="dxa"/>
        <w:jc w:val="left"/>
        <w:tblInd w:w="0" w:type="dxa"/>
        <w:tblCellMar>
          <w:top w:w="0" w:type="dxa"/>
          <w:left w:w="0" w:type="dxa"/>
          <w:bottom w:w="0" w:type="dxa"/>
          <w:right w:w="0" w:type="dxa"/>
        </w:tblCellMar>
      </w:tblPr>
      <w:tblGrid>
        <w:gridCol w:w="75"/>
        <w:gridCol w:w="155"/>
        <w:gridCol w:w="5195"/>
      </w:tblGrid>
      <w:tr>
        <w:trPr/>
        <w:tc>
          <w:tcPr>
            <w:tcW w:w="75" w:type="dxa"/>
            <w:tcBorders/>
            <w:shd w:fill="auto" w:val="clear"/>
            <w:vAlign w:val="center"/>
          </w:tcPr>
          <w:p>
            <w:pPr>
              <w:pStyle w:val="TableContents"/>
              <w:spacing w:before="0" w:after="0"/>
              <w:rPr>
                <w:spacing w:val="0"/>
              </w:rPr>
            </w:pPr>
            <w:r>
              <w:rPr>
                <w:spacing w:val="0"/>
              </w:rPr>
              <w:t> </w:t>
            </w:r>
          </w:p>
        </w:tc>
        <w:tc>
          <w:tcPr>
            <w:tcW w:w="155" w:type="dxa"/>
            <w:tcBorders/>
            <w:shd w:fill="auto" w:val="clear"/>
            <w:vAlign w:val="center"/>
          </w:tcPr>
          <w:p>
            <w:pPr>
              <w:pStyle w:val="TableContents"/>
              <w:spacing w:before="0" w:after="0"/>
              <w:jc w:val="left"/>
              <w:rPr>
                <w:spacing w:val="0"/>
              </w:rPr>
            </w:pPr>
            <w:r>
              <w:rPr>
                <w:spacing w:val="0"/>
              </w:rPr>
              <w:t>i)</w:t>
            </w:r>
          </w:p>
        </w:tc>
        <w:tc>
          <w:tcPr>
            <w:tcW w:w="51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fixed annual premium of MOP30,000 (equivalent to $3,730).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73"/>
        <w:gridCol w:w="9957"/>
      </w:tblGrid>
      <w:tr>
        <w:trPr/>
        <w:tc>
          <w:tcPr>
            <w:tcW w:w="75" w:type="dxa"/>
            <w:tcBorders/>
            <w:shd w:fill="auto" w:val="clear"/>
            <w:vAlign w:val="center"/>
          </w:tcPr>
          <w:p>
            <w:pPr>
              <w:pStyle w:val="TableContents"/>
              <w:spacing w:before="0" w:after="0"/>
              <w:rPr>
                <w:spacing w:val="0"/>
              </w:rPr>
            </w:pPr>
            <w:r>
              <w:rPr>
                <w:spacing w:val="0"/>
              </w:rPr>
              <w:t> </w:t>
            </w:r>
          </w:p>
        </w:tc>
        <w:tc>
          <w:tcPr>
            <w:tcW w:w="173" w:type="dxa"/>
            <w:tcBorders/>
            <w:shd w:fill="auto" w:val="clear"/>
            <w:vAlign w:val="center"/>
          </w:tcPr>
          <w:p>
            <w:pPr>
              <w:pStyle w:val="TableContents"/>
              <w:spacing w:before="0" w:after="0"/>
              <w:jc w:val="left"/>
              <w:rPr>
                <w:spacing w:val="0"/>
              </w:rPr>
            </w:pPr>
            <w:r>
              <w:rPr>
                <w:spacing w:val="0"/>
              </w:rPr>
              <w:t>ii)</w:t>
            </w:r>
          </w:p>
        </w:tc>
        <w:tc>
          <w:tcPr>
            <w:tcW w:w="995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A variable annual premium depending on the number and type of gaming tables (subject to a minimum of 500 tables) and electronic gaming machines (subject to a minimum of 1,000) that Melco Resorts Macau operates. The variable annual premium is calculated</w:t>
            </w:r>
          </w:p>
          <w:p>
            <w:pPr>
              <w:pStyle w:val="TableContents"/>
              <w:spacing w:before="0" w:after="0"/>
              <w:jc w:val="left"/>
              <w:rPr>
                <w:spacing w:val="0"/>
              </w:rPr>
            </w:pPr>
            <w:r>
              <w:rPr>
                <w:spacing w:val="0"/>
              </w:rPr>
              <w:t> </w:t>
            </w:r>
          </w:p>
          <w:p>
            <w:pPr>
              <w:pStyle w:val="TableContents"/>
              <w:spacing w:before="0" w:after="0"/>
              <w:jc w:val="left"/>
              <w:rPr>
                <w:rFonts w:ascii="Times New Roman" w:hAnsi="Times New Roman"/>
                <w:spacing w:val="0"/>
                <w:sz w:val="20"/>
              </w:rPr>
            </w:pPr>
            <w:r>
              <w:rPr>
                <w:rFonts w:ascii="Times New Roman" w:hAnsi="Times New Roman"/>
                <w:spacing w:val="0"/>
                <w:sz w:val="20"/>
              </w:rPr>
              <w:t>a</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s follows: </w:t>
            </w:r>
          </w:p>
        </w:tc>
      </w:tr>
    </w:tbl>
    <w:p>
      <w:pPr>
        <w:pStyle w:val="TextBody"/>
        <w:spacing w:before="0" w:after="0"/>
        <w:jc w:val="left"/>
        <w:rPr>
          <w:spacing w:val="0"/>
        </w:rPr>
      </w:pPr>
      <w:r>
        <w:rPr>
          <w:spacing w:val="0"/>
        </w:rPr>
        <w:t> </w:t>
      </w:r>
    </w:p>
    <w:tbl>
      <w:tblPr>
        <w:tblW w:w="9835" w:type="dxa"/>
        <w:jc w:val="left"/>
        <w:tblInd w:w="0" w:type="dxa"/>
        <w:tblCellMar>
          <w:top w:w="0" w:type="dxa"/>
          <w:left w:w="0" w:type="dxa"/>
          <w:bottom w:w="0" w:type="dxa"/>
          <w:right w:w="0" w:type="dxa"/>
        </w:tblCellMar>
      </w:tblPr>
      <w:tblGrid>
        <w:gridCol w:w="75"/>
        <w:gridCol w:w="110"/>
        <w:gridCol w:w="60"/>
        <w:gridCol w:w="959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5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MOP300 (equivalent to $37) per year for each gaming table reserved exclusively to certain kinds of games or players; </w:t>
            </w:r>
          </w:p>
        </w:tc>
      </w:tr>
    </w:tbl>
    <w:p>
      <w:pPr>
        <w:pStyle w:val="TextBody"/>
        <w:spacing w:before="0" w:after="0"/>
        <w:rPr>
          <w:sz w:val="12"/>
        </w:rPr>
      </w:pPr>
      <w:r>
        <w:rPr>
          <w:sz w:val="12"/>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MOP150 (equivalent to $19) per year for each gaming table not reserved exclusively to certain kinds of games or players; and </w:t>
            </w:r>
          </w:p>
        </w:tc>
      </w:tr>
    </w:tbl>
    <w:p>
      <w:pPr>
        <w:pStyle w:val="TextBody"/>
        <w:spacing w:before="0" w:after="0"/>
        <w:jc w:val="left"/>
        <w:rPr>
          <w:spacing w:val="0"/>
        </w:rPr>
      </w:pPr>
      <w:r>
        <w:rPr>
          <w:spacing w:val="0"/>
        </w:rPr>
        <w:t> </w:t>
      </w:r>
    </w:p>
    <w:tbl>
      <w:tblPr>
        <w:tblW w:w="6175" w:type="dxa"/>
        <w:jc w:val="left"/>
        <w:tblInd w:w="0" w:type="dxa"/>
        <w:tblCellMar>
          <w:top w:w="0" w:type="dxa"/>
          <w:left w:w="0" w:type="dxa"/>
          <w:bottom w:w="0" w:type="dxa"/>
          <w:right w:w="0" w:type="dxa"/>
        </w:tblCellMar>
      </w:tblPr>
      <w:tblGrid>
        <w:gridCol w:w="75"/>
        <w:gridCol w:w="110"/>
        <w:gridCol w:w="60"/>
        <w:gridCol w:w="593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59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MOP1 (equivalent to $0.1) per year for each electronic gaming machine.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13"/>
        <w:gridCol w:w="9917"/>
      </w:tblGrid>
      <w:tr>
        <w:trPr/>
        <w:tc>
          <w:tcPr>
            <w:tcW w:w="75" w:type="dxa"/>
            <w:tcBorders/>
            <w:shd w:fill="auto" w:val="clear"/>
            <w:vAlign w:val="center"/>
          </w:tcPr>
          <w:p>
            <w:pPr>
              <w:pStyle w:val="TableContents"/>
              <w:spacing w:before="0" w:after="0"/>
              <w:rPr>
                <w:spacing w:val="0"/>
              </w:rPr>
            </w:pPr>
            <w:r>
              <w:rPr>
                <w:spacing w:val="0"/>
              </w:rPr>
              <w:t> </w:t>
            </w:r>
          </w:p>
        </w:tc>
        <w:tc>
          <w:tcPr>
            <w:tcW w:w="213" w:type="dxa"/>
            <w:tcBorders/>
            <w:shd w:fill="auto" w:val="clear"/>
            <w:vAlign w:val="center"/>
          </w:tcPr>
          <w:p>
            <w:pPr>
              <w:pStyle w:val="TableContents"/>
              <w:spacing w:before="0" w:after="283"/>
              <w:jc w:val="left"/>
              <w:rPr/>
            </w:pPr>
            <w:r>
              <w:rPr/>
              <w:t>iii)</w:t>
            </w:r>
          </w:p>
        </w:tc>
        <w:tc>
          <w:tcPr>
            <w:tcW w:w="991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Under the terms of the Macau gaming law and the Concession, the gaming and gaming support areas and equipment and utensils have been transferred by the Macau government to Melco Resorts Macau for use in its operations during the Concession for a fee of MOP0.75 (equivalent to $0.1) per square meter of the casino for years 1 to 3 of the Concession, subject to a consumer price index increase in years 2 and 3 of the Concession. The fee will increase to MOP2.5 (equivalent to $0.3) per square meter of the casino for years 4 to 10 of the Concession, subject to a consumer price index increase in years 5 to 10 of the Concession. </w:t>
            </w:r>
          </w:p>
        </w:tc>
      </w:tr>
    </w:tbl>
    <w:p>
      <w:pPr>
        <w:pStyle w:val="TextBody"/>
        <w:spacing w:before="0" w:after="0"/>
        <w:jc w:val="left"/>
        <w:rPr>
          <w:spacing w:val="0"/>
        </w:rPr>
      </w:pPr>
      <w:r>
        <w:rPr>
          <w:spacing w:val="0"/>
        </w:rPr>
        <w:t> </w:t>
      </w:r>
    </w:p>
    <w:tbl>
      <w:tblPr>
        <w:tblW w:w="8020" w:type="dxa"/>
        <w:jc w:val="left"/>
        <w:tblInd w:w="0" w:type="dxa"/>
        <w:tblCellMar>
          <w:top w:w="0" w:type="dxa"/>
          <w:left w:w="0" w:type="dxa"/>
          <w:bottom w:w="0" w:type="dxa"/>
          <w:right w:w="0" w:type="dxa"/>
        </w:tblCellMar>
      </w:tblPr>
      <w:tblGrid>
        <w:gridCol w:w="75"/>
        <w:gridCol w:w="275"/>
        <w:gridCol w:w="7670"/>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283"/>
              <w:jc w:val="left"/>
              <w:rPr/>
            </w:pPr>
            <w:r>
              <w:rPr/>
              <w:t>iv)</w:t>
            </w:r>
          </w:p>
        </w:tc>
        <w:tc>
          <w:tcPr>
            <w:tcW w:w="76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 special gaming tax of an amount equal to 35% of gross gaming revenue on a monthly basis.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67"/>
        <w:gridCol w:w="9963"/>
      </w:tblGrid>
      <w:tr>
        <w:trPr/>
        <w:tc>
          <w:tcPr>
            <w:tcW w:w="75" w:type="dxa"/>
            <w:tcBorders/>
            <w:shd w:fill="auto" w:val="clear"/>
            <w:vAlign w:val="center"/>
          </w:tcPr>
          <w:p>
            <w:pPr>
              <w:pStyle w:val="TableContents"/>
              <w:spacing w:before="0" w:after="0"/>
              <w:rPr>
                <w:spacing w:val="0"/>
              </w:rPr>
            </w:pPr>
            <w:r>
              <w:rPr>
                <w:spacing w:val="0"/>
              </w:rPr>
              <w:t> </w:t>
            </w:r>
          </w:p>
        </w:tc>
        <w:tc>
          <w:tcPr>
            <w:tcW w:w="167" w:type="dxa"/>
            <w:tcBorders/>
            <w:shd w:fill="auto" w:val="clear"/>
            <w:vAlign w:val="center"/>
          </w:tcPr>
          <w:p>
            <w:pPr>
              <w:pStyle w:val="TableContents"/>
              <w:spacing w:before="0" w:after="283"/>
              <w:jc w:val="left"/>
              <w:rPr/>
            </w:pPr>
            <w:r>
              <w:rPr/>
              <w:t>v)</w:t>
            </w:r>
          </w:p>
        </w:tc>
        <w:tc>
          <w:tcPr>
            <w:tcW w:w="99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Contributions of 2% and 3% of gross gaming revenue to a public fund, and to urban development, touristic promotion and social security, respectively on a monthly basis. These contributions may be waived or reduced with respect to gross gaming revenue generated by foreign patrons under certain circumstances.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spacing w:before="0" w:after="0"/>
        <w:ind w:left="0" w:right="0" w:hanging="0"/>
        <w:jc w:val="left"/>
        <w:rPr>
          <w:spacing w:val="0"/>
        </w:rPr>
      </w:pPr>
      <w:r>
        <w:rPr>
          <w:spacing w:val="0"/>
        </w:rPr>
        <w:t> </w:t>
      </w:r>
    </w:p>
    <w:tbl>
      <w:tblPr>
        <w:tblW w:w="4045" w:type="dxa"/>
        <w:jc w:val="left"/>
        <w:tblInd w:w="0" w:type="dxa"/>
        <w:tblCellMar>
          <w:top w:w="0" w:type="dxa"/>
          <w:left w:w="0" w:type="dxa"/>
          <w:bottom w:w="0" w:type="dxa"/>
          <w:right w:w="0" w:type="dxa"/>
        </w:tblCellMar>
      </w:tblPr>
      <w:tblGrid>
        <w:gridCol w:w="335"/>
        <w:gridCol w:w="3710"/>
      </w:tblGrid>
      <w:tr>
        <w:trPr/>
        <w:tc>
          <w:tcPr>
            <w:tcW w:w="335" w:type="dxa"/>
            <w:tcBorders/>
            <w:shd w:fill="auto" w:val="clear"/>
            <w:vAlign w:val="center"/>
          </w:tcPr>
          <w:p>
            <w:pPr>
              <w:pStyle w:val="TableContents"/>
              <w:spacing w:before="0" w:after="0"/>
              <w:jc w:val="left"/>
              <w:rPr>
                <w:b/>
                <w:spacing w:val="0"/>
              </w:rPr>
            </w:pPr>
            <w:r>
              <w:rPr>
                <w:b/>
                <w:spacing w:val="0"/>
              </w:rPr>
              <w:t>23.</w:t>
            </w:r>
          </w:p>
        </w:tc>
        <w:tc>
          <w:tcPr>
            <w:tcW w:w="37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COMMITMENTS AND CONTINGENCIES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rPr>
          <w:sz w:val="12"/>
        </w:rPr>
      </w:pPr>
      <w:r>
        <w:rPr>
          <w:sz w:val="12"/>
        </w:rPr>
      </w:r>
    </w:p>
    <w:tbl>
      <w:tblPr>
        <w:tblW w:w="2125" w:type="dxa"/>
        <w:jc w:val="left"/>
        <w:tblInd w:w="0" w:type="dxa"/>
        <w:tblCellMar>
          <w:top w:w="0" w:type="dxa"/>
          <w:left w:w="0" w:type="dxa"/>
          <w:bottom w:w="0" w:type="dxa"/>
          <w:right w:w="0" w:type="dxa"/>
        </w:tblCellMar>
      </w:tblPr>
      <w:tblGrid>
        <w:gridCol w:w="75"/>
        <w:gridCol w:w="290"/>
        <w:gridCol w:w="176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spacing w:val="0"/>
              </w:rPr>
            </w:pPr>
            <w:r>
              <w:rPr>
                <w:spacing w:val="0"/>
              </w:rPr>
              <w:t>(b)</w:t>
            </w:r>
          </w:p>
        </w:tc>
        <w:tc>
          <w:tcPr>
            <w:tcW w:w="1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Commitments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Concession — Macau</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z w:val="12"/>
        </w:rPr>
      </w:pPr>
      <w:r>
        <w:rPr>
          <w:sz w:val="12"/>
        </w:rPr>
      </w:r>
    </w:p>
    <w:tbl>
      <w:tblPr>
        <w:tblW w:w="10205" w:type="dxa"/>
        <w:jc w:val="left"/>
        <w:tblInd w:w="0" w:type="dxa"/>
        <w:tblCellMar>
          <w:top w:w="0" w:type="dxa"/>
          <w:left w:w="0" w:type="dxa"/>
          <w:bottom w:w="0" w:type="dxa"/>
          <w:right w:w="0" w:type="dxa"/>
        </w:tblCellMar>
      </w:tblPr>
      <w:tblGrid>
        <w:gridCol w:w="75"/>
        <w:gridCol w:w="213"/>
        <w:gridCol w:w="9917"/>
      </w:tblGrid>
      <w:tr>
        <w:trPr/>
        <w:tc>
          <w:tcPr>
            <w:tcW w:w="75" w:type="dxa"/>
            <w:tcBorders/>
            <w:shd w:fill="auto" w:val="clear"/>
            <w:vAlign w:val="center"/>
          </w:tcPr>
          <w:p>
            <w:pPr>
              <w:pStyle w:val="TableContents"/>
              <w:spacing w:before="0" w:after="0"/>
              <w:rPr>
                <w:spacing w:val="0"/>
              </w:rPr>
            </w:pPr>
            <w:r>
              <w:rPr>
                <w:spacing w:val="0"/>
              </w:rPr>
              <w:t> </w:t>
            </w:r>
          </w:p>
        </w:tc>
        <w:tc>
          <w:tcPr>
            <w:tcW w:w="213" w:type="dxa"/>
            <w:tcBorders/>
            <w:shd w:fill="auto" w:val="clear"/>
            <w:vAlign w:val="center"/>
          </w:tcPr>
          <w:p>
            <w:pPr>
              <w:pStyle w:val="TableContents"/>
              <w:spacing w:before="0" w:after="0"/>
              <w:jc w:val="left"/>
              <w:rPr>
                <w:spacing w:val="0"/>
              </w:rPr>
            </w:pPr>
            <w:r>
              <w:rPr>
                <w:spacing w:val="0"/>
              </w:rPr>
              <w:t>vi)</w:t>
            </w:r>
          </w:p>
        </w:tc>
        <w:tc>
          <w:tcPr>
            <w:tcW w:w="991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special premium in the event the average gross gaming revenue of Melco Resorts Macau’s gaming tables does not reach the annual minimum of MOP7,000 (equivalent to $870) and the average gross gaming revenue of the electronic gaming machines does not reach the annual minimum of MOP300 (equivalent to $37). The amount of the special premium is equivalent to the difference between the amount of the special gaming tax paid by Melco Resorts Macau and the amount that would be paid under the annual minimum set average gross gaming revenue for gaming tables and electronic gaming machines.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83"/>
        <w:gridCol w:w="9847"/>
      </w:tblGrid>
      <w:tr>
        <w:trPr/>
        <w:tc>
          <w:tcPr>
            <w:tcW w:w="75"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jc w:val="left"/>
              <w:rPr/>
            </w:pPr>
            <w:r>
              <w:rPr/>
              <w:t>vii)</w:t>
            </w:r>
          </w:p>
        </w:tc>
        <w:tc>
          <w:tcPr>
            <w:tcW w:w="984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Melco Resorts Macau must maintain a guarantee issued by a Macau bank in favor of the Macau government in the amount of MOP1,000,000 (equivalent to $124,319) until 180 days after the earlier of the expiration and termination of the Concession to guarantee its performance of certain of its legal and contractual obligations, including labor obligations</w:t>
            </w:r>
          </w:p>
          <w:p>
            <w:pPr>
              <w:pStyle w:val="TableContents"/>
              <w:spacing w:before="0" w:after="0"/>
              <w:jc w:val="left"/>
              <w:rPr>
                <w:rFonts w:ascii="Times New Roman" w:hAnsi="Times New Roman"/>
                <w:spacing w:val="0"/>
                <w:sz w:val="20"/>
              </w:rPr>
            </w:pPr>
            <w:r>
              <w:rPr>
                <w:rFonts w:ascii="Times New Roman" w:hAnsi="Times New Roman"/>
                <w:spacing w:val="0"/>
                <w:sz w:val="20"/>
              </w:rPr>
              <w:t>.</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As a</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result of the bank guarantee issued by the bank to the Macau government as disclosed in Note 23(b)(vii) above, a sum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0.03% per annum of the guarantee amount </w:t>
      </w:r>
    </w:p>
    <w:p>
      <w:pPr>
        <w:pStyle w:val="TextBody"/>
        <w:spacing w:before="120" w:after="0"/>
        <w:jc w:val="left"/>
        <w:rPr>
          <w:rFonts w:ascii="Times New Roman" w:hAnsi="Times New Roman"/>
          <w:spacing w:val="0"/>
          <w:sz w:val="20"/>
        </w:rPr>
      </w:pPr>
      <w:r>
        <w:rPr>
          <w:rFonts w:ascii="Times New Roman" w:hAnsi="Times New Roman"/>
          <w:spacing w:val="0"/>
          <w:sz w:val="20"/>
        </w:rPr>
        <w:t>is</w:t>
      </w:r>
    </w:p>
    <w:p>
      <w:pPr>
        <w:pStyle w:val="TextBody"/>
        <w:spacing w:before="120" w:after="0"/>
        <w:jc w:val="left"/>
        <w:rPr>
          <w:rFonts w:ascii="Times New Roman" w:hAnsi="Times New Roman"/>
          <w:spacing w:val="0"/>
          <w:sz w:val="20"/>
        </w:rPr>
      </w:pPr>
      <w:r>
        <w:rPr>
          <w:rFonts w:ascii="Times New Roman" w:hAnsi="Times New Roman"/>
          <w:spacing w:val="0"/>
          <w:sz w:val="20"/>
        </w:rPr>
        <w:t>payable by Melco Resorts Macau yearly to the bank.</w:t>
      </w:r>
    </w:p>
    <w:p>
      <w:pPr>
        <w:pStyle w:val="TextBody"/>
        <w:spacing w:before="120" w:after="0"/>
        <w:jc w:val="left"/>
        <w:rPr>
          <w:rFonts w:ascii="Times New Roman" w:hAnsi="Times New Roman"/>
          <w:spacing w:val="0"/>
          <w:sz w:val="20"/>
        </w:rPr>
      </w:pPr>
      <w:r>
        <w:rPr>
          <w:rFonts w:ascii="Times New Roman" w:hAnsi="Times New Roman"/>
          <w:spacing w:val="0"/>
          <w:sz w:val="20"/>
        </w:rPr>
        <w:t>In addition, under the Concession, it requires i) the registered share capital and net asset value of Melco Resorts Macau cannot be less than MOP5,000,000 (equivalent to $621,597</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 and ii) the managing director of Melco Resorts Macau must be a permanent resident of the Macau and must hold at least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15% of the registered share capital of Melco Resorts Macau. Melco Resorts Macau is compliant with these requirements.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Committed investment </w:t>
      </w:r>
    </w:p>
    <w:p>
      <w:pPr>
        <w:pStyle w:val="TextBody"/>
        <w:spacing w:before="120" w:after="0"/>
        <w:jc w:val="left"/>
        <w:rPr>
          <w:rFonts w:ascii="Times New Roman" w:hAnsi="Times New Roman"/>
          <w:spacing w:val="0"/>
          <w:sz w:val="20"/>
        </w:rPr>
      </w:pPr>
      <w:r>
        <w:rPr>
          <w:rFonts w:ascii="Times New Roman" w:hAnsi="Times New Roman"/>
          <w:spacing w:val="0"/>
          <w:sz w:val="20"/>
        </w:rPr>
        <w:t>In connection with the Concession, Melco Resorts Macau has undertaken to carry out investment in the overall amount of MOP11,823,700 (equivalent to $1,469,916). The investment plan include</w:t>
      </w:r>
    </w:p>
    <w:p>
      <w:pPr>
        <w:pStyle w:val="TextBody"/>
        <w:spacing w:before="120" w:after="0"/>
        <w:jc w:val="left"/>
        <w:rPr>
          <w:rFonts w:ascii="Times New Roman" w:hAnsi="Times New Roman"/>
          <w:spacing w:val="0"/>
          <w:sz w:val="20"/>
        </w:rPr>
      </w:pPr>
      <w:r>
        <w:rPr>
          <w:rFonts w:ascii="Times New Roman" w:hAnsi="Times New Roman"/>
          <w:spacing w:val="0"/>
          <w:sz w:val="20"/>
        </w:rPr>
        <w:t>s</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gaming and non-gaming related projects in the expansion of foreign market patrons, conventions and exhibitions, entertainment shows, sports events, art and culture, health and well-being, thematic entertainment, gastronomy, community and maritime tourism and others. Out of the total investment amount referred to above, MOP10,008,000 (equivalent to $1,244,189) will be applied to non-gaming related projects, with the balance applied to gaming related projects.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Melco Resorts Macau has undertaken to carry out incremental additional non-gaming investment in the amount of approximately 20% of its initial non-gaming investment, or MOP2,003,000 (equivalent to $249,012), in the event the Macau government annual gross gaming revenue reaches MOP180,000,000 (equivalent to $22,377,500) (the “Incremental Investment Trigger”). This incremental investment amount is reduced to 16%, 12%, 8%, 4% of the initial non-gaming investment amount or </w:t>
      </w:r>
    </w:p>
    <w:p>
      <w:pPr>
        <w:pStyle w:val="TextBody"/>
        <w:spacing w:before="120" w:after="0"/>
        <w:jc w:val="left"/>
        <w:rPr>
          <w:rFonts w:ascii="Times New Roman" w:hAnsi="Times New Roman"/>
          <w:spacing w:val="0"/>
          <w:sz w:val="20"/>
        </w:rPr>
      </w:pPr>
      <w:r>
        <w:rPr>
          <w:rFonts w:ascii="Times New Roman" w:hAnsi="Times New Roman"/>
          <w:spacing w:val="0"/>
          <w:sz w:val="20"/>
        </w:rPr>
        <w:t>ni</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 if the Incremental Investment Trigger occurs in year 6, year 7, year 8, year 9 or year 10 of the Concession, respectively.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Regular License — Philippines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Other commitments required by PAGCOR under the Regular License are as follows: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To secure a surety bond in favor of PAGCOR in the amount of PHP100,000 (equivalent to $1,782) to ensure prompt and punctual remittances/payments of all license fees. </w:t>
            </w:r>
          </w:p>
        </w:tc>
      </w:tr>
    </w:tbl>
    <w:p>
      <w:pPr>
        <w:pStyle w:val="TextBody"/>
        <w:spacing w:before="160" w:after="0"/>
        <w:jc w:val="center"/>
        <w:rPr>
          <w:rFonts w:ascii="Times New Roman" w:hAnsi="Times New Roman"/>
          <w:spacing w:val="0"/>
          <w:sz w:val="20"/>
        </w:rPr>
      </w:pPr>
      <w:r>
        <w:rPr>
          <w:rFonts w:ascii="Times New Roman" w:hAnsi="Times New Roman"/>
          <w:spacing w:val="0"/>
          <w:sz w:val="20"/>
        </w:rPr>
        <w:t>F-</w:t>
      </w:r>
    </w:p>
    <w:p>
      <w:pPr>
        <w:pStyle w:val="TextBody"/>
        <w:spacing w:before="160" w:after="0"/>
        <w:jc w:val="center"/>
        <w:rPr>
          <w:rFonts w:ascii="Times New Roman" w:hAnsi="Times New Roman"/>
          <w:spacing w:val="0"/>
          <w:sz w:val="20"/>
        </w:rPr>
      </w:pPr>
      <w:r>
        <w:rPr>
          <w:rFonts w:ascii="Times New Roman" w:hAnsi="Times New Roman"/>
          <w:spacing w:val="0"/>
          <w:sz w:val="20"/>
        </w:rPr>
        <w:t>7</w:t>
      </w:r>
    </w:p>
    <w:p>
      <w:pPr>
        <w:pStyle w:val="TextBody"/>
        <w:spacing w:before="16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4045" w:type="dxa"/>
        <w:jc w:val="left"/>
        <w:tblInd w:w="0" w:type="dxa"/>
        <w:tblCellMar>
          <w:top w:w="0" w:type="dxa"/>
          <w:left w:w="0" w:type="dxa"/>
          <w:bottom w:w="0" w:type="dxa"/>
          <w:right w:w="0" w:type="dxa"/>
        </w:tblCellMar>
      </w:tblPr>
      <w:tblGrid>
        <w:gridCol w:w="335"/>
        <w:gridCol w:w="3710"/>
      </w:tblGrid>
      <w:tr>
        <w:trPr/>
        <w:tc>
          <w:tcPr>
            <w:tcW w:w="335" w:type="dxa"/>
            <w:tcBorders/>
            <w:shd w:fill="auto" w:val="clear"/>
            <w:vAlign w:val="center"/>
          </w:tcPr>
          <w:p>
            <w:pPr>
              <w:pStyle w:val="TableContents"/>
              <w:spacing w:before="0" w:after="0"/>
              <w:jc w:val="left"/>
              <w:rPr>
                <w:b/>
                <w:spacing w:val="0"/>
              </w:rPr>
            </w:pPr>
            <w:r>
              <w:rPr>
                <w:b/>
                <w:spacing w:val="0"/>
              </w:rPr>
              <w:t>23.</w:t>
            </w:r>
          </w:p>
        </w:tc>
        <w:tc>
          <w:tcPr>
            <w:tcW w:w="37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COMMITMENTS AND CONTINGENCIES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2125" w:type="dxa"/>
        <w:jc w:val="left"/>
        <w:tblInd w:w="0" w:type="dxa"/>
        <w:tblCellMar>
          <w:top w:w="0" w:type="dxa"/>
          <w:left w:w="0" w:type="dxa"/>
          <w:bottom w:w="0" w:type="dxa"/>
          <w:right w:w="0" w:type="dxa"/>
        </w:tblCellMar>
      </w:tblPr>
      <w:tblGrid>
        <w:gridCol w:w="75"/>
        <w:gridCol w:w="290"/>
        <w:gridCol w:w="176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(b)</w:t>
            </w:r>
          </w:p>
        </w:tc>
        <w:tc>
          <w:tcPr>
            <w:tcW w:w="1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Commitments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Regular License — Philippines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License fees must be remitted on a monthly basis, in lieu of all taxes with reference to the income component of the gross gaming revenues: (a) 15% high roller tables; (b) 25% </w:t>
            </w:r>
          </w:p>
          <w:p>
            <w:pPr>
              <w:pStyle w:val="TableContents"/>
              <w:spacing w:before="0" w:after="0"/>
              <w:jc w:val="left"/>
              <w:rPr>
                <w:rFonts w:ascii="Times New Roman" w:hAnsi="Times New Roman"/>
                <w:spacing w:val="0"/>
                <w:sz w:val="20"/>
              </w:rPr>
            </w:pPr>
            <w:r>
              <w:rPr>
                <w:rFonts w:ascii="Times New Roman" w:hAnsi="Times New Roman"/>
                <w:spacing w:val="0"/>
                <w:sz w:val="20"/>
              </w:rPr>
              <w:t>non-high</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roller tables; (c) 25% slot machines and electronic gaming machines; and (d) 15% junket operations. The license fees are inclusive of the 5% franchise tax under the terms of the PAGCOR charter. In October 2021, certain terms under the Regular License were amended to include the monthly minimum guarantee fee of PHP300 (equivalent to $5) on certain games under the 25% </w:t>
            </w:r>
          </w:p>
          <w:p>
            <w:pPr>
              <w:pStyle w:val="TableContents"/>
              <w:spacing w:before="0" w:after="0"/>
              <w:jc w:val="left"/>
              <w:rPr>
                <w:rFonts w:ascii="Times New Roman" w:hAnsi="Times New Roman"/>
                <w:spacing w:val="0"/>
                <w:sz w:val="20"/>
              </w:rPr>
            </w:pPr>
            <w:r>
              <w:rPr>
                <w:rFonts w:ascii="Times New Roman" w:hAnsi="Times New Roman"/>
                <w:spacing w:val="0"/>
                <w:sz w:val="20"/>
              </w:rPr>
              <w:t>non-high</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roller tables effective on March 15, 2022. This monthly minimum guarantee fee was discontinued in June 2022, but was reinstated on March 2, 2023 after the new and amended terms have been agreed to and finalized by the Licensees and PAGCOR.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Licensees are required to remit 2% of casino revenues generated from </w:t>
            </w:r>
          </w:p>
          <w:p>
            <w:pPr>
              <w:pStyle w:val="TableContents"/>
              <w:spacing w:before="0" w:after="0"/>
              <w:jc w:val="left"/>
              <w:rPr>
                <w:rFonts w:ascii="Times New Roman" w:hAnsi="Times New Roman"/>
                <w:spacing w:val="0"/>
                <w:sz w:val="20"/>
              </w:rPr>
            </w:pPr>
            <w:r>
              <w:rPr>
                <w:rFonts w:ascii="Times New Roman" w:hAnsi="Times New Roman"/>
                <w:spacing w:val="0"/>
                <w:sz w:val="20"/>
              </w:rPr>
              <w:t>non-junket</w:t>
            </w:r>
          </w:p>
          <w:p>
            <w:pPr>
              <w:pStyle w:val="TableContents"/>
              <w:spacing w:before="0" w:after="0"/>
              <w:jc w:val="left"/>
              <w:rPr>
                <w:rFonts w:ascii="Times New Roman" w:hAnsi="Times New Roman"/>
                <w:sz w:val="20"/>
              </w:rPr>
            </w:pPr>
            <w:r>
              <w:rPr>
                <w:rFonts w:ascii="Times New Roman" w:hAnsi="Times New Roman"/>
                <w:sz w:val="20"/>
              </w:rPr>
              <w:t xml:space="preserve">operation tables to a foundation devoted to the restoration of Philippine cultural heritage, as selected by the Licensees and approved by PAGCOR.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PAGCOR may collect a 5% fee on </w:t>
            </w:r>
          </w:p>
          <w:p>
            <w:pPr>
              <w:pStyle w:val="TableContents"/>
              <w:spacing w:before="0" w:after="0"/>
              <w:jc w:val="left"/>
              <w:rPr>
                <w:rFonts w:ascii="Times New Roman" w:hAnsi="Times New Roman"/>
                <w:spacing w:val="0"/>
                <w:sz w:val="20"/>
              </w:rPr>
            </w:pPr>
            <w:r>
              <w:rPr>
                <w:rFonts w:ascii="Times New Roman" w:hAnsi="Times New Roman"/>
                <w:spacing w:val="0"/>
                <w:sz w:val="20"/>
              </w:rPr>
              <w:t>non-gaming</w:t>
            </w:r>
          </w:p>
          <w:p>
            <w:pPr>
              <w:pStyle w:val="TableContents"/>
              <w:spacing w:before="0" w:after="0"/>
              <w:jc w:val="left"/>
              <w:rPr>
                <w:rFonts w:ascii="Times New Roman" w:hAnsi="Times New Roman"/>
                <w:sz w:val="20"/>
              </w:rPr>
            </w:pPr>
            <w:r>
              <w:rPr>
                <w:rFonts w:ascii="Times New Roman" w:hAnsi="Times New Roman"/>
                <w:sz w:val="20"/>
              </w:rPr>
              <w:t xml:space="preserve">revenue received from food and beverage, retail and entertainment outlets. All revenues from hotel operations should not be subject to the 5% fee except for rental income received from retail concessionaires.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Grounds for revocation of the Regular License, among others, are as follows: (a) failure to comply with material provisions of this license; (b) failure to remit license fees within 30 days from receipt of notice of default; (c) the holder has become bankrupt or insolvent; and (d) if the </w:t>
            </w:r>
          </w:p>
          <w:p>
            <w:pPr>
              <w:pStyle w:val="TableContents"/>
              <w:spacing w:before="0" w:after="0"/>
              <w:jc w:val="left"/>
              <w:rPr>
                <w:rFonts w:ascii="Times New Roman" w:hAnsi="Times New Roman"/>
                <w:spacing w:val="0"/>
                <w:sz w:val="20"/>
              </w:rPr>
            </w:pPr>
            <w:r>
              <w:rPr>
                <w:rFonts w:ascii="Times New Roman" w:hAnsi="Times New Roman"/>
                <w:spacing w:val="0"/>
                <w:sz w:val="20"/>
              </w:rPr>
              <w:t>debt-to-equity</w:t>
            </w:r>
          </w:p>
          <w:p>
            <w:pPr>
              <w:pStyle w:val="TableContents"/>
              <w:spacing w:before="0" w:after="0"/>
              <w:jc w:val="left"/>
              <w:rPr>
                <w:rFonts w:ascii="Times New Roman" w:hAnsi="Times New Roman"/>
                <w:sz w:val="20"/>
              </w:rPr>
            </w:pPr>
            <w:r>
              <w:rPr>
                <w:rFonts w:ascii="Times New Roman" w:hAnsi="Times New Roman"/>
                <w:sz w:val="20"/>
              </w:rPr>
              <w:t xml:space="preserve">ratio is more than 70:30. As of December 31, 2022 and 2021, MPHIL Holdings Group, as one of the Licensee parties, has complied with the required </w:t>
            </w:r>
          </w:p>
          <w:p>
            <w:pPr>
              <w:pStyle w:val="TableContents"/>
              <w:spacing w:before="0" w:after="0"/>
              <w:jc w:val="left"/>
              <w:rPr>
                <w:rFonts w:ascii="Times New Roman" w:hAnsi="Times New Roman"/>
                <w:spacing w:val="0"/>
                <w:sz w:val="20"/>
              </w:rPr>
            </w:pPr>
            <w:r>
              <w:rPr>
                <w:rFonts w:ascii="Times New Roman" w:hAnsi="Times New Roman"/>
                <w:spacing w:val="0"/>
                <w:sz w:val="20"/>
              </w:rPr>
              <w:t>debt-to-equity</w:t>
            </w:r>
          </w:p>
          <w:p>
            <w:pPr>
              <w:pStyle w:val="TableContents"/>
              <w:spacing w:before="0" w:after="0"/>
              <w:jc w:val="left"/>
              <w:rPr>
                <w:rFonts w:ascii="Times New Roman" w:hAnsi="Times New Roman"/>
                <w:sz w:val="20"/>
              </w:rPr>
            </w:pPr>
            <w:r>
              <w:rPr>
                <w:rFonts w:ascii="Times New Roman" w:hAnsi="Times New Roman"/>
                <w:sz w:val="20"/>
              </w:rPr>
              <w:t xml:space="preserve">ratio under the definition as agreed with PAGCOR.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Cooperation Agreement — Philippines </w:t>
      </w:r>
    </w:p>
    <w:p>
      <w:pPr>
        <w:pStyle w:val="TextBody"/>
        <w:spacing w:before="120" w:after="0"/>
        <w:jc w:val="left"/>
        <w:rPr>
          <w:rFonts w:ascii="Times New Roman" w:hAnsi="Times New Roman"/>
          <w:sz w:val="20"/>
        </w:rPr>
      </w:pPr>
      <w:r>
        <w:rPr>
          <w:rFonts w:ascii="Times New Roman" w:hAnsi="Times New Roman"/>
          <w:sz w:val="20"/>
        </w:rPr>
        <w:t xml:space="preserve">Under the terms of the Cooperation Agreement, the Licensees are jointly and severally liable to PAGCOR under the Regular License and each Licensee (indemnifying Licensee) must indemnify the other Licensees for any losses suffered or incurred by that Licensee arising out of, or in connection with, any breach by the indemnifying Licensee of the Regular License. Also, each of the Philippine Parties and MPHIL Holdings Group agree to indemnify the </w:t>
      </w:r>
    </w:p>
    <w:p>
      <w:pPr>
        <w:pStyle w:val="TextBody"/>
        <w:spacing w:before="120" w:after="0"/>
        <w:jc w:val="left"/>
        <w:rPr>
          <w:rFonts w:ascii="Times New Roman" w:hAnsi="Times New Roman"/>
          <w:spacing w:val="0"/>
          <w:sz w:val="20"/>
        </w:rPr>
      </w:pPr>
      <w:r>
        <w:rPr>
          <w:rFonts w:ascii="Times New Roman" w:hAnsi="Times New Roman"/>
          <w:spacing w:val="0"/>
          <w:sz w:val="20"/>
        </w:rPr>
        <w:t>non-breaching</w:t>
      </w:r>
    </w:p>
    <w:p>
      <w:pPr>
        <w:pStyle w:val="TextBody"/>
        <w:spacing w:before="120" w:after="0"/>
        <w:jc w:val="left"/>
        <w:rPr>
          <w:rFonts w:ascii="Times New Roman" w:hAnsi="Times New Roman"/>
          <w:sz w:val="20"/>
        </w:rPr>
      </w:pPr>
      <w:r>
        <w:rPr>
          <w:rFonts w:ascii="Times New Roman" w:hAnsi="Times New Roman"/>
          <w:sz w:val="20"/>
        </w:rPr>
        <w:t xml:space="preserve">party for any losses suffered or incurred as a result of a breach of any warranties. </w:t>
      </w:r>
    </w:p>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Gaming License — Cyprus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June 26, 2017, the Cyprus government granted a gaming license (the “Cyprus License”) to a subsidiary of ICR Cyprus (the “Cyprus Subsidiary”) to develop, operate and maintain an integrated casino resort in Limassol, Cyprus and up to four satellite casino premises in Cyprus for a term of 30 years, the first 15 years of which are exclusive. Pursuant to the Cyprus License agreement, the Cyprus Subsidiary has committed to pay the Cyprus government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09"/>
        <w:gridCol w:w="10021"/>
      </w:tblGrid>
      <w:tr>
        <w:trPr/>
        <w:tc>
          <w:tcPr>
            <w:tcW w:w="75"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jc w:val="left"/>
              <w:rPr/>
            </w:pPr>
            <w:r>
              <w:rPr/>
              <w:t>i)</w:t>
            </w:r>
          </w:p>
        </w:tc>
        <w:tc>
          <w:tcPr>
            <w:tcW w:w="1002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Annual license fee for the temporary casino and integrated casino resort of Euros (“EUR”) 2,500 (equivalent to $2,676) per year for the first four years, and EUR5,000 (equivalent to $5,352) per year for the next four years. Upon the completion of the eight years and thereafter every four years during the term of the Cyprus License, the Cyprus government may review the annual license fee, with minimum of EUR5,000 (equivalent to $5,352) per year and any increase in the annual license</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4045" w:type="dxa"/>
        <w:jc w:val="left"/>
        <w:tblInd w:w="0" w:type="dxa"/>
        <w:tblCellMar>
          <w:top w:w="0" w:type="dxa"/>
          <w:left w:w="0" w:type="dxa"/>
          <w:bottom w:w="0" w:type="dxa"/>
          <w:right w:w="0" w:type="dxa"/>
        </w:tblCellMar>
      </w:tblPr>
      <w:tblGrid>
        <w:gridCol w:w="335"/>
        <w:gridCol w:w="3710"/>
      </w:tblGrid>
      <w:tr>
        <w:trPr/>
        <w:tc>
          <w:tcPr>
            <w:tcW w:w="335" w:type="dxa"/>
            <w:tcBorders/>
            <w:shd w:fill="auto" w:val="clear"/>
            <w:vAlign w:val="center"/>
          </w:tcPr>
          <w:p>
            <w:pPr>
              <w:pStyle w:val="TableContents"/>
              <w:spacing w:before="0" w:after="0"/>
              <w:jc w:val="left"/>
              <w:rPr>
                <w:b/>
                <w:spacing w:val="0"/>
              </w:rPr>
            </w:pPr>
            <w:r>
              <w:rPr>
                <w:b/>
                <w:spacing w:val="0"/>
              </w:rPr>
              <w:t>23.</w:t>
            </w:r>
          </w:p>
        </w:tc>
        <w:tc>
          <w:tcPr>
            <w:tcW w:w="37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COMMITMENTS AND CONTINGENCIES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2125" w:type="dxa"/>
        <w:jc w:val="left"/>
        <w:tblInd w:w="0" w:type="dxa"/>
        <w:tblCellMar>
          <w:top w:w="0" w:type="dxa"/>
          <w:left w:w="0" w:type="dxa"/>
          <w:bottom w:w="0" w:type="dxa"/>
          <w:right w:w="0" w:type="dxa"/>
        </w:tblCellMar>
      </w:tblPr>
      <w:tblGrid>
        <w:gridCol w:w="75"/>
        <w:gridCol w:w="290"/>
        <w:gridCol w:w="176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(b)</w:t>
            </w:r>
          </w:p>
        </w:tc>
        <w:tc>
          <w:tcPr>
            <w:tcW w:w="176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Other Commitments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Gaming License — Cyprus</w:t>
      </w:r>
    </w:p>
    <w:p>
      <w:pPr>
        <w:pStyle w:val="TextBody"/>
        <w:spacing w:before="120" w:after="0"/>
        <w:jc w:val="left"/>
        <w:rPr>
          <w:spacing w:val="0"/>
        </w:rPr>
      </w:pPr>
      <w:r>
        <w:rPr>
          <w:spacing w:val="0"/>
        </w:rPr>
        <w:t> </w:t>
      </w:r>
      <w:r>
        <w:rPr>
          <w:rFonts w:ascii="Times New Roman" w:hAnsi="Times New Roman"/>
          <w:spacing w:val="0"/>
          <w:sz w:val="20"/>
        </w:rPr>
        <w:t>- continued</w:t>
      </w:r>
    </w:p>
    <w:p>
      <w:pPr>
        <w:pStyle w:val="TextBody"/>
        <w:spacing w:before="0" w:after="0"/>
        <w:ind w:left="0" w:right="0" w:hanging="0"/>
        <w:jc w:val="left"/>
        <w:rPr>
          <w:spacing w:val="0"/>
        </w:rPr>
      </w:pPr>
      <w:r>
        <w:rPr>
          <w:spacing w:val="0"/>
        </w:rPr>
        <w:t> </w:t>
      </w:r>
    </w:p>
    <w:tbl>
      <w:tblPr>
        <w:tblW w:w="9710" w:type="dxa"/>
        <w:jc w:val="left"/>
        <w:tblInd w:w="0" w:type="dxa"/>
        <w:tblCellMar>
          <w:top w:w="0" w:type="dxa"/>
          <w:left w:w="0" w:type="dxa"/>
          <w:bottom w:w="0" w:type="dxa"/>
          <w:right w:w="0" w:type="dxa"/>
        </w:tblCellMar>
      </w:tblPr>
      <w:tblGrid>
        <w:gridCol w:w="75"/>
        <w:gridCol w:w="9635"/>
      </w:tblGrid>
      <w:tr>
        <w:trPr/>
        <w:tc>
          <w:tcPr>
            <w:tcW w:w="75" w:type="dxa"/>
            <w:tcBorders/>
            <w:shd w:fill="auto" w:val="clear"/>
            <w:vAlign w:val="center"/>
          </w:tcPr>
          <w:p>
            <w:pPr>
              <w:pStyle w:val="TableContents"/>
              <w:spacing w:before="0" w:after="0"/>
              <w:rPr>
                <w:spacing w:val="0"/>
              </w:rPr>
            </w:pPr>
            <w:r>
              <w:rPr>
                <w:spacing w:val="0"/>
              </w:rPr>
              <w:t> </w:t>
            </w:r>
          </w:p>
        </w:tc>
        <w:tc>
          <w:tcPr>
            <w:tcW w:w="9635" w:type="dxa"/>
            <w:tcBorders/>
            <w:shd w:fill="auto" w:val="clear"/>
            <w:vAlign w:val="center"/>
          </w:tcPr>
          <w:p>
            <w:pPr>
              <w:pStyle w:val="TableContents"/>
              <w:spacing w:before="0" w:after="0"/>
              <w:jc w:val="left"/>
              <w:rPr>
                <w:spacing w:val="0"/>
              </w:rPr>
            </w:pPr>
            <w:r>
              <w:rPr>
                <w:spacing w:val="0"/>
              </w:rPr>
              <w:t xml:space="preserve">fee may not exceed 20% of the annual license fee paid annually during the previous four-year period. </w:t>
            </w:r>
          </w:p>
        </w:tc>
      </w:tr>
    </w:tbl>
    <w:p>
      <w:pPr>
        <w:pStyle w:val="TextBody"/>
        <w:spacing w:before="0" w:after="0"/>
        <w:ind w:left="0" w:right="0" w:hanging="0"/>
        <w:jc w:val="left"/>
        <w:rPr>
          <w:spacing w:val="0"/>
        </w:rPr>
      </w:pPr>
      <w:r>
        <w:rPr>
          <w:spacing w:val="0"/>
        </w:rPr>
        <w:t> </w:t>
      </w:r>
    </w:p>
    <w:tbl>
      <w:tblPr>
        <w:tblW w:w="8605" w:type="dxa"/>
        <w:jc w:val="left"/>
        <w:tblInd w:w="0" w:type="dxa"/>
        <w:tblCellMar>
          <w:top w:w="0" w:type="dxa"/>
          <w:left w:w="0" w:type="dxa"/>
          <w:bottom w:w="0" w:type="dxa"/>
          <w:right w:w="0" w:type="dxa"/>
        </w:tblCellMar>
      </w:tblPr>
      <w:tblGrid>
        <w:gridCol w:w="75"/>
        <w:gridCol w:w="215"/>
        <w:gridCol w:w="8315"/>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left"/>
              <w:rPr/>
            </w:pPr>
            <w:r>
              <w:rPr/>
              <w:t>ii)</w:t>
            </w:r>
          </w:p>
        </w:tc>
        <w:tc>
          <w:tcPr>
            <w:tcW w:w="83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Aggregate annual license fee for three operating satellite casinos of EUR2,000 (equivalent to $2,141). </w:t>
            </w:r>
          </w:p>
        </w:tc>
      </w:tr>
    </w:tbl>
    <w:p>
      <w:pPr>
        <w:pStyle w:val="TextBody"/>
        <w:spacing w:before="0" w:after="0"/>
        <w:ind w:left="0" w:right="0" w:hanging="0"/>
        <w:jc w:val="left"/>
        <w:rPr>
          <w:spacing w:val="0"/>
        </w:rPr>
      </w:pPr>
      <w:r>
        <w:rPr>
          <w:spacing w:val="0"/>
        </w:rPr>
        <w:t> </w:t>
      </w:r>
    </w:p>
    <w:p>
      <w:pPr>
        <w:pStyle w:val="TextBody"/>
        <w:spacing w:before="0" w:after="0"/>
        <w:jc w:val="left"/>
        <w:rPr>
          <w:sz w:val="12"/>
        </w:rPr>
      </w:pPr>
      <w:r>
        <w:rPr>
          <w:sz w:val="12"/>
        </w:rPr>
      </w:r>
    </w:p>
    <w:tbl>
      <w:tblPr>
        <w:tblW w:w="10205" w:type="dxa"/>
        <w:jc w:val="left"/>
        <w:tblInd w:w="0" w:type="dxa"/>
        <w:tblCellMar>
          <w:top w:w="0" w:type="dxa"/>
          <w:left w:w="0" w:type="dxa"/>
          <w:bottom w:w="0" w:type="dxa"/>
          <w:right w:w="0" w:type="dxa"/>
        </w:tblCellMar>
      </w:tblPr>
      <w:tblGrid>
        <w:gridCol w:w="75"/>
        <w:gridCol w:w="249"/>
        <w:gridCol w:w="9881"/>
      </w:tblGrid>
      <w:tr>
        <w:trPr/>
        <w:tc>
          <w:tcPr>
            <w:tcW w:w="75"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jc w:val="left"/>
              <w:rPr/>
            </w:pPr>
            <w:r>
              <w:rPr/>
              <w:t>iii)</w:t>
            </w:r>
          </w:p>
        </w:tc>
        <w:tc>
          <w:tcPr>
            <w:tcW w:w="988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 casino tax of an amount equal to 15% of the gross gaming revenue on a monthly basis and the rate shall not be increased during the period of exclusivity for the Cyprus License.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13"/>
        <w:gridCol w:w="9917"/>
      </w:tblGrid>
      <w:tr>
        <w:trPr/>
        <w:tc>
          <w:tcPr>
            <w:tcW w:w="75"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jc w:val="left"/>
              <w:rPr/>
            </w:pPr>
            <w:r>
              <w:rPr/>
              <w:t>iv)</w:t>
            </w:r>
          </w:p>
        </w:tc>
        <w:tc>
          <w:tcPr>
            <w:tcW w:w="9917" w:type="dxa"/>
            <w:tcBorders/>
            <w:shd w:fill="auto" w:val="clear"/>
            <w:vAlign w:val="center"/>
          </w:tcPr>
          <w:p>
            <w:pPr>
              <w:pStyle w:val="TableContents"/>
              <w:spacing w:before="0" w:after="0"/>
              <w:ind w:left="0" w:right="0" w:hanging="0"/>
              <w:jc w:val="left"/>
              <w:rPr>
                <w:rFonts w:ascii="Times New Roman" w:hAnsi="Times New Roman"/>
                <w:spacing w:val="0"/>
                <w:sz w:val="20"/>
              </w:rPr>
            </w:pPr>
            <w:r>
              <w:rPr>
                <w:rFonts w:ascii="Times New Roman" w:hAnsi="Times New Roman"/>
                <w:spacing w:val="0"/>
                <w:sz w:val="20"/>
              </w:rPr>
              <w:t>If the Cyprus Subsidiary fails to open the integrated casino resort by the opening date, as defined in the Cyprus License as April 30, 2021 which was further extended to September 30, 2022 based on the approval of the Steering Committee and the Council of Ministers in Cyprus made in February 2021 (the “Opening Date”), the Cyprus Subsidiary shall pay to the Cyprus government the amount of EUR10 (equivalent to $11) for each day the integrated casino resort remains unopened past the Opening Date, up to a maximum of EUR1,000 (equivalent to $1,070). If the integrated casino resort does not open for 100</w:t>
            </w:r>
          </w:p>
          <w:p>
            <w:pPr>
              <w:pStyle w:val="TableContents"/>
              <w:spacing w:before="0" w:after="0"/>
              <w:jc w:val="left"/>
              <w:rPr>
                <w:spacing w:val="0"/>
              </w:rPr>
            </w:pPr>
            <w:r>
              <w:rPr>
                <w:spacing w:val="0"/>
              </w:rPr>
              <w:t> </w:t>
            </w:r>
            <w:r>
              <w:rPr>
                <w:rFonts w:ascii="Times New Roman" w:hAnsi="Times New Roman"/>
                <w:spacing w:val="0"/>
                <w:sz w:val="20"/>
              </w:rPr>
              <w:t>business days past the Opening Date, the Cyprus government may terminate the Cyprus License. In February 2023, the Company was informed that the Council of Ministers of the Cyprus government approved an extension of the deadline to open City of Dreams Mediterranean under the terms of the Cyprus License to June 30, 2023. </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Studio City Land Concession — Macau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accordance with the Studio City land concession and the further extension granted by the Macau government as announced by Studio City International in May 2022, the land on which Studio City is located must be fully developed by June 30, 2023. </w:t>
      </w:r>
    </w:p>
    <w:p>
      <w:pPr>
        <w:pStyle w:val="TextBody"/>
        <w:spacing w:before="0" w:after="0"/>
        <w:ind w:left="0" w:right="0" w:hanging="0"/>
        <w:jc w:val="left"/>
        <w:rPr>
          <w:spacing w:val="0"/>
        </w:rPr>
      </w:pPr>
      <w:r>
        <w:rPr>
          <w:spacing w:val="0"/>
        </w:rPr>
        <w:t> </w:t>
      </w:r>
    </w:p>
    <w:tbl>
      <w:tblPr>
        <w:tblW w:w="1360" w:type="dxa"/>
        <w:jc w:val="left"/>
        <w:tblInd w:w="0" w:type="dxa"/>
        <w:tblCellMar>
          <w:top w:w="0" w:type="dxa"/>
          <w:left w:w="0" w:type="dxa"/>
          <w:bottom w:w="0" w:type="dxa"/>
          <w:right w:w="0" w:type="dxa"/>
        </w:tblCellMar>
      </w:tblPr>
      <w:tblGrid>
        <w:gridCol w:w="75"/>
        <w:gridCol w:w="275"/>
        <w:gridCol w:w="1010"/>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spacing w:val="0"/>
              </w:rPr>
            </w:pPr>
            <w:r>
              <w:rPr>
                <w:spacing w:val="0"/>
              </w:rPr>
              <w:t>(c)</w:t>
            </w:r>
          </w:p>
        </w:tc>
        <w:tc>
          <w:tcPr>
            <w:tcW w:w="10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Guarantees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Except</w:t>
      </w:r>
    </w:p>
    <w:p>
      <w:pPr>
        <w:pStyle w:val="TextBody"/>
        <w:spacing w:before="120" w:after="0"/>
        <w:jc w:val="left"/>
        <w:rPr>
          <w:spacing w:val="0"/>
        </w:rPr>
      </w:pPr>
      <w:r>
        <w:rPr>
          <w:spacing w:val="0"/>
        </w:rPr>
        <w:t> </w:t>
      </w:r>
      <w:r>
        <w:rPr>
          <w:rFonts w:ascii="Times New Roman" w:hAnsi="Times New Roman"/>
          <w:spacing w:val="0"/>
          <w:sz w:val="20"/>
        </w:rPr>
        <w:t xml:space="preserve">as disclosed in Notes 13 and 23(b), the Company has made the following significant guarantees as of December 31, 2022: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ind w:left="0" w:right="0" w:hanging="0"/>
              <w:jc w:val="left"/>
              <w:rPr>
                <w:rFonts w:ascii="Times New Roman" w:hAnsi="Times New Roman"/>
                <w:spacing w:val="0"/>
                <w:sz w:val="20"/>
              </w:rPr>
            </w:pPr>
            <w:r>
              <w:rPr>
                <w:rFonts w:ascii="Times New Roman" w:hAnsi="Times New Roman"/>
                <w:spacing w:val="0"/>
                <w:sz w:val="20"/>
              </w:rPr>
              <w:t>Melco Resorts Macau issued a promissory note (“Livrança”) of MOP550,000 (equivalent to $68,376</w:t>
            </w:r>
          </w:p>
          <w:p>
            <w:pPr>
              <w:pStyle w:val="TableContents"/>
              <w:spacing w:before="0" w:after="0"/>
              <w:jc w:val="left"/>
              <w:rPr>
                <w:rFonts w:ascii="Times New Roman" w:hAnsi="Times New Roman"/>
                <w:spacing w:val="0"/>
                <w:sz w:val="20"/>
              </w:rPr>
            </w:pPr>
            <w:r>
              <w:rPr>
                <w:rFonts w:ascii="Times New Roman" w:hAnsi="Times New Roman"/>
                <w:spacing w:val="0"/>
                <w:sz w:val="20"/>
              </w:rPr>
              <w:t>) to a bank in respect of the bank guarantee issued to the Macau government under its gaming subconcession. This promissory note was not enforceable with effect from January 1, 2023 and was released in January 2023.</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0"/>
              <w:rPr>
                <w:spacing w:val="0"/>
              </w:rPr>
            </w:pPr>
            <w:r>
              <w:rPr>
                <w:spacing w:val="0"/>
              </w:rPr>
              <w:t> </w:t>
            </w:r>
          </w:p>
        </w:tc>
        <w:tc>
          <w:tcPr>
            <w:tcW w:w="110" w:type="dxa"/>
            <w:tcBorders/>
            <w:shd w:fill="auto" w:val="clear"/>
            <w:vAlign w:val="center"/>
          </w:tcPr>
          <w:p>
            <w:pPr>
              <w:pStyle w:val="TableContents"/>
              <w:spacing w:before="0" w:after="0"/>
              <w:jc w:val="left"/>
              <w:rPr>
                <w:spacing w:val="0"/>
              </w:rPr>
            </w:pPr>
            <w:r>
              <w:rPr>
                <w:spacing w:val="0"/>
              </w:rPr>
              <w:t>•</w:t>
            </w:r>
          </w:p>
        </w:tc>
        <w:tc>
          <w:tcPr>
            <w:tcW w:w="60" w:type="dxa"/>
            <w:tcBorders/>
            <w:shd w:fill="auto" w:val="clear"/>
            <w:vAlign w:val="center"/>
          </w:tcPr>
          <w:p>
            <w:pPr>
              <w:pStyle w:val="TableContents"/>
              <w:spacing w:before="0" w:after="0"/>
              <w:rPr>
                <w:spacing w:val="0"/>
              </w:rPr>
            </w:pPr>
            <w:r>
              <w:rPr>
                <w:spacing w:val="0"/>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Melco Resorts Macau issued a promissory note (“Livrança”) of MOP820,000 (equivalent to $101,942) to a bank in respect of the bank guarantee issued on September 2</w:t>
            </w:r>
          </w:p>
          <w:p>
            <w:pPr>
              <w:pStyle w:val="TableContents"/>
              <w:spacing w:before="0" w:after="0"/>
              <w:jc w:val="left"/>
              <w:rPr>
                <w:rFonts w:ascii="Times New Roman" w:hAnsi="Times New Roman"/>
                <w:spacing w:val="0"/>
                <w:sz w:val="20"/>
              </w:rPr>
            </w:pPr>
            <w:r>
              <w:rPr>
                <w:rFonts w:ascii="Times New Roman" w:hAnsi="Times New Roman"/>
                <w:spacing w:val="0"/>
                <w:sz w:val="20"/>
              </w:rPr>
              <w:t>0</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 2022 to the Macau government </w:t>
            </w:r>
          </w:p>
          <w:p>
            <w:pPr>
              <w:pStyle w:val="TableContents"/>
              <w:spacing w:before="0" w:after="0"/>
              <w:ind w:left="0" w:right="0" w:hanging="0"/>
              <w:jc w:val="left"/>
              <w:rPr>
                <w:rFonts w:ascii="Times New Roman" w:hAnsi="Times New Roman"/>
                <w:spacing w:val="0"/>
                <w:sz w:val="20"/>
              </w:rPr>
            </w:pPr>
            <w:r>
              <w:rPr>
                <w:rFonts w:ascii="Times New Roman" w:hAnsi="Times New Roman"/>
                <w:spacing w:val="0"/>
                <w:sz w:val="20"/>
              </w:rPr>
              <w:t>as disclosed in Note 23(b).</w:t>
            </w:r>
          </w:p>
          <w:p>
            <w:pPr>
              <w:pStyle w:val="TableContents"/>
              <w:spacing w:before="0" w:after="0"/>
              <w:jc w:val="left"/>
              <w:rPr>
                <w:spacing w:val="0"/>
              </w:rPr>
            </w:pPr>
            <w:r>
              <w:rPr>
                <w:spacing w:val="0"/>
              </w:rPr>
              <w:t> </w:t>
            </w:r>
          </w:p>
          <w:p>
            <w:pPr>
              <w:pStyle w:val="TableContents"/>
              <w:spacing w:before="0" w:after="0"/>
              <w:jc w:val="left"/>
              <w:rPr>
                <w:rFonts w:ascii="Times New Roman" w:hAnsi="Times New Roman"/>
                <w:spacing w:val="0"/>
                <w:sz w:val="20"/>
              </w:rPr>
            </w:pPr>
            <w:r>
              <w:rPr>
                <w:rFonts w:ascii="Times New Roman" w:hAnsi="Times New Roman"/>
                <w:spacing w:val="0"/>
                <w:sz w:val="20"/>
              </w:rPr>
              <w:t>This promissory note was not enforceable with effect from January 1, 2023 and was released in January 2023</w:t>
            </w:r>
          </w:p>
          <w:p>
            <w:pPr>
              <w:pStyle w:val="TableContents"/>
              <w:spacing w:before="0" w:after="0"/>
              <w:jc w:val="left"/>
              <w:rPr>
                <w:rFonts w:ascii="Times New Roman" w:hAnsi="Times New Roman"/>
                <w:spacing w:val="0"/>
                <w:sz w:val="20"/>
              </w:rPr>
            </w:pPr>
            <w:r>
              <w:rPr>
                <w:rFonts w:ascii="Times New Roman" w:hAnsi="Times New Roman"/>
                <w:spacing w:val="0"/>
                <w:sz w:val="20"/>
              </w:rPr>
              <w:t>.</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Melco entered into two deeds of guarantee with third parties amounting to $35,000 to guarantee certain payment obligations of the City of Dreams’ operations. </w:t>
            </w:r>
          </w:p>
        </w:tc>
      </w:tr>
    </w:tbl>
    <w:p>
      <w:pPr>
        <w:pStyle w:val="TextBody"/>
        <w:spacing w:before="0" w:after="0"/>
        <w:jc w:val="left"/>
        <w:rPr>
          <w:spacing w:val="0"/>
        </w:rPr>
      </w:pPr>
      <w:r>
        <w:rPr>
          <w:spacing w:val="0"/>
        </w:rPr>
        <w:t> </w:t>
      </w:r>
    </w:p>
    <w:p>
      <w:pPr>
        <w:pStyle w:val="TextBody"/>
        <w:spacing w:before="0" w:after="0"/>
        <w:jc w:val="left"/>
        <w:rPr>
          <w:spacing w:val="0"/>
        </w:rPr>
      </w:pPr>
      <w:r>
        <w:rPr>
          <w:spacing w:val="0"/>
        </w:rPr>
        <w:t xml:space="preserve">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In October 2013, one of the Melco’s subsidiaries entered into a trade credit facility agreement for HK$200,000 (equivalent to $25,610) (“Trade Credit Facility”) with a bank to meet certain payment obligations of the Studio City project. The Trade Credit Facility which matured on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79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4045" w:type="dxa"/>
        <w:jc w:val="left"/>
        <w:tblInd w:w="0" w:type="dxa"/>
        <w:tblCellMar>
          <w:top w:w="0" w:type="dxa"/>
          <w:left w:w="0" w:type="dxa"/>
          <w:bottom w:w="0" w:type="dxa"/>
          <w:right w:w="0" w:type="dxa"/>
        </w:tblCellMar>
      </w:tblPr>
      <w:tblGrid>
        <w:gridCol w:w="335"/>
        <w:gridCol w:w="3710"/>
      </w:tblGrid>
      <w:tr>
        <w:trPr/>
        <w:tc>
          <w:tcPr>
            <w:tcW w:w="335" w:type="dxa"/>
            <w:tcBorders/>
            <w:shd w:fill="auto" w:val="clear"/>
            <w:vAlign w:val="center"/>
          </w:tcPr>
          <w:p>
            <w:pPr>
              <w:pStyle w:val="TableContents"/>
              <w:spacing w:before="0" w:after="0"/>
              <w:jc w:val="left"/>
              <w:rPr>
                <w:b/>
                <w:spacing w:val="0"/>
              </w:rPr>
            </w:pPr>
            <w:r>
              <w:rPr>
                <w:b/>
                <w:spacing w:val="0"/>
              </w:rPr>
              <w:t>23.</w:t>
            </w:r>
          </w:p>
        </w:tc>
        <w:tc>
          <w:tcPr>
            <w:tcW w:w="37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COMMITMENTS AND CONTINGENCIES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1338" w:type="dxa"/>
        <w:jc w:val="left"/>
        <w:tblInd w:w="0" w:type="dxa"/>
        <w:tblCellMar>
          <w:top w:w="0" w:type="dxa"/>
          <w:left w:w="0" w:type="dxa"/>
          <w:bottom w:w="0" w:type="dxa"/>
          <w:right w:w="0" w:type="dxa"/>
        </w:tblCellMar>
      </w:tblPr>
      <w:tblGrid>
        <w:gridCol w:w="38"/>
        <w:gridCol w:w="275"/>
        <w:gridCol w:w="1025"/>
      </w:tblGrid>
      <w:tr>
        <w:trPr/>
        <w:tc>
          <w:tcPr>
            <w:tcW w:w="3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0"/>
              <w:jc w:val="left"/>
              <w:rPr>
                <w:spacing w:val="0"/>
              </w:rPr>
            </w:pPr>
            <w:r>
              <w:rPr>
                <w:spacing w:val="0"/>
              </w:rPr>
              <w:t>(c)</w:t>
            </w:r>
          </w:p>
        </w:tc>
        <w:tc>
          <w:tcPr>
            <w:tcW w:w="10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Guarantees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0"/>
              <w:rPr>
                <w:spacing w:val="0"/>
              </w:rPr>
            </w:pPr>
            <w:r>
              <w:rPr>
                <w:spacing w:val="0"/>
              </w:rPr>
              <w:t> </w:t>
            </w:r>
          </w:p>
        </w:tc>
        <w:tc>
          <w:tcPr>
            <w:tcW w:w="101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August 31, 2021 was further extended to August 31, 2023, and is guaranteed by Studio City Company. As of December 31, 2022, approximately $640 of the Trade Credit Facility had been utilized.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Melco Resorts Leisure issued a corporate guarantee of PHP100,000 (equivalent to $1,782) to a bank in respect of a surety bond issued to PAGCOR as disclosed in Note 23(b) under Regular License. </w:t>
            </w:r>
          </w:p>
        </w:tc>
      </w:tr>
    </w:tbl>
    <w:p>
      <w:pPr>
        <w:pStyle w:val="TextBody"/>
        <w:spacing w:before="0" w:after="0"/>
        <w:jc w:val="left"/>
        <w:rPr>
          <w:spacing w:val="0"/>
        </w:rPr>
      </w:pPr>
      <w:r>
        <w:rPr>
          <w:spacing w:val="0"/>
        </w:rPr>
        <w:t> </w:t>
      </w:r>
    </w:p>
    <w:tbl>
      <w:tblPr>
        <w:tblW w:w="1255" w:type="dxa"/>
        <w:jc w:val="left"/>
        <w:tblInd w:w="0" w:type="dxa"/>
        <w:tblCellMar>
          <w:top w:w="0" w:type="dxa"/>
          <w:left w:w="0" w:type="dxa"/>
          <w:bottom w:w="0" w:type="dxa"/>
          <w:right w:w="0" w:type="dxa"/>
        </w:tblCellMar>
      </w:tblPr>
      <w:tblGrid>
        <w:gridCol w:w="75"/>
        <w:gridCol w:w="290"/>
        <w:gridCol w:w="890"/>
      </w:tblGrid>
      <w:tr>
        <w:trPr/>
        <w:tc>
          <w:tcPr>
            <w:tcW w:w="75" w:type="dxa"/>
            <w:tcBorders/>
            <w:shd w:fill="auto" w:val="clear"/>
            <w:vAlign w:val="center"/>
          </w:tcPr>
          <w:p>
            <w:pPr>
              <w:pStyle w:val="TableContents"/>
              <w:spacing w:before="0" w:after="0"/>
              <w:rPr>
                <w:spacing w:val="0"/>
              </w:rPr>
            </w:pPr>
            <w:r>
              <w:rPr>
                <w:spacing w:val="0"/>
              </w:rPr>
              <w:t> </w:t>
            </w:r>
          </w:p>
        </w:tc>
        <w:tc>
          <w:tcPr>
            <w:tcW w:w="290" w:type="dxa"/>
            <w:tcBorders/>
            <w:shd w:fill="auto" w:val="clear"/>
            <w:vAlign w:val="center"/>
          </w:tcPr>
          <w:p>
            <w:pPr>
              <w:pStyle w:val="TableContents"/>
              <w:spacing w:before="0" w:after="0"/>
              <w:jc w:val="left"/>
              <w:rPr>
                <w:spacing w:val="0"/>
              </w:rPr>
            </w:pPr>
            <w:r>
              <w:rPr>
                <w:spacing w:val="0"/>
              </w:rPr>
              <w:t>(d)</w:t>
            </w:r>
          </w:p>
        </w:tc>
        <w:tc>
          <w:tcPr>
            <w:tcW w:w="8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Litigation</w:t>
            </w:r>
          </w:p>
        </w:tc>
      </w:tr>
    </w:tbl>
    <w:p>
      <w:pPr>
        <w:pStyle w:val="TextBody"/>
        <w:spacing w:before="120" w:after="0"/>
        <w:jc w:val="left"/>
        <w:rPr>
          <w:rFonts w:ascii="Times New Roman" w:hAnsi="Times New Roman"/>
          <w:spacing w:val="0"/>
          <w:sz w:val="20"/>
        </w:rPr>
      </w:pPr>
      <w:r>
        <w:rPr>
          <w:rFonts w:ascii="Times New Roman" w:hAnsi="Times New Roman"/>
          <w:spacing w:val="0"/>
          <w:sz w:val="20"/>
        </w:rPr>
        <w:t>On December 7, 2021, the Independent Liquor and Gaming Authority in Australia (“ILGA”) commenced proceedings in the Supreme Court of New South Wales against Melco and six individual</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directors and/or officers of Melco, principally seeking a payment of </w:t>
      </w:r>
    </w:p>
    <w:p>
      <w:pPr>
        <w:pStyle w:val="TextBody"/>
        <w:spacing w:before="120" w:after="0"/>
        <w:jc w:val="left"/>
        <w:rPr>
          <w:rFonts w:ascii="Times New Roman" w:hAnsi="Times New Roman"/>
          <w:spacing w:val="0"/>
          <w:sz w:val="20"/>
        </w:rPr>
      </w:pPr>
      <w:r>
        <w:rPr>
          <w:rFonts w:ascii="Times New Roman" w:hAnsi="Times New Roman"/>
          <w:spacing w:val="0"/>
          <w:sz w:val="20"/>
        </w:rPr>
        <w:t>AUD3,676 (equivalent to $2,664) together with (i) the corresponding interest on such amount from August 3, 2020 to the date of judgment, and (ii) ILGA’s legal costs in the proceedings by ILGA allegedly associated with its seeking in its assessment of whether a major change was proposed or occurred as a result of Melco’s acquisition of shares in Crown in 2019. Based on the progress of such proceedings to date, the Company is currently unable to determine the range of reasonably possible losses, if any, and believes that the outcomes of such proceedings will have no material financial impact on the Company. No provision for disputed costs has been made in these consolidated financial statements.</w:t>
      </w:r>
    </w:p>
    <w:p>
      <w:pPr>
        <w:pStyle w:val="TextBody"/>
        <w:spacing w:before="120" w:after="0"/>
        <w:jc w:val="left"/>
        <w:rPr>
          <w:rFonts w:ascii="Times New Roman" w:hAnsi="Times New Roman"/>
          <w:spacing w:val="0"/>
          <w:sz w:val="20"/>
        </w:rPr>
      </w:pPr>
      <w:r>
        <w:rPr>
          <w:rFonts w:ascii="Times New Roman" w:hAnsi="Times New Roman"/>
          <w:spacing w:val="0"/>
          <w:sz w:val="20"/>
        </w:rPr>
        <w:t>As of December 31, 2022, the Company was a party to certain other legal proceedings which relate to matters arising out of the ordinary course of its business. Management believes that the outcomes of such proceedings have been adequately provided for or have no material impacts on the Company’s consolidated financial statements as a whole.</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3625" w:type="dxa"/>
        <w:jc w:val="left"/>
        <w:tblInd w:w="0" w:type="dxa"/>
        <w:tblCellMar>
          <w:top w:w="0" w:type="dxa"/>
          <w:left w:w="0" w:type="dxa"/>
          <w:bottom w:w="0" w:type="dxa"/>
          <w:right w:w="0" w:type="dxa"/>
        </w:tblCellMar>
      </w:tblPr>
      <w:tblGrid>
        <w:gridCol w:w="335"/>
        <w:gridCol w:w="3290"/>
      </w:tblGrid>
      <w:tr>
        <w:trPr/>
        <w:tc>
          <w:tcPr>
            <w:tcW w:w="335" w:type="dxa"/>
            <w:tcBorders/>
            <w:shd w:fill="auto" w:val="clear"/>
            <w:vAlign w:val="center"/>
          </w:tcPr>
          <w:p>
            <w:pPr>
              <w:pStyle w:val="TableContents"/>
              <w:spacing w:before="0" w:after="0"/>
              <w:jc w:val="left"/>
              <w:rPr>
                <w:b/>
                <w:spacing w:val="0"/>
              </w:rPr>
            </w:pPr>
            <w:r>
              <w:rPr>
                <w:b/>
                <w:spacing w:val="0"/>
              </w:rPr>
              <w:t>24.</w:t>
            </w:r>
          </w:p>
        </w:tc>
        <w:tc>
          <w:tcPr>
            <w:tcW w:w="32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RELATED PARTY TRANSACTIONS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During the years ended December 31, 2022, 2021 and 2020, the Company entered into the following significant related party transactions:</w:t>
      </w:r>
    </w:p>
    <w:p>
      <w:pPr>
        <w:pStyle w:val="TextBody"/>
        <w:spacing w:before="120" w:after="0"/>
        <w:jc w:val="left"/>
        <w:rPr>
          <w:rFonts w:ascii="Times New Roman" w:hAnsi="Times New Roman"/>
          <w:sz w:val="20"/>
        </w:rPr>
      </w:pPr>
      <w:r>
        <w:rPr>
          <w:rFonts w:ascii="Times New Roman" w:hAnsi="Times New Roman"/>
          <w:sz w:val="20"/>
        </w:rPr>
      </w:r>
    </w:p>
    <w:p>
      <w:pPr>
        <w:pStyle w:val="TextBody"/>
        <w:spacing w:before="0" w:after="0"/>
        <w:ind w:left="0" w:right="0" w:hanging="0"/>
        <w:jc w:val="left"/>
        <w:rPr>
          <w:sz w:val="24"/>
        </w:rPr>
      </w:pPr>
      <w:r>
        <w:rPr>
          <w:sz w:val="24"/>
        </w:rPr>
      </w:r>
    </w:p>
    <w:tbl>
      <w:tblPr>
        <w:tblW w:w="10060" w:type="dxa"/>
        <w:jc w:val="left"/>
        <w:tblInd w:w="0" w:type="dxa"/>
        <w:tblCellMar>
          <w:top w:w="0" w:type="dxa"/>
          <w:left w:w="0" w:type="dxa"/>
          <w:bottom w:w="0" w:type="dxa"/>
          <w:right w:w="0" w:type="dxa"/>
        </w:tblCellMar>
      </w:tblPr>
      <w:tblGrid>
        <w:gridCol w:w="2810"/>
        <w:gridCol w:w="60"/>
        <w:gridCol w:w="4355"/>
        <w:gridCol w:w="120"/>
        <w:gridCol w:w="140"/>
        <w:gridCol w:w="740"/>
        <w:gridCol w:w="60"/>
        <w:gridCol w:w="120"/>
        <w:gridCol w:w="140"/>
        <w:gridCol w:w="560"/>
        <w:gridCol w:w="60"/>
        <w:gridCol w:w="120"/>
        <w:gridCol w:w="140"/>
        <w:gridCol w:w="560"/>
        <w:gridCol w:w="75"/>
      </w:tblGrid>
      <w:tr>
        <w:trPr/>
        <w:tc>
          <w:tcPr>
            <w:tcW w:w="28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10"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43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64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810" w:type="dxa"/>
            <w:tcBorders/>
            <w:shd w:fill="auto" w:val="clear"/>
            <w:vAlign w:val="center"/>
          </w:tcPr>
          <w:p>
            <w:pPr>
              <w:pStyle w:val="TableContents"/>
              <w:spacing w:before="0" w:after="0"/>
              <w:rPr>
                <w:rFonts w:ascii="Times New Roman" w:hAnsi="Times New Roman"/>
                <w:spacing w:val="0"/>
                <w:sz w:val="18"/>
                <w:bdr w:val="single" w:sz="8" w:space="1" w:color="000000"/>
              </w:rPr>
            </w:pPr>
            <w:r>
              <w:rPr>
                <w:rFonts w:ascii="Times New Roman" w:hAnsi="Times New Roman"/>
                <w:spacing w:val="0"/>
                <w:sz w:val="18"/>
                <w:bdr w:val="single" w:sz="8" w:space="1" w:color="000000"/>
              </w:rPr>
              <w:t>Related companies</w:t>
            </w:r>
          </w:p>
        </w:tc>
        <w:tc>
          <w:tcPr>
            <w:tcW w:w="60" w:type="dxa"/>
            <w:tcBorders/>
            <w:shd w:fill="auto" w:val="clear"/>
            <w:vAlign w:val="center"/>
          </w:tcPr>
          <w:p>
            <w:pPr>
              <w:pStyle w:val="TableContents"/>
              <w:spacing w:before="0" w:after="0"/>
              <w:rPr>
                <w:spacing w:val="0"/>
              </w:rPr>
            </w:pPr>
            <w:r>
              <w:rPr>
                <w:spacing w:val="0"/>
              </w:rPr>
              <w:t> </w:t>
            </w:r>
          </w:p>
        </w:tc>
        <w:tc>
          <w:tcPr>
            <w:tcW w:w="4355" w:type="dxa"/>
            <w:tcBorders/>
            <w:shd w:fill="auto" w:val="clear"/>
            <w:vAlign w:val="center"/>
          </w:tcPr>
          <w:p>
            <w:pPr>
              <w:pStyle w:val="TableContents"/>
              <w:spacing w:before="0" w:after="0"/>
              <w:rPr>
                <w:rFonts w:ascii="Times New Roman" w:hAnsi="Times New Roman"/>
                <w:spacing w:val="0"/>
                <w:sz w:val="18"/>
                <w:bdr w:val="single" w:sz="8" w:space="1" w:color="000000"/>
              </w:rPr>
            </w:pPr>
            <w:r>
              <w:rPr>
                <w:rFonts w:ascii="Times New Roman" w:hAnsi="Times New Roman"/>
                <w:spacing w:val="0"/>
                <w:sz w:val="18"/>
                <w:bdr w:val="single" w:sz="8" w:space="1" w:color="000000"/>
              </w:rPr>
              <w:t>Nature of transactions</w:t>
            </w:r>
          </w:p>
        </w:tc>
        <w:tc>
          <w:tcPr>
            <w:tcW w:w="120" w:type="dxa"/>
            <w:tcBorders/>
            <w:shd w:fill="auto" w:val="clear"/>
            <w:vAlign w:val="center"/>
          </w:tcPr>
          <w:p>
            <w:pPr>
              <w:pStyle w:val="TableContents"/>
              <w:spacing w:before="0" w:after="0"/>
              <w:rPr>
                <w:spacing w:val="0"/>
              </w:rPr>
            </w:pPr>
            <w:r>
              <w:rPr>
                <w:spacing w:val="0"/>
              </w:rPr>
              <w:t>  </w:t>
            </w:r>
          </w:p>
        </w:tc>
        <w:tc>
          <w:tcPr>
            <w:tcW w:w="8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2810" w:type="dxa"/>
            <w:tcBorders/>
            <w:shd w:fill="CCEEFF" w:val="clear"/>
            <w:vAlign w:val="center"/>
          </w:tcPr>
          <w:p>
            <w:pPr>
              <w:pStyle w:val="TableContents"/>
              <w:spacing w:before="0" w:after="0"/>
              <w:rPr>
                <w:rFonts w:ascii="Times New Roman" w:hAnsi="Times New Roman"/>
                <w:i/>
                <w:caps w:val="false"/>
                <w:smallCaps w:val="false"/>
                <w:spacing w:val="0"/>
                <w:sz w:val="18"/>
              </w:rPr>
            </w:pPr>
            <w:r>
              <w:rPr>
                <w:rFonts w:ascii="Times New Roman" w:hAnsi="Times New Roman"/>
                <w:i/>
                <w:caps w:val="false"/>
                <w:smallCaps w:val="false"/>
                <w:spacing w:val="0"/>
                <w:sz w:val="18"/>
              </w:rPr>
              <w:t>Transactions with affiliated companies</w:t>
            </w:r>
          </w:p>
        </w:tc>
        <w:tc>
          <w:tcPr>
            <w:tcW w:w="60" w:type="dxa"/>
            <w:tcBorders/>
            <w:shd w:fill="CCEEFF" w:val="clear"/>
            <w:vAlign w:val="center"/>
          </w:tcPr>
          <w:p>
            <w:pPr>
              <w:pStyle w:val="TableContents"/>
              <w:spacing w:before="0" w:after="0"/>
              <w:rPr>
                <w:spacing w:val="0"/>
              </w:rPr>
            </w:pPr>
            <w:r>
              <w:rPr>
                <w:spacing w:val="0"/>
              </w:rPr>
              <w:t> </w:t>
            </w:r>
          </w:p>
        </w:tc>
        <w:tc>
          <w:tcPr>
            <w:tcW w:w="43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74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56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56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810" w:type="dxa"/>
            <w:tcBorders/>
            <w:shd w:fill="auto" w:val="clear"/>
            <w:vAlign w:val="center"/>
          </w:tcPr>
          <w:p>
            <w:pPr>
              <w:pStyle w:val="TableContents"/>
              <w:spacing w:before="0" w:after="283"/>
              <w:rPr>
                <w:sz w:val="4"/>
                <w:szCs w:val="4"/>
              </w:rPr>
            </w:pPr>
            <w:r>
              <w:rPr>
                <w:sz w:val="4"/>
                <w:szCs w:val="4"/>
              </w:rPr>
            </w:r>
          </w:p>
        </w:tc>
        <w:tc>
          <w:tcPr>
            <w:tcW w:w="4415" w:type="dxa"/>
            <w:gridSpan w:val="2"/>
            <w:tcBorders/>
            <w:shd w:fill="auto" w:val="clear"/>
            <w:vAlign w:val="center"/>
          </w:tcPr>
          <w:p>
            <w:pPr>
              <w:pStyle w:val="TableContents"/>
              <w:spacing w:before="0" w:after="283"/>
              <w:rPr>
                <w:sz w:val="4"/>
                <w:szCs w:val="4"/>
              </w:rPr>
            </w:pPr>
            <w:r>
              <w:rPr>
                <w:sz w:val="4"/>
                <w:szCs w:val="4"/>
              </w:rPr>
            </w:r>
          </w:p>
        </w:tc>
        <w:tc>
          <w:tcPr>
            <w:tcW w:w="1060" w:type="dxa"/>
            <w:gridSpan w:val="4"/>
            <w:tcBorders/>
            <w:shd w:fill="auto" w:val="clear"/>
            <w:vAlign w:val="center"/>
          </w:tcPr>
          <w:p>
            <w:pPr>
              <w:pStyle w:val="TableContents"/>
              <w:spacing w:before="0" w:after="283"/>
              <w:rPr>
                <w:sz w:val="4"/>
                <w:szCs w:val="4"/>
              </w:rPr>
            </w:pPr>
            <w:r>
              <w:rPr>
                <w:sz w:val="4"/>
                <w:szCs w:val="4"/>
              </w:rPr>
            </w:r>
          </w:p>
        </w:tc>
        <w:tc>
          <w:tcPr>
            <w:tcW w:w="880" w:type="dxa"/>
            <w:gridSpan w:val="4"/>
            <w:tcBorders/>
            <w:shd w:fill="auto" w:val="clear"/>
            <w:vAlign w:val="center"/>
          </w:tcPr>
          <w:p>
            <w:pPr>
              <w:pStyle w:val="TableContents"/>
              <w:spacing w:before="0" w:after="283"/>
              <w:rPr>
                <w:sz w:val="4"/>
                <w:szCs w:val="4"/>
              </w:rPr>
            </w:pPr>
            <w:r>
              <w:rPr>
                <w:sz w:val="4"/>
                <w:szCs w:val="4"/>
              </w:rPr>
            </w:r>
          </w:p>
        </w:tc>
        <w:tc>
          <w:tcPr>
            <w:tcW w:w="895" w:type="dxa"/>
            <w:gridSpan w:val="4"/>
            <w:tcBorders/>
            <w:shd w:fill="auto" w:val="clear"/>
            <w:vAlign w:val="center"/>
          </w:tcPr>
          <w:p>
            <w:pPr>
              <w:pStyle w:val="TableContents"/>
              <w:spacing w:before="0" w:after="283"/>
              <w:rPr>
                <w:sz w:val="4"/>
                <w:szCs w:val="4"/>
              </w:rPr>
            </w:pPr>
            <w:r>
              <w:rPr>
                <w:sz w:val="4"/>
                <w:szCs w:val="4"/>
              </w:rPr>
            </w:r>
          </w:p>
        </w:tc>
      </w:tr>
      <w:tr>
        <w:trPr/>
        <w:tc>
          <w:tcPr>
            <w:tcW w:w="2810"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Melco International and its subsidiaries</w:t>
            </w:r>
          </w:p>
        </w:tc>
        <w:tc>
          <w:tcPr>
            <w:tcW w:w="60" w:type="dxa"/>
            <w:tcBorders/>
            <w:shd w:fill="auto" w:val="clear"/>
            <w:vAlign w:val="center"/>
          </w:tcPr>
          <w:p>
            <w:pPr>
              <w:pStyle w:val="TableContents"/>
              <w:spacing w:before="0" w:after="0"/>
              <w:rPr>
                <w:spacing w:val="0"/>
              </w:rPr>
            </w:pPr>
            <w:r>
              <w:rPr>
                <w:spacing w:val="0"/>
              </w:rPr>
              <w:t> </w:t>
            </w:r>
          </w:p>
        </w:tc>
        <w:tc>
          <w:tcPr>
            <w:tcW w:w="4355" w:type="dxa"/>
            <w:tcBorders/>
            <w:shd w:fill="auto" w:val="clear"/>
            <w:vAlign w:val="center"/>
          </w:tcPr>
          <w:p>
            <w:pPr>
              <w:pStyle w:val="TableContents"/>
              <w:spacing w:before="0" w:after="0"/>
              <w:ind w:left="0" w:right="0" w:hanging="0"/>
              <w:rPr>
                <w:rFonts w:ascii="Times New Roman" w:hAnsi="Times New Roman"/>
                <w:b/>
                <w:spacing w:val="0"/>
                <w:sz w:val="18"/>
              </w:rPr>
            </w:pPr>
            <w:r>
              <w:rPr>
                <w:rFonts w:ascii="Times New Roman" w:hAnsi="Times New Roman"/>
                <w:b/>
                <w:spacing w:val="0"/>
                <w:sz w:val="18"/>
              </w:rPr>
              <w:t xml:space="preserve">Revenues </w:t>
            </w:r>
          </w:p>
          <w:p>
            <w:pPr>
              <w:pStyle w:val="TableContents"/>
              <w:spacing w:before="0" w:after="0"/>
              <w:rPr>
                <w:rFonts w:ascii="Times New Roman" w:hAnsi="Times New Roman"/>
                <w:b/>
                <w:spacing w:val="0"/>
                <w:sz w:val="18"/>
              </w:rPr>
            </w:pPr>
            <w:r>
              <w:rPr>
                <w:rFonts w:ascii="Times New Roman" w:hAnsi="Times New Roman"/>
                <w:b/>
                <w:spacing w:val="0"/>
                <w:sz w:val="18"/>
              </w:rPr>
              <w:t>and income </w:t>
            </w:r>
          </w:p>
          <w:p>
            <w:pPr>
              <w:pStyle w:val="TableContents"/>
              <w:spacing w:before="0" w:after="0"/>
              <w:rPr>
                <w:rFonts w:ascii="Times New Roman" w:hAnsi="Times New Roman"/>
                <w:b/>
                <w:spacing w:val="0"/>
                <w:sz w:val="18"/>
              </w:rPr>
            </w:pPr>
            <w:r>
              <w:rPr>
                <w:rFonts w:ascii="Times New Roman" w:hAnsi="Times New Roman"/>
                <w:b/>
                <w:spacing w:val="0"/>
                <w:sz w:val="18"/>
              </w:rPr>
              <w:t>(services provided by the Company):</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Shared service fee income for corporate office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jc w:val="right"/>
              <w:rPr/>
            </w:pPr>
            <w:r>
              <w:rPr/>
              <w:t>   </w:t>
            </w:r>
            <w:r>
              <w:rPr/>
              <w:t>2,188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1,345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1,521</w:t>
            </w:r>
          </w:p>
        </w:tc>
        <w:tc>
          <w:tcPr>
            <w:tcW w:w="75" w:type="dxa"/>
            <w:tcBorders/>
            <w:shd w:fill="CCEEFF"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Loan interest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16,133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b/>
                <w:spacing w:val="0"/>
                <w:sz w:val="18"/>
              </w:rPr>
            </w:pPr>
            <w:r>
              <w:rPr>
                <w:rFonts w:ascii="Times New Roman" w:hAnsi="Times New Roman"/>
                <w:b/>
                <w:spacing w:val="0"/>
                <w:sz w:val="18"/>
              </w:rPr>
              <w:t>Costs and expenses (services provided to the Company):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8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355" w:type="dxa"/>
            <w:tcBorders/>
            <w:shd w:fill="auto"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Management fee expenses</w:t>
            </w:r>
          </w:p>
          <w:p>
            <w:pPr>
              <w:pStyle w:val="TableContents"/>
              <w:spacing w:before="0" w:after="0"/>
              <w:rPr>
                <w:rFonts w:ascii="Times New Roman" w:hAnsi="Times New Roman"/>
                <w:spacing w:val="0"/>
                <w:sz w:val="11"/>
              </w:rPr>
            </w:pPr>
            <w:r>
              <w:rPr>
                <w:rFonts w:ascii="Times New Roman" w:hAnsi="Times New Roman"/>
                <w:spacing w:val="0"/>
                <w:sz w:val="11"/>
              </w:rPr>
              <w:t xml:space="preserve">(1)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right"/>
              <w:rPr/>
            </w:pPr>
            <w:r>
              <w:rPr/>
              <w:t>1,394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1,477</w:t>
            </w:r>
          </w:p>
        </w:tc>
        <w:tc>
          <w:tcPr>
            <w:tcW w:w="75" w:type="dxa"/>
            <w:tcBorders/>
            <w:shd w:fill="auto" w:val="clear"/>
            <w:vAlign w:val="center"/>
          </w:tcPr>
          <w:p>
            <w:pPr>
              <w:pStyle w:val="TableContents"/>
              <w:spacing w:before="0" w:after="283"/>
              <w:rPr/>
            </w:pPr>
            <w:r>
              <w:rPr/>
              <w:t> </w:t>
            </w:r>
          </w:p>
        </w:tc>
      </w:tr>
      <w:tr>
        <w:trPr/>
        <w:tc>
          <w:tcPr>
            <w:tcW w:w="281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355" w:type="dxa"/>
            <w:tcBorders/>
            <w:shd w:fill="CCEEFF" w:val="clear"/>
            <w:vAlign w:val="center"/>
          </w:tcPr>
          <w:p>
            <w:pPr>
              <w:pStyle w:val="TableContents"/>
              <w:spacing w:before="0" w:after="0"/>
              <w:rPr>
                <w:rFonts w:ascii="Times New Roman" w:hAnsi="Times New Roman"/>
                <w:spacing w:val="0"/>
                <w:sz w:val="18"/>
              </w:rPr>
            </w:pPr>
            <w:r>
              <w:rPr>
                <w:rFonts w:ascii="Times New Roman" w:hAnsi="Times New Roman"/>
                <w:spacing w:val="0"/>
                <w:sz w:val="18"/>
              </w:rPr>
              <w:t>Share-based compensation expenses</w:t>
            </w:r>
          </w:p>
          <w:p>
            <w:pPr>
              <w:pStyle w:val="TableContents"/>
              <w:spacing w:before="0" w:after="0"/>
              <w:rPr>
                <w:rFonts w:ascii="Times New Roman" w:hAnsi="Times New Roman"/>
                <w:spacing w:val="0"/>
                <w:sz w:val="11"/>
              </w:rPr>
            </w:pPr>
            <w:r>
              <w:rPr>
                <w:rFonts w:ascii="Times New Roman" w:hAnsi="Times New Roman"/>
                <w:spacing w:val="0"/>
                <w:sz w:val="11"/>
              </w:rPr>
              <w:t xml:space="preserve">(2)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740" w:type="dxa"/>
            <w:tcBorders/>
            <w:shd w:fill="CCEEFF" w:val="clear"/>
            <w:vAlign w:val="center"/>
          </w:tcPr>
          <w:p>
            <w:pPr>
              <w:pStyle w:val="TableContents"/>
              <w:spacing w:before="0" w:after="283"/>
              <w:jc w:val="right"/>
              <w:rPr/>
            </w:pPr>
            <w:r>
              <w:rPr/>
              <w:t>2,865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6,641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7,021</w:t>
            </w:r>
          </w:p>
        </w:tc>
        <w:tc>
          <w:tcPr>
            <w:tcW w:w="75" w:type="dxa"/>
            <w:tcBorders/>
            <w:shd w:fill="CCEEFF" w:val="clear"/>
            <w:vAlign w:val="center"/>
          </w:tcPr>
          <w:p>
            <w:pPr>
              <w:pStyle w:val="TableContents"/>
              <w:spacing w:before="0" w:after="283"/>
              <w:rPr/>
            </w:pPr>
            <w:r>
              <w:rPr/>
              <w:t> </w:t>
            </w:r>
          </w:p>
        </w:tc>
      </w:tr>
    </w:tbl>
    <w:p>
      <w:pPr>
        <w:pStyle w:val="TextBody"/>
        <w:spacing w:before="120" w:after="0"/>
        <w:ind w:left="0" w:right="0" w:hanging="0"/>
        <w:jc w:val="left"/>
        <w:rPr>
          <w:rFonts w:ascii="Times New Roman" w:hAnsi="Times New Roman"/>
          <w:spacing w:val="0"/>
          <w:sz w:val="18"/>
        </w:rPr>
      </w:pPr>
      <w:r>
        <w:rPr>
          <w:rFonts w:ascii="Times New Roman" w:hAnsi="Times New Roman"/>
          <w:spacing w:val="0"/>
          <w:sz w:val="18"/>
        </w:rPr>
        <w:t xml:space="preserve">Notes </w:t>
      </w:r>
    </w:p>
    <w:tbl>
      <w:tblPr>
        <w:tblW w:w="10205" w:type="dxa"/>
        <w:jc w:val="left"/>
        <w:tblInd w:w="0" w:type="dxa"/>
        <w:tblCellMar>
          <w:top w:w="0" w:type="dxa"/>
          <w:left w:w="0" w:type="dxa"/>
          <w:bottom w:w="0" w:type="dxa"/>
          <w:right w:w="0" w:type="dxa"/>
        </w:tblCellMar>
      </w:tblPr>
      <w:tblGrid>
        <w:gridCol w:w="75"/>
        <w:gridCol w:w="264"/>
        <w:gridCol w:w="9866"/>
      </w:tblGrid>
      <w:tr>
        <w:trPr/>
        <w:tc>
          <w:tcPr>
            <w:tcW w:w="75" w:type="dxa"/>
            <w:tcBorders/>
            <w:shd w:fill="auto" w:val="clear"/>
            <w:vAlign w:val="center"/>
          </w:tcPr>
          <w:p>
            <w:pPr>
              <w:pStyle w:val="TableContents"/>
              <w:spacing w:before="0" w:after="0"/>
              <w:rPr>
                <w:spacing w:val="0"/>
              </w:rPr>
            </w:pPr>
            <w:r>
              <w:rPr>
                <w:spacing w:val="0"/>
              </w:rPr>
              <w:t> </w:t>
            </w:r>
          </w:p>
        </w:tc>
        <w:tc>
          <w:tcPr>
            <w:tcW w:w="264" w:type="dxa"/>
            <w:tcBorders/>
            <w:shd w:fill="auto" w:val="clear"/>
            <w:vAlign w:val="center"/>
          </w:tcPr>
          <w:p>
            <w:pPr>
              <w:pStyle w:val="TableContents"/>
              <w:spacing w:before="0" w:after="0"/>
              <w:jc w:val="left"/>
              <w:rPr>
                <w:spacing w:val="0"/>
              </w:rPr>
            </w:pPr>
            <w:r>
              <w:rPr>
                <w:spacing w:val="0"/>
              </w:rPr>
              <w:t>(1)</w:t>
            </w:r>
          </w:p>
        </w:tc>
        <w:tc>
          <w:tcPr>
            <w:tcW w:w="9866"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 xml:space="preserve">The amount mainly represents management fee expenses for the services provided by the senior management of Melco International and for the operation of the office of Melco’s Chief Executive Officer.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F-8</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580" w:type="dxa"/>
        <w:jc w:val="left"/>
        <w:tblInd w:w="0" w:type="dxa"/>
        <w:tblCellMar>
          <w:top w:w="0" w:type="dxa"/>
          <w:left w:w="0" w:type="dxa"/>
          <w:bottom w:w="0" w:type="dxa"/>
          <w:right w:w="0" w:type="dxa"/>
        </w:tblCellMar>
      </w:tblPr>
      <w:tblGrid>
        <w:gridCol w:w="335"/>
        <w:gridCol w:w="3245"/>
      </w:tblGrid>
      <w:tr>
        <w:trPr/>
        <w:tc>
          <w:tcPr>
            <w:tcW w:w="335" w:type="dxa"/>
            <w:tcBorders/>
            <w:shd w:fill="auto" w:val="clear"/>
            <w:vAlign w:val="center"/>
          </w:tcPr>
          <w:p>
            <w:pPr>
              <w:pStyle w:val="TableContents"/>
              <w:spacing w:before="0" w:after="0"/>
              <w:jc w:val="left"/>
              <w:rPr>
                <w:b/>
                <w:spacing w:val="0"/>
              </w:rPr>
            </w:pPr>
            <w:r>
              <w:rPr>
                <w:b/>
                <w:spacing w:val="0"/>
              </w:rPr>
              <w:t>24.</w:t>
            </w:r>
          </w:p>
        </w:tc>
        <w:tc>
          <w:tcPr>
            <w:tcW w:w="32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RELATED PARTY TRANSACTIONS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49"/>
        <w:gridCol w:w="9881"/>
      </w:tblGrid>
      <w:tr>
        <w:trPr/>
        <w:tc>
          <w:tcPr>
            <w:tcW w:w="75" w:type="dxa"/>
            <w:tcBorders/>
            <w:shd w:fill="auto" w:val="clear"/>
            <w:vAlign w:val="center"/>
          </w:tcPr>
          <w:p>
            <w:pPr>
              <w:pStyle w:val="TableContents"/>
              <w:spacing w:before="0" w:after="0"/>
              <w:rPr>
                <w:spacing w:val="0"/>
              </w:rPr>
            </w:pPr>
            <w:r>
              <w:rPr>
                <w:spacing w:val="0"/>
              </w:rPr>
              <w:t> </w:t>
            </w:r>
          </w:p>
        </w:tc>
        <w:tc>
          <w:tcPr>
            <w:tcW w:w="249" w:type="dxa"/>
            <w:tcBorders/>
            <w:shd w:fill="auto" w:val="clear"/>
            <w:vAlign w:val="center"/>
          </w:tcPr>
          <w:p>
            <w:pPr>
              <w:pStyle w:val="TableContents"/>
              <w:spacing w:before="0" w:after="0"/>
              <w:jc w:val="left"/>
              <w:rPr>
                <w:spacing w:val="0"/>
              </w:rPr>
            </w:pPr>
            <w:r>
              <w:rPr>
                <w:spacing w:val="0"/>
              </w:rPr>
              <w:t>(2)</w:t>
            </w:r>
          </w:p>
        </w:tc>
        <w:tc>
          <w:tcPr>
            <w:tcW w:w="9881" w:type="dxa"/>
            <w:tcBorders/>
            <w:shd w:fill="auto" w:val="clear"/>
            <w:vAlign w:val="center"/>
          </w:tcPr>
          <w:p>
            <w:pPr>
              <w:pStyle w:val="TableContents"/>
              <w:spacing w:before="0" w:after="0"/>
              <w:jc w:val="left"/>
              <w:rPr>
                <w:rFonts w:ascii="Times New Roman" w:hAnsi="Times New Roman"/>
                <w:spacing w:val="0"/>
                <w:sz w:val="18"/>
              </w:rPr>
            </w:pPr>
            <w:r>
              <w:rPr>
                <w:rFonts w:ascii="Times New Roman" w:hAnsi="Times New Roman"/>
                <w:spacing w:val="0"/>
                <w:sz w:val="18"/>
              </w:rPr>
              <w:t xml:space="preserve">The amount represents the share-based compensation expenses related to the grant of certain share-based awards under the Melco International Share Incentive Plan to an employee of the Company. Further information on the share-based compensation arrangements is included in Note 18. </w:t>
            </w:r>
          </w:p>
        </w:tc>
      </w:tr>
    </w:tbl>
    <w:p>
      <w:pPr>
        <w:pStyle w:val="TextBody"/>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Other Related Party Transactions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As of December 31, 2022, Mr. Lawrence Yau Lung Ho</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Melco’s Chief Executive Officer</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and his controlled entity; and an independent director of Melco held an aggregate principal amount of $60,000 and $8,500 senior notes issued by the subsidiaries of Melco, respectively. As of December 31, 2021, Mr. Lawrence Yau Lung Ho and his controlled entity; and an independent director of Melco held an aggregate principal amount of $60,000 and $5,500 senior notes issued by the subsidiaries of Melco, </w:t>
      </w:r>
    </w:p>
    <w:p>
      <w:pPr>
        <w:pStyle w:val="TextBody"/>
        <w:spacing w:before="120" w:after="0"/>
        <w:jc w:val="left"/>
        <w:rPr>
          <w:rFonts w:ascii="Times New Roman" w:hAnsi="Times New Roman"/>
          <w:spacing w:val="0"/>
          <w:sz w:val="20"/>
        </w:rPr>
      </w:pPr>
      <w:r>
        <w:rPr>
          <w:rFonts w:ascii="Times New Roman" w:hAnsi="Times New Roman"/>
          <w:spacing w:val="0"/>
          <w:sz w:val="20"/>
        </w:rPr>
        <w:t>respectively.</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During </w:t>
      </w:r>
    </w:p>
    <w:p>
      <w:pPr>
        <w:pStyle w:val="TextBody"/>
        <w:spacing w:before="120" w:after="0"/>
        <w:jc w:val="left"/>
        <w:rPr>
          <w:rFonts w:ascii="Times New Roman" w:hAnsi="Times New Roman"/>
          <w:spacing w:val="0"/>
          <w:sz w:val="20"/>
        </w:rPr>
      </w:pPr>
      <w:r>
        <w:rPr>
          <w:rFonts w:ascii="Times New Roman" w:hAnsi="Times New Roman"/>
          <w:spacing w:val="0"/>
          <w:sz w:val="20"/>
        </w:rPr>
        <w:t>the year ended December 31, 2022, total interest expenses of $3,300 and $497 in relation to the senior notes issued by subsidiaries of Melco, were paid o</w:t>
      </w:r>
    </w:p>
    <w:p>
      <w:pPr>
        <w:pStyle w:val="TextBody"/>
        <w:spacing w:before="120" w:after="0"/>
        <w:jc w:val="left"/>
        <w:rPr>
          <w:rFonts w:ascii="Times New Roman" w:hAnsi="Times New Roman"/>
          <w:spacing w:val="0"/>
          <w:sz w:val="20"/>
        </w:rPr>
      </w:pPr>
      <w:r>
        <w:rPr>
          <w:rFonts w:ascii="Times New Roman" w:hAnsi="Times New Roman"/>
          <w:spacing w:val="0"/>
          <w:sz w:val="20"/>
        </w:rPr>
        <w:t>r</w:t>
      </w:r>
    </w:p>
    <w:p>
      <w:pPr>
        <w:pStyle w:val="TextBody"/>
        <w:spacing w:before="120" w:after="0"/>
        <w:jc w:val="left"/>
        <w:rPr>
          <w:spacing w:val="0"/>
        </w:rPr>
      </w:pPr>
      <w:r>
        <w:rPr>
          <w:spacing w:val="0"/>
        </w:rPr>
        <w:t> </w:t>
      </w:r>
      <w:r>
        <w:rPr>
          <w:rFonts w:ascii="Times New Roman" w:hAnsi="Times New Roman"/>
          <w:spacing w:val="0"/>
          <w:sz w:val="20"/>
        </w:rPr>
        <w:t>payable to Mr. Lawrence Yau Lung Ho and his controlled entity; and an independent director of Melco, respectively.</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During the year ended December 31, 2021, total interest expenses of $4,494 and $316 in relation to the senior notes issued by subsidiaries of Melco, were paid or payable to Mr. Lawrence Yau Lung Ho and his controlled entity; and an independent director of Melco, respectively. During the year ended December 31, 2020, total interest expenses of $1,740 and $258 in relation to the senior notes issued by subsidiaries of Melco, were paid or </w:t>
      </w:r>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payable to Mr. Lawrence Yau Lung Ho and his controlled entity; and an independent director of Melco, respectively.</w:t>
      </w:r>
    </w:p>
    <w:p>
      <w:pPr>
        <w:pStyle w:val="TextBody"/>
        <w:spacing w:before="0" w:after="0"/>
        <w:ind w:left="0" w:right="0" w:hanging="0"/>
        <w:jc w:val="left"/>
        <w:rPr>
          <w:spacing w:val="0"/>
        </w:rPr>
      </w:pPr>
      <w:r>
        <w:rPr>
          <w:spacing w:val="0"/>
        </w:rPr>
        <w:t> </w:t>
      </w:r>
    </w:p>
    <w:tbl>
      <w:tblPr>
        <w:tblW w:w="3730" w:type="dxa"/>
        <w:jc w:val="left"/>
        <w:tblInd w:w="0" w:type="dxa"/>
        <w:tblCellMar>
          <w:top w:w="0" w:type="dxa"/>
          <w:left w:w="0" w:type="dxa"/>
          <w:bottom w:w="0" w:type="dxa"/>
          <w:right w:w="0" w:type="dxa"/>
        </w:tblCellMar>
      </w:tblPr>
      <w:tblGrid>
        <w:gridCol w:w="75"/>
        <w:gridCol w:w="275"/>
        <w:gridCol w:w="3380"/>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spacing w:val="0"/>
              </w:rPr>
            </w:pPr>
            <w:r>
              <w:rPr>
                <w:spacing w:val="0"/>
              </w:rPr>
              <w:t>(a)</w:t>
            </w:r>
          </w:p>
        </w:tc>
        <w:tc>
          <w:tcPr>
            <w:tcW w:w="33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Receivables from Affiliated Companies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outstanding balances mainly arising from operating income or prepayment of operating expenses on behalf of the affiliated companies as of December 31, 2022 and 2021 are unsecured, </w:t>
      </w:r>
    </w:p>
    <w:p>
      <w:pPr>
        <w:pStyle w:val="TextBody"/>
        <w:spacing w:before="120" w:after="0"/>
        <w:jc w:val="left"/>
        <w:rPr>
          <w:rFonts w:ascii="Times New Roman" w:hAnsi="Times New Roman"/>
          <w:spacing w:val="0"/>
          <w:sz w:val="20"/>
        </w:rPr>
      </w:pPr>
      <w:r>
        <w:rPr>
          <w:rFonts w:ascii="Times New Roman" w:hAnsi="Times New Roman"/>
          <w:spacing w:val="0"/>
          <w:sz w:val="20"/>
        </w:rPr>
        <w:t>non-interest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bearing and repayable on demand with details as follows: </w:t>
      </w:r>
    </w:p>
    <w:p>
      <w:pPr>
        <w:pStyle w:val="TextBody"/>
        <w:spacing w:before="0" w:after="0"/>
        <w:ind w:left="0" w:right="0" w:hanging="0"/>
        <w:jc w:val="left"/>
        <w:rPr>
          <w:spacing w:val="0"/>
        </w:rPr>
      </w:pPr>
      <w:r>
        <w:rPr>
          <w:spacing w:val="0"/>
        </w:rPr>
        <w:t> </w:t>
      </w:r>
    </w:p>
    <w:tbl>
      <w:tblPr>
        <w:tblW w:w="6230" w:type="dxa"/>
        <w:jc w:val="left"/>
        <w:tblInd w:w="0" w:type="dxa"/>
        <w:tblCellMar>
          <w:top w:w="0" w:type="dxa"/>
          <w:left w:w="0" w:type="dxa"/>
          <w:bottom w:w="0" w:type="dxa"/>
          <w:right w:w="0" w:type="dxa"/>
        </w:tblCellMar>
      </w:tblPr>
      <w:tblGrid>
        <w:gridCol w:w="4685"/>
        <w:gridCol w:w="120"/>
        <w:gridCol w:w="154"/>
        <w:gridCol w:w="421"/>
        <w:gridCol w:w="65"/>
        <w:gridCol w:w="132"/>
        <w:gridCol w:w="154"/>
        <w:gridCol w:w="424"/>
        <w:gridCol w:w="75"/>
      </w:tblGrid>
      <w:tr>
        <w:trPr/>
        <w:tc>
          <w:tcPr>
            <w:tcW w:w="4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68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35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468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7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5" w:type="dxa"/>
            <w:tcBorders/>
            <w:shd w:fill="auto" w:val="clear"/>
            <w:vAlign w:val="center"/>
          </w:tcPr>
          <w:p>
            <w:pPr>
              <w:pStyle w:val="TableContents"/>
              <w:spacing w:before="0" w:after="0"/>
              <w:rPr>
                <w:spacing w:val="0"/>
              </w:rPr>
            </w:pPr>
            <w:r>
              <w:rPr>
                <w:spacing w:val="0"/>
              </w:rPr>
              <w:t> </w:t>
            </w:r>
          </w:p>
        </w:tc>
        <w:tc>
          <w:tcPr>
            <w:tcW w:w="132" w:type="dxa"/>
            <w:tcBorders/>
            <w:shd w:fill="auto" w:val="clear"/>
            <w:vAlign w:val="center"/>
          </w:tcPr>
          <w:p>
            <w:pPr>
              <w:pStyle w:val="TableContents"/>
              <w:spacing w:before="0" w:after="0"/>
              <w:rPr>
                <w:spacing w:val="0"/>
              </w:rPr>
            </w:pPr>
            <w:r>
              <w:rPr>
                <w:spacing w:val="0"/>
              </w:rPr>
              <w:t>  </w:t>
            </w:r>
          </w:p>
        </w:tc>
        <w:tc>
          <w:tcPr>
            <w:tcW w:w="578"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46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Melco International and its subsidiaries and joint venture</w:t>
            </w:r>
          </w:p>
        </w:tc>
        <w:tc>
          <w:tcPr>
            <w:tcW w:w="120" w:type="dxa"/>
            <w:tcBorders/>
            <w:shd w:fill="CCEEFF" w:val="clear"/>
            <w:vAlign w:val="center"/>
          </w:tcPr>
          <w:p>
            <w:pPr>
              <w:pStyle w:val="TableContents"/>
              <w:spacing w:before="0" w:after="0"/>
              <w:rPr>
                <w:spacing w:val="0"/>
              </w:rPr>
            </w:pPr>
            <w:r>
              <w:rPr>
                <w:spacing w:val="0"/>
              </w:rPr>
              <w:t>  </w:t>
            </w:r>
          </w:p>
        </w:tc>
        <w:tc>
          <w:tcPr>
            <w:tcW w:w="154" w:type="dxa"/>
            <w:tcBorders/>
            <w:shd w:fill="CCEEFF" w:val="clear"/>
            <w:vAlign w:val="center"/>
          </w:tcPr>
          <w:p>
            <w:pPr>
              <w:pStyle w:val="TableContents"/>
              <w:spacing w:before="0" w:after="0"/>
              <w:rPr>
                <w:spacing w:val="0"/>
              </w:rPr>
            </w:pPr>
            <w:r>
              <w:rPr>
                <w:spacing w:val="0"/>
              </w:rPr>
              <w:t>$</w:t>
            </w:r>
          </w:p>
        </w:tc>
        <w:tc>
          <w:tcPr>
            <w:tcW w:w="421" w:type="dxa"/>
            <w:tcBorders/>
            <w:shd w:fill="CCEEFF" w:val="clear"/>
            <w:vAlign w:val="center"/>
          </w:tcPr>
          <w:p>
            <w:pPr>
              <w:pStyle w:val="TableContents"/>
              <w:spacing w:before="0" w:after="0"/>
              <w:jc w:val="right"/>
              <w:rPr>
                <w:spacing w:val="0"/>
              </w:rPr>
            </w:pPr>
            <w:r>
              <w:rPr>
                <w:spacing w:val="0"/>
              </w:rPr>
              <w:t>563</w:t>
            </w:r>
          </w:p>
        </w:tc>
        <w:tc>
          <w:tcPr>
            <w:tcW w:w="65" w:type="dxa"/>
            <w:tcBorders/>
            <w:shd w:fill="CCEEFF" w:val="clear"/>
            <w:vAlign w:val="center"/>
          </w:tcPr>
          <w:p>
            <w:pPr>
              <w:pStyle w:val="TableContents"/>
              <w:spacing w:before="0" w:after="0"/>
              <w:rPr>
                <w:spacing w:val="0"/>
              </w:rPr>
            </w:pPr>
            <w:r>
              <w:rPr>
                <w:spacing w:val="0"/>
              </w:rPr>
              <w:t> </w:t>
            </w:r>
          </w:p>
        </w:tc>
        <w:tc>
          <w:tcPr>
            <w:tcW w:w="132" w:type="dxa"/>
            <w:tcBorders/>
            <w:shd w:fill="CCEEFF" w:val="clear"/>
            <w:vAlign w:val="center"/>
          </w:tcPr>
          <w:p>
            <w:pPr>
              <w:pStyle w:val="TableContents"/>
              <w:spacing w:before="0" w:after="0"/>
              <w:rPr>
                <w:spacing w:val="0"/>
              </w:rPr>
            </w:pPr>
            <w:r>
              <w:rPr>
                <w:spacing w:val="0"/>
              </w:rPr>
              <w:t>  </w:t>
            </w:r>
          </w:p>
        </w:tc>
        <w:tc>
          <w:tcPr>
            <w:tcW w:w="154" w:type="dxa"/>
            <w:tcBorders/>
            <w:shd w:fill="CCEEFF" w:val="clear"/>
            <w:vAlign w:val="center"/>
          </w:tcPr>
          <w:p>
            <w:pPr>
              <w:pStyle w:val="TableContents"/>
              <w:spacing w:before="0" w:after="0"/>
              <w:rPr>
                <w:spacing w:val="0"/>
              </w:rPr>
            </w:pPr>
            <w:r>
              <w:rPr>
                <w:spacing w:val="0"/>
              </w:rPr>
              <w:t>$</w:t>
            </w:r>
          </w:p>
        </w:tc>
        <w:tc>
          <w:tcPr>
            <w:tcW w:w="424" w:type="dxa"/>
            <w:tcBorders/>
            <w:shd w:fill="CCEEFF" w:val="clear"/>
            <w:vAlign w:val="center"/>
          </w:tcPr>
          <w:p>
            <w:pPr>
              <w:pStyle w:val="TableContents"/>
              <w:spacing w:before="0" w:after="0"/>
              <w:jc w:val="right"/>
              <w:rPr>
                <w:spacing w:val="0"/>
              </w:rPr>
            </w:pPr>
            <w:r>
              <w:rPr>
                <w:spacing w:val="0"/>
              </w:rPr>
              <w:t>384</w:t>
            </w:r>
          </w:p>
        </w:tc>
        <w:tc>
          <w:tcPr>
            <w:tcW w:w="75" w:type="dxa"/>
            <w:tcBorders/>
            <w:shd w:fill="CCEEFF" w:val="clear"/>
            <w:vAlign w:val="center"/>
          </w:tcPr>
          <w:p>
            <w:pPr>
              <w:pStyle w:val="TableContents"/>
              <w:spacing w:before="0" w:after="0"/>
              <w:rPr>
                <w:spacing w:val="0"/>
              </w:rPr>
            </w:pPr>
            <w:r>
              <w:rPr>
                <w:spacing w:val="0"/>
              </w:rPr>
              <w:t> </w:t>
            </w:r>
          </w:p>
        </w:tc>
      </w:tr>
      <w:tr>
        <w:trPr/>
        <w:tc>
          <w:tcPr>
            <w:tcW w:w="46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Other</w:t>
            </w:r>
          </w:p>
        </w:tc>
        <w:tc>
          <w:tcPr>
            <w:tcW w:w="12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421" w:type="dxa"/>
            <w:tcBorders/>
            <w:shd w:fill="auto" w:val="clear"/>
            <w:vAlign w:val="center"/>
          </w:tcPr>
          <w:p>
            <w:pPr>
              <w:pStyle w:val="TableContents"/>
              <w:spacing w:before="0" w:after="283"/>
              <w:jc w:val="right"/>
              <w:rPr/>
            </w:pPr>
            <w:r>
              <w:rPr/>
              <w:t>67</w:t>
            </w:r>
          </w:p>
        </w:tc>
        <w:tc>
          <w:tcPr>
            <w:tcW w:w="65" w:type="dxa"/>
            <w:tcBorders/>
            <w:shd w:fill="auto" w:val="clear"/>
            <w:vAlign w:val="center"/>
          </w:tcPr>
          <w:p>
            <w:pPr>
              <w:pStyle w:val="TableContents"/>
              <w:spacing w:before="0" w:after="283"/>
              <w:rPr/>
            </w:pPr>
            <w:r>
              <w:rPr/>
              <w:t> </w:t>
            </w:r>
          </w:p>
        </w:tc>
        <w:tc>
          <w:tcPr>
            <w:tcW w:w="132"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rPr/>
            </w:pPr>
            <w:r>
              <w:rPr/>
              <w:t> </w:t>
            </w:r>
          </w:p>
        </w:tc>
        <w:tc>
          <w:tcPr>
            <w:tcW w:w="42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468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421"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5" w:type="dxa"/>
            <w:tcBorders/>
            <w:shd w:fill="auto" w:val="clear"/>
            <w:vAlign w:val="center"/>
          </w:tcPr>
          <w:p>
            <w:pPr>
              <w:pStyle w:val="TableContents"/>
              <w:spacing w:before="0" w:after="0"/>
              <w:rPr>
                <w:spacing w:val="0"/>
              </w:rPr>
            </w:pPr>
            <w:r>
              <w:rPr>
                <w:spacing w:val="0"/>
              </w:rPr>
              <w:t> </w:t>
            </w:r>
          </w:p>
        </w:tc>
        <w:tc>
          <w:tcPr>
            <w:tcW w:w="132" w:type="dxa"/>
            <w:tcBorders/>
            <w:shd w:fill="auto" w:val="clear"/>
            <w:vAlign w:val="center"/>
          </w:tcPr>
          <w:p>
            <w:pPr>
              <w:pStyle w:val="TableContents"/>
              <w:spacing w:before="0" w:after="0"/>
              <w:rPr>
                <w:spacing w:val="0"/>
              </w:rPr>
            </w:pPr>
            <w:r>
              <w:rPr>
                <w:spacing w:val="0"/>
              </w:rPr>
              <w:t>  </w:t>
            </w:r>
          </w:p>
        </w:tc>
        <w:tc>
          <w:tcPr>
            <w:tcW w:w="15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424"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0"/>
              <w:rPr>
                <w:spacing w:val="0"/>
              </w:rPr>
            </w:pPr>
            <w:r>
              <w:rPr>
                <w:spacing w:val="0"/>
              </w:rPr>
              <w:t> </w:t>
            </w:r>
          </w:p>
        </w:tc>
      </w:tr>
      <w:tr>
        <w:trPr/>
        <w:tc>
          <w:tcPr>
            <w:tcW w:w="468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ind w:left="0" w:right="0" w:hanging="0"/>
              <w:rPr/>
            </w:pPr>
            <w:r>
              <w:rPr/>
              <w:t>  </w:t>
            </w:r>
          </w:p>
        </w:tc>
        <w:tc>
          <w:tcPr>
            <w:tcW w:w="154" w:type="dxa"/>
            <w:tcBorders/>
            <w:shd w:fill="CCEEFF" w:val="clear"/>
            <w:vAlign w:val="center"/>
          </w:tcPr>
          <w:p>
            <w:pPr>
              <w:pStyle w:val="TableContents"/>
              <w:spacing w:before="0" w:after="0"/>
              <w:rPr>
                <w:spacing w:val="0"/>
              </w:rPr>
            </w:pPr>
            <w:r>
              <w:rPr>
                <w:spacing w:val="0"/>
              </w:rPr>
              <w:t>$</w:t>
            </w:r>
          </w:p>
          <w:p>
            <w:pPr>
              <w:pStyle w:val="TableContents"/>
              <w:spacing w:before="0" w:after="0"/>
              <w:rPr/>
            </w:pPr>
            <w:r>
              <w:rPr/>
            </w:r>
          </w:p>
        </w:tc>
        <w:tc>
          <w:tcPr>
            <w:tcW w:w="421" w:type="dxa"/>
            <w:tcBorders/>
            <w:shd w:fill="CCEEFF" w:val="clear"/>
            <w:vAlign w:val="center"/>
          </w:tcPr>
          <w:p>
            <w:pPr>
              <w:pStyle w:val="TableContents"/>
              <w:spacing w:before="0" w:after="283"/>
              <w:jc w:val="right"/>
              <w:rPr/>
            </w:pPr>
            <w:r>
              <w:rPr/>
              <w:t>630</w:t>
            </w:r>
          </w:p>
        </w:tc>
        <w:tc>
          <w:tcPr>
            <w:tcW w:w="65" w:type="dxa"/>
            <w:tcBorders/>
            <w:shd w:fill="CCEEFF" w:val="clear"/>
            <w:vAlign w:val="center"/>
          </w:tcPr>
          <w:p>
            <w:pPr>
              <w:pStyle w:val="TableContents"/>
              <w:spacing w:before="0" w:after="283"/>
              <w:rPr/>
            </w:pPr>
            <w:r>
              <w:rPr/>
              <w:t> </w:t>
            </w:r>
          </w:p>
        </w:tc>
        <w:tc>
          <w:tcPr>
            <w:tcW w:w="132"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0"/>
              <w:ind w:left="0" w:right="0" w:hanging="0"/>
              <w:rPr>
                <w:spacing w:val="0"/>
              </w:rPr>
            </w:pPr>
            <w:r>
              <w:rPr>
                <w:spacing w:val="0"/>
              </w:rPr>
              <w:t>$</w:t>
            </w:r>
          </w:p>
          <w:p>
            <w:pPr>
              <w:pStyle w:val="TableContents"/>
              <w:spacing w:before="0" w:after="0"/>
              <w:rPr/>
            </w:pPr>
            <w:r>
              <w:rPr/>
            </w:r>
          </w:p>
        </w:tc>
        <w:tc>
          <w:tcPr>
            <w:tcW w:w="424" w:type="dxa"/>
            <w:tcBorders/>
            <w:shd w:fill="CCEEFF" w:val="clear"/>
            <w:vAlign w:val="center"/>
          </w:tcPr>
          <w:p>
            <w:pPr>
              <w:pStyle w:val="TableContents"/>
              <w:spacing w:before="0" w:after="283"/>
              <w:jc w:val="right"/>
              <w:rPr/>
            </w:pPr>
            <w:r>
              <w:rPr/>
              <w:t>384</w:t>
            </w:r>
          </w:p>
        </w:tc>
        <w:tc>
          <w:tcPr>
            <w:tcW w:w="75" w:type="dxa"/>
            <w:tcBorders/>
            <w:shd w:fill="CCEEFF" w:val="clear"/>
            <w:vAlign w:val="center"/>
          </w:tcPr>
          <w:p>
            <w:pPr>
              <w:pStyle w:val="TableContents"/>
              <w:spacing w:before="0" w:after="283"/>
              <w:rPr/>
            </w:pPr>
            <w:r>
              <w:rPr/>
              <w:t> </w:t>
            </w:r>
          </w:p>
        </w:tc>
      </w:tr>
      <w:tr>
        <w:trPr/>
        <w:tc>
          <w:tcPr>
            <w:tcW w:w="46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421"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5" w:type="dxa"/>
            <w:tcBorders/>
            <w:shd w:fill="auto" w:val="clear"/>
            <w:vAlign w:val="center"/>
          </w:tcPr>
          <w:p>
            <w:pPr>
              <w:pStyle w:val="TableContents"/>
              <w:spacing w:before="0" w:after="0"/>
              <w:rPr>
                <w:spacing w:val="0"/>
              </w:rPr>
            </w:pPr>
            <w:r>
              <w:rPr>
                <w:spacing w:val="0"/>
              </w:rPr>
              <w:t> </w:t>
            </w:r>
          </w:p>
        </w:tc>
        <w:tc>
          <w:tcPr>
            <w:tcW w:w="132" w:type="dxa"/>
            <w:tcBorders/>
            <w:shd w:fill="auto" w:val="clear"/>
            <w:vAlign w:val="center"/>
          </w:tcPr>
          <w:p>
            <w:pPr>
              <w:pStyle w:val="TableContents"/>
              <w:spacing w:before="0" w:after="0"/>
              <w:rPr>
                <w:spacing w:val="0"/>
              </w:rPr>
            </w:pPr>
            <w:r>
              <w:rPr>
                <w:spacing w:val="0"/>
              </w:rPr>
              <w:t>  </w:t>
            </w:r>
          </w:p>
        </w:tc>
        <w:tc>
          <w:tcPr>
            <w:tcW w:w="15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424"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0"/>
              <w:rPr>
                <w:spacing w:val="0"/>
              </w:rPr>
            </w:pPr>
            <w:r>
              <w:rPr>
                <w:spacing w:val="0"/>
              </w:rPr>
              <w:t> </w:t>
            </w:r>
          </w:p>
        </w:tc>
      </w:tr>
    </w:tbl>
    <w:p>
      <w:pPr>
        <w:pStyle w:val="TextBody"/>
        <w:spacing w:before="0" w:after="0"/>
        <w:ind w:left="0" w:right="0" w:hanging="0"/>
        <w:jc w:val="left"/>
        <w:rPr>
          <w:spacing w:val="0"/>
        </w:rPr>
      </w:pPr>
      <w:r>
        <w:rPr>
          <w:spacing w:val="0"/>
        </w:rPr>
        <w:t> </w:t>
      </w:r>
    </w:p>
    <w:tbl>
      <w:tblPr>
        <w:tblW w:w="3205" w:type="dxa"/>
        <w:jc w:val="left"/>
        <w:tblInd w:w="0" w:type="dxa"/>
        <w:tblCellMar>
          <w:top w:w="0" w:type="dxa"/>
          <w:left w:w="0" w:type="dxa"/>
          <w:bottom w:w="0" w:type="dxa"/>
          <w:right w:w="0" w:type="dxa"/>
        </w:tblCellMar>
      </w:tblPr>
      <w:tblGrid>
        <w:gridCol w:w="75"/>
        <w:gridCol w:w="290"/>
        <w:gridCol w:w="284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(b)</w:t>
            </w:r>
          </w:p>
        </w:tc>
        <w:tc>
          <w:tcPr>
            <w:tcW w:w="284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Payables to Affiliated Companies</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outstanding balances mainly arising from operating expenses and expenses paid by affiliated companies on behalf of the Company as of December 31, 2022 and 2021, are unsecured, non-interest bearing and repayable on demand with details as follows: </w:t>
      </w:r>
    </w:p>
    <w:p>
      <w:pPr>
        <w:pStyle w:val="TextBody"/>
        <w:spacing w:before="0" w:after="0"/>
        <w:ind w:left="0" w:right="0" w:hanging="0"/>
        <w:jc w:val="left"/>
        <w:rPr>
          <w:spacing w:val="0"/>
        </w:rPr>
      </w:pPr>
      <w:r>
        <w:rPr>
          <w:spacing w:val="0"/>
        </w:rPr>
        <w:t> </w:t>
      </w:r>
    </w:p>
    <w:tbl>
      <w:tblPr>
        <w:tblW w:w="4555" w:type="dxa"/>
        <w:jc w:val="left"/>
        <w:tblInd w:w="0" w:type="dxa"/>
        <w:tblCellMar>
          <w:top w:w="0" w:type="dxa"/>
          <w:left w:w="0" w:type="dxa"/>
          <w:bottom w:w="0" w:type="dxa"/>
          <w:right w:w="0" w:type="dxa"/>
        </w:tblCellMar>
      </w:tblPr>
      <w:tblGrid>
        <w:gridCol w:w="2900"/>
        <w:gridCol w:w="120"/>
        <w:gridCol w:w="140"/>
        <w:gridCol w:w="440"/>
        <w:gridCol w:w="60"/>
        <w:gridCol w:w="120"/>
        <w:gridCol w:w="140"/>
        <w:gridCol w:w="560"/>
        <w:gridCol w:w="75"/>
      </w:tblGrid>
      <w:tr>
        <w:trPr/>
        <w:tc>
          <w:tcPr>
            <w:tcW w:w="29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9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60" w:type="dxa"/>
            <w:gridSpan w:val="6"/>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9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5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70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75" w:type="dxa"/>
            <w:tcBorders/>
            <w:shd w:fill="auto" w:val="clear"/>
            <w:vAlign w:val="center"/>
          </w:tcPr>
          <w:p>
            <w:pPr>
              <w:pStyle w:val="TableContents"/>
              <w:spacing w:before="0" w:after="0"/>
              <w:rPr>
                <w:spacing w:val="0"/>
              </w:rPr>
            </w:pPr>
            <w:r>
              <w:rPr>
                <w:spacing w:val="0"/>
              </w:rPr>
              <w:t> </w:t>
            </w:r>
          </w:p>
        </w:tc>
      </w:tr>
      <w:tr>
        <w:trPr/>
        <w:tc>
          <w:tcPr>
            <w:tcW w:w="29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Subsidiaries of Melco International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440" w:type="dxa"/>
            <w:tcBorders/>
            <w:shd w:fill="CCEEFF" w:val="clear"/>
            <w:vAlign w:val="center"/>
          </w:tcPr>
          <w:p>
            <w:pPr>
              <w:pStyle w:val="TableContents"/>
              <w:spacing w:before="0" w:after="283"/>
              <w:jc w:val="right"/>
              <w:rPr/>
            </w:pPr>
            <w:r>
              <w:rPr/>
              <w:t xml:space="preserve">761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1,536</w:t>
            </w:r>
          </w:p>
        </w:tc>
        <w:tc>
          <w:tcPr>
            <w:tcW w:w="75" w:type="dxa"/>
            <w:tcBorders/>
            <w:shd w:fill="CCEEFF" w:val="clear"/>
            <w:vAlign w:val="center"/>
          </w:tcPr>
          <w:p>
            <w:pPr>
              <w:pStyle w:val="TableContents"/>
              <w:spacing w:before="0" w:after="283"/>
              <w:rPr/>
            </w:pPr>
            <w:r>
              <w:rPr/>
              <w:t> </w:t>
            </w:r>
          </w:p>
        </w:tc>
      </w:tr>
      <w:tr>
        <w:trPr/>
        <w:tc>
          <w:tcPr>
            <w:tcW w:w="29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44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12</w:t>
            </w:r>
          </w:p>
        </w:tc>
        <w:tc>
          <w:tcPr>
            <w:tcW w:w="75" w:type="dxa"/>
            <w:tcBorders/>
            <w:shd w:fill="auto" w:val="clear"/>
            <w:vAlign w:val="center"/>
          </w:tcPr>
          <w:p>
            <w:pPr>
              <w:pStyle w:val="TableContents"/>
              <w:spacing w:before="0" w:after="283"/>
              <w:rPr/>
            </w:pPr>
            <w:r>
              <w:rPr/>
              <w:t> </w:t>
            </w:r>
          </w:p>
        </w:tc>
      </w:tr>
      <w:tr>
        <w:trPr/>
        <w:tc>
          <w:tcPr>
            <w:tcW w:w="2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4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5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90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440" w:type="dxa"/>
            <w:tcBorders/>
            <w:shd w:fill="CCEEFF" w:val="clear"/>
            <w:vAlign w:val="center"/>
          </w:tcPr>
          <w:p>
            <w:pPr>
              <w:pStyle w:val="TableContents"/>
              <w:spacing w:before="0" w:after="283"/>
              <w:jc w:val="right"/>
              <w:rPr/>
            </w:pPr>
            <w:r>
              <w:rPr/>
              <w:t xml:space="preserve">761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560" w:type="dxa"/>
            <w:tcBorders/>
            <w:shd w:fill="CCEEFF" w:val="clear"/>
            <w:vAlign w:val="center"/>
          </w:tcPr>
          <w:p>
            <w:pPr>
              <w:pStyle w:val="TableContents"/>
              <w:spacing w:before="0" w:after="283"/>
              <w:jc w:val="right"/>
              <w:rPr/>
            </w:pPr>
            <w:r>
              <w:rPr/>
              <w:t>1,548</w:t>
            </w:r>
          </w:p>
        </w:tc>
        <w:tc>
          <w:tcPr>
            <w:tcW w:w="75" w:type="dxa"/>
            <w:tcBorders/>
            <w:shd w:fill="CCEEFF" w:val="clear"/>
            <w:vAlign w:val="center"/>
          </w:tcPr>
          <w:p>
            <w:pPr>
              <w:pStyle w:val="TableContents"/>
              <w:spacing w:before="0" w:after="283"/>
              <w:rPr/>
            </w:pPr>
            <w:r>
              <w:rPr/>
              <w:t> </w:t>
            </w:r>
          </w:p>
        </w:tc>
      </w:tr>
      <w:tr>
        <w:trPr/>
        <w:tc>
          <w:tcPr>
            <w:tcW w:w="29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4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5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F-8</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3580" w:type="dxa"/>
        <w:jc w:val="left"/>
        <w:tblInd w:w="0" w:type="dxa"/>
        <w:tblCellMar>
          <w:top w:w="0" w:type="dxa"/>
          <w:left w:w="0" w:type="dxa"/>
          <w:bottom w:w="0" w:type="dxa"/>
          <w:right w:w="0" w:type="dxa"/>
        </w:tblCellMar>
      </w:tblPr>
      <w:tblGrid>
        <w:gridCol w:w="335"/>
        <w:gridCol w:w="3245"/>
      </w:tblGrid>
      <w:tr>
        <w:trPr/>
        <w:tc>
          <w:tcPr>
            <w:tcW w:w="335" w:type="dxa"/>
            <w:tcBorders/>
            <w:shd w:fill="auto" w:val="clear"/>
            <w:vAlign w:val="center"/>
          </w:tcPr>
          <w:p>
            <w:pPr>
              <w:pStyle w:val="TableContents"/>
              <w:spacing w:before="0" w:after="0"/>
              <w:jc w:val="left"/>
              <w:rPr>
                <w:b/>
                <w:spacing w:val="0"/>
              </w:rPr>
            </w:pPr>
            <w:r>
              <w:rPr>
                <w:b/>
                <w:spacing w:val="0"/>
              </w:rPr>
              <w:t>24.</w:t>
            </w:r>
          </w:p>
        </w:tc>
        <w:tc>
          <w:tcPr>
            <w:tcW w:w="32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RELATED PARTY TRANSACTIONS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tbl>
      <w:tblPr>
        <w:tblW w:w="4945" w:type="dxa"/>
        <w:jc w:val="left"/>
        <w:tblInd w:w="0" w:type="dxa"/>
        <w:tblCellMar>
          <w:top w:w="0" w:type="dxa"/>
          <w:left w:w="0" w:type="dxa"/>
          <w:bottom w:w="0" w:type="dxa"/>
          <w:right w:w="0" w:type="dxa"/>
        </w:tblCellMar>
      </w:tblPr>
      <w:tblGrid>
        <w:gridCol w:w="75"/>
        <w:gridCol w:w="275"/>
        <w:gridCol w:w="4595"/>
      </w:tblGrid>
      <w:tr>
        <w:trPr/>
        <w:tc>
          <w:tcPr>
            <w:tcW w:w="75" w:type="dxa"/>
            <w:tcBorders/>
            <w:shd w:fill="auto" w:val="clear"/>
            <w:vAlign w:val="center"/>
          </w:tcPr>
          <w:p>
            <w:pPr>
              <w:pStyle w:val="TableContents"/>
              <w:spacing w:before="0" w:after="0"/>
              <w:rPr>
                <w:spacing w:val="0"/>
              </w:rPr>
            </w:pPr>
            <w:r>
              <w:rPr>
                <w:spacing w:val="0"/>
              </w:rPr>
              <w:t> </w:t>
            </w:r>
          </w:p>
        </w:tc>
        <w:tc>
          <w:tcPr>
            <w:tcW w:w="275" w:type="dxa"/>
            <w:tcBorders/>
            <w:shd w:fill="auto" w:val="clear"/>
            <w:vAlign w:val="center"/>
          </w:tcPr>
          <w:p>
            <w:pPr>
              <w:pStyle w:val="TableContents"/>
              <w:spacing w:before="0" w:after="0"/>
              <w:jc w:val="left"/>
              <w:rPr>
                <w:spacing w:val="0"/>
              </w:rPr>
            </w:pPr>
            <w:r>
              <w:rPr>
                <w:spacing w:val="0"/>
              </w:rPr>
              <w:t>(c)</w:t>
            </w:r>
          </w:p>
        </w:tc>
        <w:tc>
          <w:tcPr>
            <w:tcW w:w="45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Receivables from an Affiliated Company, Non-current</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On March 28, 2022, Melco entered into a facility agreement (the “Facility Agreement”) with Melco International pursuant to which a $250,000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revolving loan facility was granted by Melco as lender to Melco International as borrower for a period of 12 months after the first utilization date (the last day of such period being the “Final Repayment Date”). Melco International could request utilization of all or part of the loan from the date of the Facility Agreement until one month prior to the Final Repayment Date for general corporate purposes of Melco International and its subsidiaries (excluding the Company). Principal amounts outstanding under the Facility Agreement bore interest at an annual rate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of 11%, with outstanding principal amounts and accrued interest payable by Melco International on the Final Repayment Date. On December 30, 2022, Melco and Melco International agreed to amend the Final Repayment Date to June 30, 2024, subject to certain conditions. As of December 31, 2022, the outstanding principal amount under the Facility Agreement </w:t>
      </w:r>
    </w:p>
    <w:p>
      <w:pPr>
        <w:pStyle w:val="TextBody"/>
        <w:spacing w:before="120" w:after="0"/>
        <w:jc w:val="left"/>
        <w:rPr>
          <w:rFonts w:ascii="Times New Roman" w:hAnsi="Times New Roman"/>
          <w:spacing w:val="0"/>
          <w:sz w:val="20"/>
        </w:rPr>
      </w:pPr>
      <w:r>
        <w:rPr>
          <w:rFonts w:ascii="Times New Roman" w:hAnsi="Times New Roman"/>
          <w:spacing w:val="0"/>
          <w:sz w:val="20"/>
        </w:rPr>
        <w:t>was</w:t>
      </w:r>
    </w:p>
    <w:p>
      <w:pPr>
        <w:pStyle w:val="TextBody"/>
        <w:spacing w:before="120" w:after="0"/>
        <w:jc w:val="left"/>
        <w:rPr>
          <w:spacing w:val="0"/>
        </w:rPr>
      </w:pPr>
      <w:r>
        <w:rPr>
          <w:spacing w:val="0"/>
        </w:rPr>
        <w:t> </w:t>
      </w:r>
      <w:r>
        <w:rPr>
          <w:rFonts w:ascii="Times New Roman" w:hAnsi="Times New Roman"/>
          <w:spacing w:val="0"/>
          <w:sz w:val="20"/>
        </w:rPr>
        <w:t>$200,000 and the remaining outstanding balance mainly represent</w:t>
      </w:r>
    </w:p>
    <w:p>
      <w:pPr>
        <w:pStyle w:val="TextBody"/>
        <w:spacing w:before="120" w:after="0"/>
        <w:jc w:val="left"/>
        <w:rPr>
          <w:rFonts w:ascii="Times New Roman" w:hAnsi="Times New Roman"/>
          <w:spacing w:val="0"/>
          <w:sz w:val="20"/>
        </w:rPr>
      </w:pPr>
      <w:r>
        <w:rPr>
          <w:rFonts w:ascii="Times New Roman" w:hAnsi="Times New Roman"/>
          <w:spacing w:val="0"/>
          <w:sz w:val="20"/>
        </w:rPr>
        <w:t>ed</w:t>
      </w:r>
    </w:p>
    <w:p>
      <w:pPr>
        <w:pStyle w:val="TextBody"/>
        <w:spacing w:before="120" w:after="0"/>
        <w:jc w:val="left"/>
        <w:rPr>
          <w:spacing w:val="0"/>
        </w:rPr>
      </w:pPr>
      <w:r>
        <w:rPr>
          <w:spacing w:val="0"/>
        </w:rPr>
        <w:t> </w:t>
      </w:r>
      <w:r>
        <w:rPr>
          <w:rFonts w:ascii="Times New Roman" w:hAnsi="Times New Roman"/>
          <w:spacing w:val="0"/>
          <w:sz w:val="20"/>
        </w:rPr>
        <w:t xml:space="preserve">the accrued interest payable. No part of the amounts will be repayable within the next twelve months from the balance sheet date and accordingly, the amounts are shown as </w:t>
      </w:r>
    </w:p>
    <w:p>
      <w:pPr>
        <w:pStyle w:val="TextBody"/>
        <w:spacing w:before="120" w:after="0"/>
        <w:jc w:val="left"/>
        <w:rPr>
          <w:rFonts w:ascii="Times New Roman" w:hAnsi="Times New Roman"/>
          <w:spacing w:val="0"/>
          <w:sz w:val="20"/>
        </w:rPr>
      </w:pPr>
      <w:r>
        <w:rPr>
          <w:rFonts w:ascii="Times New Roman" w:hAnsi="Times New Roman"/>
          <w:spacing w:val="0"/>
          <w:sz w:val="20"/>
        </w:rPr>
        <w:t>non-current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assets in the accompanying consolidated balance sheets.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In March 2023, the Facility Agreement was terminated following the settlement of all amounts under the Facility Agreement due by Melco International to Melco in January and March 2023 as disclosed in Note 27(b). </w:t>
      </w:r>
    </w:p>
    <w:p>
      <w:pPr>
        <w:pStyle w:val="TextBody"/>
        <w:spacing w:before="0" w:after="0"/>
        <w:ind w:left="0" w:right="0" w:hanging="0"/>
        <w:jc w:val="left"/>
        <w:rPr>
          <w:spacing w:val="0"/>
        </w:rPr>
      </w:pPr>
      <w:r>
        <w:rPr>
          <w:spacing w:val="0"/>
        </w:rPr>
        <w:t> </w:t>
      </w:r>
    </w:p>
    <w:tbl>
      <w:tblPr>
        <w:tblW w:w="2860" w:type="dxa"/>
        <w:jc w:val="left"/>
        <w:tblInd w:w="0" w:type="dxa"/>
        <w:tblCellMar>
          <w:top w:w="0" w:type="dxa"/>
          <w:left w:w="0" w:type="dxa"/>
          <w:bottom w:w="0" w:type="dxa"/>
          <w:right w:w="0" w:type="dxa"/>
        </w:tblCellMar>
      </w:tblPr>
      <w:tblGrid>
        <w:gridCol w:w="335"/>
        <w:gridCol w:w="2525"/>
      </w:tblGrid>
      <w:tr>
        <w:trPr/>
        <w:tc>
          <w:tcPr>
            <w:tcW w:w="335" w:type="dxa"/>
            <w:tcBorders/>
            <w:shd w:fill="auto" w:val="clear"/>
            <w:vAlign w:val="center"/>
          </w:tcPr>
          <w:p>
            <w:pPr>
              <w:pStyle w:val="TableContents"/>
              <w:spacing w:before="0" w:after="0"/>
              <w:jc w:val="left"/>
              <w:rPr>
                <w:b/>
                <w:spacing w:val="0"/>
              </w:rPr>
            </w:pPr>
            <w:r>
              <w:rPr>
                <w:b/>
                <w:spacing w:val="0"/>
              </w:rPr>
              <w:t>25.</w:t>
            </w:r>
          </w:p>
        </w:tc>
        <w:tc>
          <w:tcPr>
            <w:tcW w:w="252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SEGMENT INFORMATION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is principally engaged in the gaming and hospitality business in Asia and Europe and its principal operating and developmental activities occur in </w:t>
      </w:r>
    </w:p>
    <w:p>
      <w:pPr>
        <w:pStyle w:val="TextBody"/>
        <w:spacing w:before="120" w:after="0"/>
        <w:jc w:val="left"/>
        <w:rPr>
          <w:rFonts w:ascii="Times New Roman" w:hAnsi="Times New Roman"/>
          <w:sz w:val="20"/>
        </w:rPr>
      </w:pPr>
      <w:r>
        <w:rPr>
          <w:rFonts w:ascii="Times New Roman" w:hAnsi="Times New Roman"/>
          <w:sz w:val="20"/>
        </w:rPr>
        <w:t>three</w:t>
      </w:r>
    </w:p>
    <w:p>
      <w:pPr>
        <w:pStyle w:val="TextBody"/>
        <w:spacing w:before="120" w:after="0"/>
        <w:jc w:val="left"/>
        <w:rPr>
          <w:spacing w:val="0"/>
        </w:rPr>
      </w:pPr>
      <w:r>
        <w:rPr>
          <w:spacing w:val="0"/>
        </w:rPr>
        <w:t> </w:t>
      </w:r>
      <w:r>
        <w:rPr>
          <w:rFonts w:ascii="Times New Roman" w:hAnsi="Times New Roman"/>
          <w:spacing w:val="0"/>
          <w:sz w:val="20"/>
        </w:rPr>
        <w:t xml:space="preserve">geographic areas: Macau, the Philippines and Cyprus. The Company monitors its operations and evaluates earnings by reviewing the assets and operations of Mocha, Altira Macau, City of Dreams, Studio City, City of Dreams Manila and Cyprus Operations. Japan development projects, including Japan Ski Resort, are included in the Corporate and Other category. Effective from June 27, 2022, the Grand Dragon Casino, which was previously reported under the Corporate and Other segment, has been included in the Mocha and Other segment as a result of the change of terms of the </w:t>
      </w:r>
    </w:p>
    <w:p>
      <w:pPr>
        <w:pStyle w:val="TextBody"/>
        <w:spacing w:before="120" w:after="0"/>
        <w:jc w:val="left"/>
        <w:rPr>
          <w:rFonts w:ascii="Times New Roman" w:hAnsi="Times New Roman"/>
          <w:spacing w:val="0"/>
          <w:sz w:val="20"/>
        </w:rPr>
      </w:pPr>
      <w:r>
        <w:rPr>
          <w:rFonts w:ascii="Times New Roman" w:hAnsi="Times New Roman"/>
          <w:spacing w:val="0"/>
          <w:sz w:val="20"/>
        </w:rPr>
        <w:t>right-to-use</w:t>
      </w:r>
    </w:p>
    <w:p>
      <w:pPr>
        <w:pStyle w:val="TextBody"/>
        <w:spacing w:before="120" w:after="0"/>
        <w:jc w:val="left"/>
        <w:rPr>
          <w:rFonts w:ascii="Times New Roman" w:hAnsi="Times New Roman"/>
          <w:spacing w:val="0"/>
          <w:sz w:val="20"/>
        </w:rPr>
      </w:pPr>
      <w:r>
        <w:rPr>
          <w:rFonts w:ascii="Times New Roman" w:hAnsi="Times New Roman"/>
          <w:spacing w:val="0"/>
          <w:sz w:val="20"/>
        </w:rPr>
        <w:t>agreement for the Grand Dragon Casino. Grand Dragon Casino’s total assets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4,966 and $2,990 were included the Corporate and Other segment as of December 31, 2021 and 2020, respectively. Grand Dragon Casino’s operating revenues $24,189 and $18,345 were included the Corporate and Other segment during the years ended December 31, 2021 and 2020,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respectively. </w:t>
      </w:r>
    </w:p>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F-8</w:t>
      </w:r>
    </w:p>
    <w:p>
      <w:pPr>
        <w:pStyle w:val="TextBody"/>
        <w:spacing w:before="0" w:after="0"/>
        <w:jc w:val="center"/>
        <w:rPr>
          <w:rFonts w:ascii="Times New Roman" w:hAnsi="Times New Roman"/>
          <w:spacing w:val="0"/>
          <w:sz w:val="20"/>
        </w:rPr>
      </w:pPr>
      <w:r>
        <w:rPr>
          <w:rFonts w:ascii="Times New Roman" w:hAnsi="Times New Roman"/>
          <w:spacing w:val="0"/>
          <w:sz w:val="20"/>
        </w:rPr>
        <w:t>2</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rPr>
          <w:spacing w:val="0"/>
        </w:rPr>
      </w:pPr>
      <w:r>
        <w:rPr>
          <w:spacing w:val="0"/>
        </w:rPr>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815" w:type="dxa"/>
        <w:jc w:val="left"/>
        <w:tblInd w:w="0" w:type="dxa"/>
        <w:tblCellMar>
          <w:top w:w="0" w:type="dxa"/>
          <w:left w:w="0" w:type="dxa"/>
          <w:bottom w:w="0" w:type="dxa"/>
          <w:right w:w="0" w:type="dxa"/>
        </w:tblCellMar>
      </w:tblPr>
      <w:tblGrid>
        <w:gridCol w:w="335"/>
        <w:gridCol w:w="2480"/>
      </w:tblGrid>
      <w:tr>
        <w:trPr/>
        <w:tc>
          <w:tcPr>
            <w:tcW w:w="335" w:type="dxa"/>
            <w:tcBorders/>
            <w:shd w:fill="auto" w:val="clear"/>
            <w:vAlign w:val="center"/>
          </w:tcPr>
          <w:p>
            <w:pPr>
              <w:pStyle w:val="TableContents"/>
              <w:spacing w:before="0" w:after="0"/>
              <w:jc w:val="left"/>
              <w:rPr>
                <w:b/>
                <w:spacing w:val="0"/>
              </w:rPr>
            </w:pPr>
            <w:r>
              <w:rPr>
                <w:b/>
                <w:spacing w:val="0"/>
              </w:rPr>
              <w:t>25.</w:t>
            </w:r>
          </w:p>
        </w:tc>
        <w:tc>
          <w:tcPr>
            <w:tcW w:w="24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SEGMENT INFORMATION</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The Company’s segment information for total assets and capital expenditures is as follows:</w:t>
      </w:r>
    </w:p>
    <w:p>
      <w:pPr>
        <w:pStyle w:val="TextBody"/>
        <w:spacing w:before="0" w:after="0"/>
        <w:ind w:left="0" w:right="0" w:hanging="0"/>
        <w:jc w:val="left"/>
        <w:rPr>
          <w:sz w:val="24"/>
        </w:rPr>
      </w:pPr>
      <w:r>
        <w:rPr>
          <w:sz w:val="24"/>
        </w:rPr>
      </w:r>
    </w:p>
    <w:tbl>
      <w:tblPr>
        <w:tblW w:w="5990" w:type="dxa"/>
        <w:jc w:val="left"/>
        <w:tblInd w:w="0" w:type="dxa"/>
        <w:tblCellMar>
          <w:top w:w="0" w:type="dxa"/>
          <w:left w:w="0" w:type="dxa"/>
          <w:bottom w:w="0" w:type="dxa"/>
          <w:right w:w="0" w:type="dxa"/>
        </w:tblCellMar>
      </w:tblPr>
      <w:tblGrid>
        <w:gridCol w:w="2075"/>
        <w:gridCol w:w="120"/>
        <w:gridCol w:w="140"/>
        <w:gridCol w:w="980"/>
        <w:gridCol w:w="60"/>
        <w:gridCol w:w="120"/>
        <w:gridCol w:w="140"/>
        <w:gridCol w:w="980"/>
        <w:gridCol w:w="60"/>
        <w:gridCol w:w="120"/>
        <w:gridCol w:w="140"/>
        <w:gridCol w:w="980"/>
        <w:gridCol w:w="7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0"/>
              <w:rPr>
                <w:b/>
                <w:spacing w:val="0"/>
              </w:rPr>
            </w:pPr>
            <w:r>
              <w:rPr>
                <w:b/>
                <w:spacing w:val="0"/>
              </w:rPr>
              <w:t>Total Assets</w:t>
            </w:r>
          </w:p>
        </w:tc>
        <w:tc>
          <w:tcPr>
            <w:tcW w:w="120" w:type="dxa"/>
            <w:tcBorders/>
            <w:shd w:fill="auto" w:val="clear"/>
            <w:vAlign w:val="center"/>
          </w:tcPr>
          <w:p>
            <w:pPr>
              <w:pStyle w:val="TableContents"/>
              <w:spacing w:before="0" w:after="0"/>
              <w:rPr>
                <w:spacing w:val="0"/>
              </w:rPr>
            </w:pPr>
            <w:r>
              <w:rPr>
                <w:spacing w:val="0"/>
              </w:rPr>
              <w:t>  </w:t>
            </w:r>
          </w:p>
        </w:tc>
        <w:tc>
          <w:tcPr>
            <w:tcW w:w="3720" w:type="dxa"/>
            <w:gridSpan w:val="10"/>
            <w:tcBorders/>
            <w:shd w:fill="auto" w:val="cle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0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shd w:fill="auto" w:val="cle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shd w:fill="auto" w:val="clear"/>
            <w:vAlign w:val="center"/>
          </w:tcPr>
          <w:p>
            <w:pPr>
              <w:pStyle w:val="TableContents"/>
              <w:spacing w:before="0" w:after="0"/>
              <w:jc w:val="center"/>
              <w:rPr>
                <w:spacing w:val="0"/>
              </w:rPr>
            </w:pPr>
            <w:r>
              <w:rPr>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shd w:fill="auto" w:val="clear"/>
            <w:vAlign w:val="center"/>
          </w:tcPr>
          <w:p>
            <w:pPr>
              <w:pStyle w:val="TableContents"/>
              <w:spacing w:before="0" w:after="0"/>
              <w:jc w:val="center"/>
              <w:rPr>
                <w:spacing w:val="0"/>
              </w:rPr>
            </w:pPr>
            <w:r>
              <w:rPr>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Mocha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122,499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121,214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132,304</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Altira 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239,575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266,161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307,657</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City of Dreams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2,641,875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2,942,233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3,288,051</w:t>
            </w:r>
          </w:p>
        </w:tc>
        <w:tc>
          <w:tcPr>
            <w:tcW w:w="75" w:type="dxa"/>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Studio City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3,924,262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3,668,526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3,407,884</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6,928,211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6,998,134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7,135,896</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 Philippines: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City of Dreams Manila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381,579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576,794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613,664</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565,663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451,771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326,047</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00" w:type="dxa"/>
            <w:gridSpan w:val="4"/>
            <w:tcBorders/>
            <w:shd w:fill="auto" w:val="clear"/>
            <w:vAlign w:val="center"/>
          </w:tcPr>
          <w:p>
            <w:pPr>
              <w:pStyle w:val="TableContents"/>
              <w:spacing w:before="0" w:after="283"/>
              <w:rPr/>
            </w:pPr>
            <w:r>
              <w:rPr/>
              <w:t> </w:t>
            </w:r>
          </w:p>
        </w:tc>
        <w:tc>
          <w:tcPr>
            <w:tcW w:w="1315" w:type="dxa"/>
            <w:gridSpan w:val="4"/>
            <w:tcBorders/>
            <w:shd w:fill="auto" w:val="clear"/>
            <w:vAlign w:val="center"/>
          </w:tcPr>
          <w:p>
            <w:pPr>
              <w:pStyle w:val="TableContents"/>
              <w:spacing w:before="0" w:after="283"/>
              <w:rPr/>
            </w:pPr>
            <w:r>
              <w:rPr/>
              <w:t> </w:t>
            </w:r>
          </w:p>
        </w:tc>
      </w:tr>
      <w:tr>
        <w:trPr/>
        <w:tc>
          <w:tcPr>
            <w:tcW w:w="20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Corporate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1,426,331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856,991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945,360</w:t>
            </w:r>
          </w:p>
        </w:tc>
        <w:tc>
          <w:tcPr>
            <w:tcW w:w="75" w:type="dxa"/>
            <w:tcBorders/>
            <w:shd w:fill="CCEEFF"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consolidated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9,301,784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8,883,690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9,020,967</w:t>
            </w:r>
          </w:p>
        </w:tc>
        <w:tc>
          <w:tcPr>
            <w:tcW w:w="75"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sz w:val="24"/>
        </w:rPr>
      </w:pPr>
      <w:r>
        <w:rPr>
          <w:sz w:val="24"/>
        </w:rPr>
      </w:r>
    </w:p>
    <w:tbl>
      <w:tblPr>
        <w:tblW w:w="5645" w:type="dxa"/>
        <w:jc w:val="left"/>
        <w:tblInd w:w="0" w:type="dxa"/>
        <w:tblCellMar>
          <w:top w:w="0" w:type="dxa"/>
          <w:left w:w="0" w:type="dxa"/>
          <w:bottom w:w="0" w:type="dxa"/>
          <w:right w:w="0" w:type="dxa"/>
        </w:tblCellMar>
      </w:tblPr>
      <w:tblGrid>
        <w:gridCol w:w="2210"/>
        <w:gridCol w:w="120"/>
        <w:gridCol w:w="140"/>
        <w:gridCol w:w="800"/>
        <w:gridCol w:w="60"/>
        <w:gridCol w:w="120"/>
        <w:gridCol w:w="140"/>
        <w:gridCol w:w="800"/>
        <w:gridCol w:w="60"/>
        <w:gridCol w:w="120"/>
        <w:gridCol w:w="140"/>
        <w:gridCol w:w="860"/>
        <w:gridCol w:w="75"/>
      </w:tblGrid>
      <w:tr>
        <w:trPr/>
        <w:tc>
          <w:tcPr>
            <w:tcW w:w="22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vAlign w:val="center"/>
          </w:tcPr>
          <w:p>
            <w:pPr>
              <w:pStyle w:val="TableContents"/>
              <w:spacing w:before="0" w:after="0"/>
              <w:rPr>
                <w:b/>
                <w:spacing w:val="0"/>
              </w:rPr>
            </w:pPr>
            <w:r>
              <w:rPr>
                <w:b/>
                <w:spacing w:val="0"/>
              </w:rPr>
              <w:t>Capital Expenditures</w:t>
            </w:r>
          </w:p>
        </w:tc>
        <w:tc>
          <w:tcPr>
            <w:tcW w:w="120" w:type="dxa"/>
            <w:tcBorders/>
            <w:shd w:fill="auto" w:val="clear"/>
            <w:vAlign w:val="center"/>
          </w:tcPr>
          <w:p>
            <w:pPr>
              <w:pStyle w:val="TableContents"/>
              <w:spacing w:before="0" w:after="0"/>
              <w:rPr>
                <w:spacing w:val="0"/>
              </w:rPr>
            </w:pPr>
            <w:r>
              <w:rPr>
                <w:spacing w:val="0"/>
              </w:rPr>
              <w:t>  </w:t>
            </w:r>
          </w:p>
        </w:tc>
        <w:tc>
          <w:tcPr>
            <w:tcW w:w="3240" w:type="dxa"/>
            <w:gridSpan w:val="10"/>
            <w:tcBorders/>
            <w:shd w:fill="auto" w:val="clear"/>
            <w:vAlign w:val="center"/>
          </w:tcPr>
          <w:p>
            <w:pPr>
              <w:pStyle w:val="TableContents"/>
              <w:spacing w:before="0" w:after="0"/>
              <w:jc w:val="center"/>
              <w:rPr>
                <w:spacing w:val="0"/>
              </w:rPr>
            </w:pPr>
            <w:r>
              <w:rPr>
                <w:spacing w:val="0"/>
              </w:rPr>
              <w:t>Year Ended December 31,</w:t>
            </w:r>
          </w:p>
        </w:tc>
        <w:tc>
          <w:tcPr>
            <w:tcW w:w="75" w:type="dxa"/>
            <w:tcBorders/>
            <w:shd w:fill="auto" w:val="clear"/>
            <w:vAlign w:val="center"/>
          </w:tcPr>
          <w:p>
            <w:pPr>
              <w:pStyle w:val="TableContents"/>
              <w:spacing w:before="0" w:after="0"/>
              <w:rPr>
                <w:spacing w:val="0"/>
              </w:rPr>
            </w:pPr>
            <w:r>
              <w:rPr>
                <w:spacing w:val="0"/>
              </w:rPr>
              <w:t> </w:t>
            </w:r>
          </w:p>
        </w:tc>
      </w:tr>
      <w:tr>
        <w:trPr/>
        <w:tc>
          <w:tcPr>
            <w:tcW w:w="221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shd w:fill="auto" w:val="cle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shd w:fill="auto" w:val="clear"/>
            <w:vAlign w:val="center"/>
          </w:tcPr>
          <w:p>
            <w:pPr>
              <w:pStyle w:val="TableContents"/>
              <w:spacing w:before="0" w:after="0"/>
              <w:jc w:val="center"/>
              <w:rPr>
                <w:spacing w:val="0"/>
              </w:rPr>
            </w:pPr>
            <w:r>
              <w:rPr>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00" w:type="dxa"/>
            <w:gridSpan w:val="2"/>
            <w:tcBorders/>
            <w:shd w:fill="auto" w:val="clear"/>
            <w:vAlign w:val="center"/>
          </w:tcPr>
          <w:p>
            <w:pPr>
              <w:pStyle w:val="TableContents"/>
              <w:spacing w:before="0" w:after="0"/>
              <w:jc w:val="center"/>
              <w:rPr>
                <w:spacing w:val="0"/>
              </w:rPr>
            </w:pPr>
            <w:r>
              <w:rPr>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86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Mocha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1,704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1,368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jc w:val="right"/>
              <w:rPr/>
            </w:pPr>
            <w:r>
              <w:rPr/>
              <w:t>3,490</w:t>
            </w:r>
          </w:p>
        </w:tc>
        <w:tc>
          <w:tcPr>
            <w:tcW w:w="75"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Altira 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3,303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6,123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11,519</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City of Dreams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21,684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52,520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119,014</w:t>
            </w:r>
          </w:p>
        </w:tc>
        <w:tc>
          <w:tcPr>
            <w:tcW w:w="75"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Studio City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429,362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505,783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214,625</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456,053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565,794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348,648</w:t>
            </w:r>
          </w:p>
        </w:tc>
        <w:tc>
          <w:tcPr>
            <w:tcW w:w="75"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1120" w:type="dxa"/>
            <w:gridSpan w:val="4"/>
            <w:tcBorders/>
            <w:shd w:fill="auto" w:val="clear"/>
            <w:vAlign w:val="center"/>
          </w:tcPr>
          <w:p>
            <w:pPr>
              <w:pStyle w:val="TableContents"/>
              <w:spacing w:before="0" w:after="283"/>
              <w:rPr/>
            </w:pPr>
            <w:r>
              <w:rPr/>
              <w:t> </w:t>
            </w:r>
          </w:p>
        </w:tc>
        <w:tc>
          <w:tcPr>
            <w:tcW w:w="1120" w:type="dxa"/>
            <w:gridSpan w:val="4"/>
            <w:tcBorders/>
            <w:shd w:fill="auto" w:val="clear"/>
            <w:vAlign w:val="center"/>
          </w:tcPr>
          <w:p>
            <w:pPr>
              <w:pStyle w:val="TableContents"/>
              <w:spacing w:before="0" w:after="283"/>
              <w:rPr/>
            </w:pPr>
            <w:r>
              <w:rPr/>
              <w:t> </w:t>
            </w:r>
          </w:p>
        </w:tc>
        <w:tc>
          <w:tcPr>
            <w:tcW w:w="1195" w:type="dxa"/>
            <w:gridSpan w:val="4"/>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 Philippines: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City of Dreams Manila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4,986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22,912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15,622</w:t>
            </w:r>
          </w:p>
        </w:tc>
        <w:tc>
          <w:tcPr>
            <w:tcW w:w="75"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1120" w:type="dxa"/>
            <w:gridSpan w:val="4"/>
            <w:tcBorders/>
            <w:shd w:fill="auto" w:val="clear"/>
            <w:vAlign w:val="center"/>
          </w:tcPr>
          <w:p>
            <w:pPr>
              <w:pStyle w:val="TableContents"/>
              <w:spacing w:before="0" w:after="283"/>
              <w:rPr/>
            </w:pPr>
            <w:r>
              <w:rPr/>
              <w:t> </w:t>
            </w:r>
          </w:p>
        </w:tc>
        <w:tc>
          <w:tcPr>
            <w:tcW w:w="1120" w:type="dxa"/>
            <w:gridSpan w:val="4"/>
            <w:tcBorders/>
            <w:shd w:fill="auto" w:val="clear"/>
            <w:vAlign w:val="center"/>
          </w:tcPr>
          <w:p>
            <w:pPr>
              <w:pStyle w:val="TableContents"/>
              <w:spacing w:before="0" w:after="283"/>
              <w:rPr/>
            </w:pPr>
            <w:r>
              <w:rPr/>
              <w:t> </w:t>
            </w:r>
          </w:p>
        </w:tc>
        <w:tc>
          <w:tcPr>
            <w:tcW w:w="1195" w:type="dxa"/>
            <w:gridSpan w:val="4"/>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131,419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186,361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60" w:type="dxa"/>
            <w:tcBorders/>
            <w:shd w:fill="auto" w:val="clear"/>
            <w:vAlign w:val="center"/>
          </w:tcPr>
          <w:p>
            <w:pPr>
              <w:pStyle w:val="TableContents"/>
              <w:spacing w:before="0" w:after="283"/>
              <w:jc w:val="right"/>
              <w:rPr/>
            </w:pPr>
            <w:r>
              <w:rPr/>
              <w:t>74,523</w:t>
            </w:r>
          </w:p>
        </w:tc>
        <w:tc>
          <w:tcPr>
            <w:tcW w:w="75"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1120" w:type="dxa"/>
            <w:gridSpan w:val="4"/>
            <w:tcBorders/>
            <w:shd w:fill="auto" w:val="clear"/>
            <w:vAlign w:val="center"/>
          </w:tcPr>
          <w:p>
            <w:pPr>
              <w:pStyle w:val="TableContents"/>
              <w:spacing w:before="0" w:after="283"/>
              <w:rPr/>
            </w:pPr>
            <w:r>
              <w:rPr/>
              <w:t> </w:t>
            </w:r>
          </w:p>
        </w:tc>
        <w:tc>
          <w:tcPr>
            <w:tcW w:w="1120" w:type="dxa"/>
            <w:gridSpan w:val="4"/>
            <w:tcBorders/>
            <w:shd w:fill="auto" w:val="clear"/>
            <w:vAlign w:val="center"/>
          </w:tcPr>
          <w:p>
            <w:pPr>
              <w:pStyle w:val="TableContents"/>
              <w:spacing w:before="0" w:after="283"/>
              <w:rPr/>
            </w:pPr>
            <w:r>
              <w:rPr/>
              <w:t> </w:t>
            </w:r>
          </w:p>
        </w:tc>
        <w:tc>
          <w:tcPr>
            <w:tcW w:w="1195" w:type="dxa"/>
            <w:gridSpan w:val="4"/>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Corporate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5,956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7,083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60" w:type="dxa"/>
            <w:tcBorders/>
            <w:shd w:fill="CCEEFF" w:val="clear"/>
            <w:vAlign w:val="center"/>
          </w:tcPr>
          <w:p>
            <w:pPr>
              <w:pStyle w:val="TableContents"/>
              <w:spacing w:before="0" w:after="283"/>
              <w:jc w:val="right"/>
              <w:rPr/>
            </w:pPr>
            <w:r>
              <w:rPr/>
              <w:t>25,460</w:t>
            </w:r>
          </w:p>
        </w:tc>
        <w:tc>
          <w:tcPr>
            <w:tcW w:w="75" w:type="dxa"/>
            <w:tcBorders/>
            <w:shd w:fill="CCEEFF"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6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capital expenditures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598,414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782,150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jc w:val="right"/>
              <w:rPr/>
            </w:pPr>
            <w:r>
              <w:rPr/>
              <w:t> </w:t>
            </w:r>
            <w:r>
              <w:rPr/>
              <w:t>464,253</w:t>
            </w:r>
          </w:p>
        </w:tc>
        <w:tc>
          <w:tcPr>
            <w:tcW w:w="75"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6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TextBody"/>
        <w:spacing w:before="0" w:after="0"/>
        <w:jc w:val="center"/>
        <w:rPr>
          <w:rFonts w:ascii="Times New Roman" w:hAnsi="Times New Roman"/>
          <w:spacing w:val="0"/>
          <w:sz w:val="20"/>
        </w:rPr>
      </w:pPr>
      <w:r>
        <w:rPr>
          <w:rFonts w:ascii="Times New Roman" w:hAnsi="Times New Roman"/>
          <w:spacing w:val="0"/>
          <w:sz w:val="20"/>
        </w:rPr>
        <w:t>3</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pPr>
      <w:r>
        <w:rPr/>
        <w:t> </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 w:hAnsi="Times New Roman"/>
          <w:sz w:val="20"/>
        </w:rPr>
        <w:t>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815" w:type="dxa"/>
        <w:jc w:val="left"/>
        <w:tblInd w:w="0" w:type="dxa"/>
        <w:tblCellMar>
          <w:top w:w="0" w:type="dxa"/>
          <w:left w:w="0" w:type="dxa"/>
          <w:bottom w:w="0" w:type="dxa"/>
          <w:right w:w="0" w:type="dxa"/>
        </w:tblCellMar>
      </w:tblPr>
      <w:tblGrid>
        <w:gridCol w:w="335"/>
        <w:gridCol w:w="2480"/>
      </w:tblGrid>
      <w:tr>
        <w:trPr/>
        <w:tc>
          <w:tcPr>
            <w:tcW w:w="335" w:type="dxa"/>
            <w:tcBorders/>
            <w:shd w:fill="auto" w:val="clear"/>
            <w:vAlign w:val="center"/>
          </w:tcPr>
          <w:p>
            <w:pPr>
              <w:pStyle w:val="TableContents"/>
              <w:spacing w:before="0" w:after="0"/>
              <w:jc w:val="left"/>
              <w:rPr>
                <w:b/>
                <w:spacing w:val="0"/>
              </w:rPr>
            </w:pPr>
            <w:r>
              <w:rPr>
                <w:b/>
                <w:spacing w:val="0"/>
              </w:rPr>
              <w:t>25.</w:t>
            </w:r>
          </w:p>
        </w:tc>
        <w:tc>
          <w:tcPr>
            <w:tcW w:w="24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SEGMENT INFORMATION</w:t>
            </w:r>
          </w:p>
          <w:p>
            <w:pPr>
              <w:pStyle w:val="TableContents"/>
              <w:spacing w:before="0" w:after="0"/>
              <w:jc w:val="left"/>
              <w:rPr/>
            </w:pPr>
            <w:r>
              <w:rPr/>
              <w:t> </w:t>
            </w:r>
            <w:r>
              <w:rPr>
                <w:rFonts w:ascii="Times New Roman" w:hAnsi="Times New Roman"/>
                <w:sz w:val="20"/>
              </w:rPr>
              <w:t>- continued</w:t>
            </w:r>
          </w:p>
        </w:tc>
      </w:tr>
    </w:tbl>
    <w:p>
      <w:pPr>
        <w:pStyle w:val="TextBody"/>
        <w:spacing w:before="0" w:after="0"/>
        <w:ind w:left="0" w:right="0" w:hanging="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Company’s segment information and reconciliation to net loss attributable to Melco Resorts &amp; Entertainment Limited is as follows: </w:t>
      </w:r>
    </w:p>
    <w:p>
      <w:pPr>
        <w:pStyle w:val="TextBody"/>
        <w:spacing w:before="0" w:after="0"/>
        <w:ind w:left="0" w:right="0" w:hanging="0"/>
        <w:jc w:val="left"/>
        <w:rPr>
          <w:spacing w:val="0"/>
        </w:rPr>
      </w:pPr>
      <w:r>
        <w:rPr>
          <w:spacing w:val="0"/>
        </w:rPr>
        <w:t> </w:t>
      </w:r>
    </w:p>
    <w:tbl>
      <w:tblPr>
        <w:tblW w:w="7295" w:type="dxa"/>
        <w:jc w:val="left"/>
        <w:tblInd w:w="0" w:type="dxa"/>
        <w:tblCellMar>
          <w:top w:w="0" w:type="dxa"/>
          <w:left w:w="0" w:type="dxa"/>
          <w:bottom w:w="0" w:type="dxa"/>
          <w:right w:w="0" w:type="dxa"/>
        </w:tblCellMar>
      </w:tblPr>
      <w:tblGrid>
        <w:gridCol w:w="3215"/>
        <w:gridCol w:w="120"/>
        <w:gridCol w:w="140"/>
        <w:gridCol w:w="980"/>
        <w:gridCol w:w="95"/>
        <w:gridCol w:w="120"/>
        <w:gridCol w:w="140"/>
        <w:gridCol w:w="980"/>
        <w:gridCol w:w="155"/>
        <w:gridCol w:w="60"/>
        <w:gridCol w:w="140"/>
        <w:gridCol w:w="980"/>
        <w:gridCol w:w="170"/>
      </w:tblGrid>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79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32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Operating revenues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Macau:</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Mocha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r>
              <w:rPr/>
              <w:t>76,403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84,954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65,322</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Altira Macau</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32,615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56,205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108,854</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City of Dreams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559,684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1,146,919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985,619</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Studio City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175,983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372,277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266,522</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Sub-total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844,685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1,660,355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1,426,317</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395" w:type="dxa"/>
            <w:gridSpan w:val="4"/>
            <w:tcBorders/>
            <w:shd w:fill="auto" w:val="clear"/>
            <w:vAlign w:val="center"/>
          </w:tcPr>
          <w:p>
            <w:pPr>
              <w:pStyle w:val="TableContents"/>
              <w:spacing w:before="0" w:after="283"/>
              <w:rPr/>
            </w:pPr>
            <w:r>
              <w:rPr/>
              <w:t> </w:t>
            </w:r>
          </w:p>
        </w:tc>
        <w:tc>
          <w:tcPr>
            <w:tcW w:w="1350" w:type="dxa"/>
            <w:gridSpan w:val="4"/>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The Philippines: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City of Dreams Manila</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396,392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268,597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224,688</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395" w:type="dxa"/>
            <w:gridSpan w:val="4"/>
            <w:tcBorders/>
            <w:shd w:fill="auto" w:val="clear"/>
            <w:vAlign w:val="center"/>
          </w:tcPr>
          <w:p>
            <w:pPr>
              <w:pStyle w:val="TableContents"/>
              <w:spacing w:before="0" w:after="283"/>
              <w:rPr/>
            </w:pPr>
            <w:r>
              <w:rPr/>
              <w:t> </w:t>
            </w:r>
          </w:p>
        </w:tc>
        <w:tc>
          <w:tcPr>
            <w:tcW w:w="1350" w:type="dxa"/>
            <w:gridSpan w:val="4"/>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Cyprus: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Cyprus Operations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91,255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52,631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51,005</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395" w:type="dxa"/>
            <w:gridSpan w:val="4"/>
            <w:tcBorders/>
            <w:shd w:fill="auto" w:val="clear"/>
            <w:vAlign w:val="center"/>
          </w:tcPr>
          <w:p>
            <w:pPr>
              <w:pStyle w:val="TableContents"/>
              <w:spacing w:before="0" w:after="283"/>
              <w:rPr/>
            </w:pPr>
            <w:r>
              <w:rPr/>
              <w:t> </w:t>
            </w:r>
          </w:p>
        </w:tc>
        <w:tc>
          <w:tcPr>
            <w:tcW w:w="1350" w:type="dxa"/>
            <w:gridSpan w:val="4"/>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Corporate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17,645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30,773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25,913</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1,349,977</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2,012,356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1,727,923</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395" w:type="dxa"/>
            <w:gridSpan w:val="4"/>
            <w:tcBorders/>
            <w:shd w:fill="auto" w:val="clear"/>
            <w:vAlign w:val="center"/>
          </w:tcPr>
          <w:p>
            <w:pPr>
              <w:pStyle w:val="TableContents"/>
              <w:spacing w:before="0" w:after="283"/>
              <w:rPr/>
            </w:pPr>
            <w:r>
              <w:rPr/>
              <w:t> </w:t>
            </w:r>
          </w:p>
        </w:tc>
        <w:tc>
          <w:tcPr>
            <w:tcW w:w="1350" w:type="dxa"/>
            <w:gridSpan w:val="4"/>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z w:val="19"/>
              </w:rPr>
            </w:pPr>
            <w:r>
              <w:rPr>
                <w:rFonts w:ascii="Times New Roman" w:hAnsi="Times New Roman"/>
                <w:sz w:val="19"/>
              </w:rPr>
              <w:t>Adjusted property EBITDA</w:t>
            </w:r>
          </w:p>
          <w:p>
            <w:pPr>
              <w:pStyle w:val="TableContents"/>
              <w:spacing w:before="0" w:after="0"/>
              <w:rPr>
                <w:rFonts w:ascii="Times New Roman" w:hAnsi="Times New Roman"/>
                <w:sz w:val="11"/>
              </w:rPr>
            </w:pPr>
            <w:r>
              <w:rPr>
                <w:rFonts w:ascii="Times New Roman" w:hAnsi="Times New Roman"/>
                <w:sz w:val="11"/>
              </w:rPr>
              <w:t xml:space="preserve">(1)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Mocha and Other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10,291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17,054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3,560</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Altira 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(43,020</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(53,974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(58,773</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City of Dreams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(32,160</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201,954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(1,326</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Studio City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(105,164</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(20,490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(79,000</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(170,053</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144,544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(135,539</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395" w:type="dxa"/>
            <w:gridSpan w:val="4"/>
            <w:tcBorders/>
            <w:shd w:fill="auto" w:val="clear"/>
            <w:vAlign w:val="center"/>
          </w:tcPr>
          <w:p>
            <w:pPr>
              <w:pStyle w:val="TableContents"/>
              <w:spacing w:before="0" w:after="283"/>
              <w:rPr/>
            </w:pPr>
            <w:r>
              <w:rPr/>
              <w:t> </w:t>
            </w:r>
          </w:p>
        </w:tc>
        <w:tc>
          <w:tcPr>
            <w:tcW w:w="1350" w:type="dxa"/>
            <w:gridSpan w:val="4"/>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The Philippines: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City of Dreams Manila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146,926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88,962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28,983</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335" w:type="dxa"/>
            <w:gridSpan w:val="4"/>
            <w:tcBorders/>
            <w:shd w:fill="auto" w:val="clear"/>
            <w:vAlign w:val="center"/>
          </w:tcPr>
          <w:p>
            <w:pPr>
              <w:pStyle w:val="TableContents"/>
              <w:spacing w:before="0" w:after="283"/>
              <w:rPr/>
            </w:pPr>
            <w:r>
              <w:rPr/>
              <w:t> </w:t>
            </w:r>
          </w:p>
        </w:tc>
        <w:tc>
          <w:tcPr>
            <w:tcW w:w="1395" w:type="dxa"/>
            <w:gridSpan w:val="4"/>
            <w:tcBorders/>
            <w:shd w:fill="auto" w:val="clear"/>
            <w:vAlign w:val="center"/>
          </w:tcPr>
          <w:p>
            <w:pPr>
              <w:pStyle w:val="TableContents"/>
              <w:spacing w:before="0" w:after="283"/>
              <w:rPr/>
            </w:pPr>
            <w:r>
              <w:rPr/>
              <w:t> </w:t>
            </w:r>
          </w:p>
        </w:tc>
        <w:tc>
          <w:tcPr>
            <w:tcW w:w="1350" w:type="dxa"/>
            <w:gridSpan w:val="4"/>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Cyprus: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Cyprus Operations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23,696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1,593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2,280</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adjusted property EBITDA</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569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235,099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(104,276</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Payments to the Philippine Parties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(28,894</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(26,371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(12,989</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Pre-opening</w:t>
            </w:r>
          </w:p>
          <w:p>
            <w:pPr>
              <w:pStyle w:val="TableContents"/>
              <w:spacing w:before="0" w:after="0"/>
              <w:rPr>
                <w:rFonts w:ascii="Times New Roman" w:hAnsi="Times New Roman"/>
                <w:sz w:val="19"/>
              </w:rPr>
            </w:pPr>
            <w:r>
              <w:rPr>
                <w:rFonts w:ascii="Times New Roman" w:hAnsi="Times New Roman"/>
                <w:sz w:val="19"/>
              </w:rPr>
              <w:t>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(15,585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(4,157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(1,322</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Development 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(30,677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(25,616</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Amortization of gaming subconcession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(32,785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(57,276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(57,411</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Amortization of land use rights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(22,662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(22,832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(22,886</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Depreciation and amortization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(466,492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(499,739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(538,233</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Land rent to Belle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(2,318</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(2,848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(3,195</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Share-based compensation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(71,809</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(67,957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(54,392</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Property charges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(39,982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(30,575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(47,223</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Corporate and Other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(63,147</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(70,118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(73,014</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Total operating costs and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(743,674</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(812,550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(836,281</w:t>
            </w:r>
          </w:p>
        </w:tc>
        <w:tc>
          <w:tcPr>
            <w:tcW w:w="17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Operating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(743,105</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(577,451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(940,557</w:t>
            </w:r>
          </w:p>
        </w:tc>
        <w:tc>
          <w:tcPr>
            <w:tcW w:w="17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F-8</w:t>
      </w:r>
    </w:p>
    <w:p>
      <w:pPr>
        <w:pStyle w:val="TextBody"/>
        <w:spacing w:before="0" w:after="0"/>
        <w:jc w:val="center"/>
        <w:rPr>
          <w:rFonts w:ascii="Times New Roman" w:hAnsi="Times New Roman"/>
          <w:spacing w:val="0"/>
          <w:sz w:val="20"/>
        </w:rPr>
      </w:pPr>
      <w:r>
        <w:rPr>
          <w:rFonts w:ascii="Times New Roman" w:hAnsi="Times New Roman"/>
          <w:spacing w:val="0"/>
          <w:sz w:val="20"/>
        </w:rPr>
        <w:t>4</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2815" w:type="dxa"/>
        <w:jc w:val="left"/>
        <w:tblInd w:w="0" w:type="dxa"/>
        <w:tblCellMar>
          <w:top w:w="0" w:type="dxa"/>
          <w:left w:w="0" w:type="dxa"/>
          <w:bottom w:w="0" w:type="dxa"/>
          <w:right w:w="0" w:type="dxa"/>
        </w:tblCellMar>
      </w:tblPr>
      <w:tblGrid>
        <w:gridCol w:w="335"/>
        <w:gridCol w:w="2480"/>
      </w:tblGrid>
      <w:tr>
        <w:trPr/>
        <w:tc>
          <w:tcPr>
            <w:tcW w:w="335" w:type="dxa"/>
            <w:tcBorders/>
            <w:shd w:fill="auto" w:val="clear"/>
            <w:vAlign w:val="center"/>
          </w:tcPr>
          <w:p>
            <w:pPr>
              <w:pStyle w:val="TableContents"/>
              <w:spacing w:before="0" w:after="0"/>
              <w:jc w:val="left"/>
              <w:rPr>
                <w:b/>
                <w:spacing w:val="0"/>
              </w:rPr>
            </w:pPr>
            <w:r>
              <w:rPr>
                <w:b/>
                <w:spacing w:val="0"/>
              </w:rPr>
              <w:t>25.</w:t>
            </w:r>
          </w:p>
        </w:tc>
        <w:tc>
          <w:tcPr>
            <w:tcW w:w="24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SEGMENT INFORMATION</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jc w:val="left"/>
        <w:rPr>
          <w:sz w:val="12"/>
        </w:rPr>
      </w:pPr>
      <w:r>
        <w:rPr>
          <w:sz w:val="12"/>
        </w:rPr>
      </w:r>
    </w:p>
    <w:tbl>
      <w:tblPr>
        <w:tblW w:w="9305" w:type="dxa"/>
        <w:jc w:val="left"/>
        <w:tblInd w:w="0" w:type="dxa"/>
        <w:tblCellMar>
          <w:top w:w="0" w:type="dxa"/>
          <w:left w:w="0" w:type="dxa"/>
          <w:bottom w:w="0" w:type="dxa"/>
          <w:right w:w="0" w:type="dxa"/>
        </w:tblCellMar>
      </w:tblPr>
      <w:tblGrid>
        <w:gridCol w:w="5180"/>
        <w:gridCol w:w="120"/>
        <w:gridCol w:w="140"/>
        <w:gridCol w:w="1055"/>
        <w:gridCol w:w="95"/>
        <w:gridCol w:w="120"/>
        <w:gridCol w:w="140"/>
        <w:gridCol w:w="875"/>
        <w:gridCol w:w="155"/>
        <w:gridCol w:w="60"/>
        <w:gridCol w:w="140"/>
        <w:gridCol w:w="1055"/>
        <w:gridCol w:w="170"/>
      </w:tblGrid>
      <w:tr>
        <w:trPr/>
        <w:tc>
          <w:tcPr>
            <w:tcW w:w="51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1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835"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18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     </w:t>
            </w:r>
            <w:r>
              <w:rPr>
                <w:spacing w:val="0"/>
              </w:rPr>
              <w:t>2022     </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5180"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Non-operating</w:t>
            </w:r>
          </w:p>
          <w:p>
            <w:pPr>
              <w:pStyle w:val="TableContents"/>
              <w:spacing w:before="0" w:after="0"/>
              <w:rPr>
                <w:rFonts w:ascii="Times New Roman" w:hAnsi="Times New Roman"/>
                <w:spacing w:val="0"/>
                <w:sz w:val="19"/>
              </w:rPr>
            </w:pPr>
            <w:r>
              <w:rPr>
                <w:rFonts w:ascii="Times New Roman" w:hAnsi="Times New Roman"/>
                <w:spacing w:val="0"/>
                <w:sz w:val="19"/>
              </w:rPr>
              <w:t>income (expenses):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180"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Interest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26,458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6,618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5,134</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Interest expenses, net of amounts capitalized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(376,722</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(350,544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(340,839</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Other financing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(6,396</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(11,033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(7,955</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Foreign exchange gains (losses),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3,904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4,566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(2,079</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Other income (expenses),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3,930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3,082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(150,969</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Loss on extinguishment of debt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xml:space="preserve">—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(28,817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(19,952</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Costs associated with debt modification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xml:space="preserve">—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(310</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z w:val="19"/>
              </w:rPr>
            </w:pPr>
            <w:r>
              <w:rPr>
                <w:rFonts w:ascii="Times New Roman" w:hAnsi="Times New Roman"/>
                <w:sz w:val="19"/>
              </w:rPr>
              <w:t xml:space="preserve">Total </w:t>
            </w:r>
          </w:p>
          <w:p>
            <w:pPr>
              <w:pStyle w:val="TableContents"/>
              <w:spacing w:before="0" w:after="0"/>
              <w:rPr>
                <w:rFonts w:ascii="Times New Roman" w:hAnsi="Times New Roman"/>
                <w:spacing w:val="0"/>
                <w:sz w:val="19"/>
              </w:rPr>
            </w:pPr>
            <w:r>
              <w:rPr>
                <w:rFonts w:ascii="Times New Roman" w:hAnsi="Times New Roman"/>
                <w:spacing w:val="0"/>
                <w:sz w:val="19"/>
              </w:rPr>
              <w:t>non-operating</w:t>
            </w:r>
          </w:p>
          <w:p>
            <w:pPr>
              <w:pStyle w:val="TableContents"/>
              <w:spacing w:before="0" w:after="0"/>
              <w:rPr>
                <w:rFonts w:ascii="Times New Roman" w:hAnsi="Times New Roman"/>
                <w:sz w:val="19"/>
              </w:rPr>
            </w:pPr>
            <w:r>
              <w:rPr>
                <w:rFonts w:ascii="Times New Roman" w:hAnsi="Times New Roman"/>
                <w:sz w:val="19"/>
              </w:rPr>
              <w:t>expenses,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(348,826</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(376,128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(516,970</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Loss before income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(1,091,931</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(953,579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(1,457,527</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Income tax (expense) </w:t>
            </w:r>
          </w:p>
          <w:p>
            <w:pPr>
              <w:pStyle w:val="TableContents"/>
              <w:spacing w:before="0" w:after="0"/>
              <w:ind w:left="0" w:right="0" w:hanging="0"/>
              <w:rPr>
                <w:rFonts w:ascii="Times New Roman" w:hAnsi="Times New Roman"/>
                <w:spacing w:val="0"/>
                <w:sz w:val="19"/>
              </w:rPr>
            </w:pPr>
            <w:r>
              <w:rPr>
                <w:rFonts w:ascii="Times New Roman" w:hAnsi="Times New Roman"/>
                <w:spacing w:val="0"/>
                <w:sz w:val="19"/>
              </w:rPr>
              <w:t>benefit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(5,236</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(2,885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2,913</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(1,097,167</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(956,464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(1,454,614</w:t>
            </w:r>
          </w:p>
        </w:tc>
        <w:tc>
          <w:tcPr>
            <w:tcW w:w="170" w:type="dxa"/>
            <w:tcBorders/>
            <w:shd w:fill="auto" w:val="clear"/>
            <w:vAlign w:val="center"/>
          </w:tcPr>
          <w:p>
            <w:pPr>
              <w:pStyle w:val="TableContents"/>
              <w:spacing w:before="0" w:after="283"/>
              <w:rPr/>
            </w:pPr>
            <w:r>
              <w:rPr/>
              <w:t>) </w:t>
            </w:r>
          </w:p>
        </w:tc>
      </w:tr>
      <w:tr>
        <w:trPr/>
        <w:tc>
          <w:tcPr>
            <w:tcW w:w="5180" w:type="dxa"/>
            <w:tcBorders/>
            <w:shd w:fill="CCEEFF"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Net loss attributable to noncontrolling interests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166,641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144,713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191,122</w:t>
            </w:r>
          </w:p>
        </w:tc>
        <w:tc>
          <w:tcPr>
            <w:tcW w:w="170" w:type="dxa"/>
            <w:tcBorders/>
            <w:shd w:fill="CCEEFF"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0"/>
              <w:rPr>
                <w:rFonts w:ascii="Times New Roman" w:hAnsi="Times New Roman"/>
                <w:spacing w:val="0"/>
                <w:sz w:val="19"/>
              </w:rPr>
            </w:pPr>
            <w:r>
              <w:rPr>
                <w:rFonts w:ascii="Times New Roman" w:hAnsi="Times New Roman"/>
                <w:spacing w:val="0"/>
                <w:sz w:val="19"/>
              </w:rPr>
              <w:t>Net loss attributable to Melco Resorts &amp; Entertainment Limited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(930,526</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(811,751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(1,263,492</w:t>
            </w:r>
          </w:p>
        </w:tc>
        <w:tc>
          <w:tcPr>
            <w:tcW w:w="170" w:type="dxa"/>
            <w:tcBorders/>
            <w:shd w:fill="auto" w:val="clear"/>
            <w:vAlign w:val="center"/>
          </w:tcPr>
          <w:p>
            <w:pPr>
              <w:pStyle w:val="TableContents"/>
              <w:spacing w:before="0" w:after="283"/>
              <w:rPr/>
            </w:pPr>
            <w:r>
              <w:rPr/>
              <w:t>) </w:t>
            </w:r>
          </w:p>
        </w:tc>
      </w:tr>
      <w:tr>
        <w:trPr/>
        <w:tc>
          <w:tcPr>
            <w:tcW w:w="51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120" w:after="0"/>
        <w:ind w:left="0" w:right="0" w:hanging="0"/>
        <w:jc w:val="left"/>
        <w:rPr>
          <w:rFonts w:ascii="Times New Roman" w:hAnsi="Times New Roman"/>
          <w:spacing w:val="0"/>
          <w:sz w:val="18"/>
        </w:rPr>
      </w:pPr>
      <w:r>
        <w:rPr>
          <w:rFonts w:ascii="Times New Roman" w:hAnsi="Times New Roman"/>
          <w:spacing w:val="0"/>
          <w:sz w:val="18"/>
        </w:rPr>
        <w:t xml:space="preserve">Note </w:t>
      </w:r>
    </w:p>
    <w:tbl>
      <w:tblPr>
        <w:tblW w:w="10205" w:type="dxa"/>
        <w:jc w:val="left"/>
        <w:tblInd w:w="0" w:type="dxa"/>
        <w:tblCellMar>
          <w:top w:w="0" w:type="dxa"/>
          <w:left w:w="0" w:type="dxa"/>
          <w:bottom w:w="0" w:type="dxa"/>
          <w:right w:w="0" w:type="dxa"/>
        </w:tblCellMar>
      </w:tblPr>
      <w:tblGrid>
        <w:gridCol w:w="75"/>
        <w:gridCol w:w="246"/>
        <w:gridCol w:w="9884"/>
      </w:tblGrid>
      <w:tr>
        <w:trPr/>
        <w:tc>
          <w:tcPr>
            <w:tcW w:w="75" w:type="dxa"/>
            <w:tcBorders/>
            <w:shd w:fill="auto" w:val="clear"/>
            <w:vAlign w:val="center"/>
          </w:tcPr>
          <w:p>
            <w:pPr>
              <w:pStyle w:val="TableContents"/>
              <w:spacing w:before="0" w:after="0"/>
              <w:rPr>
                <w:spacing w:val="0"/>
              </w:rPr>
            </w:pPr>
            <w:r>
              <w:rPr>
                <w:spacing w:val="0"/>
              </w:rPr>
              <w:t> </w:t>
            </w:r>
          </w:p>
        </w:tc>
        <w:tc>
          <w:tcPr>
            <w:tcW w:w="246" w:type="dxa"/>
            <w:tcBorders/>
            <w:shd w:fill="auto" w:val="clear"/>
            <w:vAlign w:val="center"/>
          </w:tcPr>
          <w:p>
            <w:pPr>
              <w:pStyle w:val="TableContents"/>
              <w:spacing w:before="0" w:after="0"/>
              <w:jc w:val="left"/>
              <w:rPr>
                <w:spacing w:val="0"/>
              </w:rPr>
            </w:pPr>
            <w:r>
              <w:rPr>
                <w:spacing w:val="0"/>
              </w:rPr>
              <w:t>(1)</w:t>
            </w:r>
          </w:p>
        </w:tc>
        <w:tc>
          <w:tcPr>
            <w:tcW w:w="9884" w:type="dxa"/>
            <w:tcBorders/>
            <w:shd w:fill="auto" w:val="clear"/>
            <w:vAlign w:val="center"/>
          </w:tcPr>
          <w:p>
            <w:pPr>
              <w:pStyle w:val="TableContents"/>
              <w:spacing w:before="0" w:after="0"/>
              <w:jc w:val="left"/>
              <w:rPr>
                <w:spacing w:val="0"/>
              </w:rPr>
            </w:pPr>
            <w:r>
              <w:rPr>
                <w:spacing w:val="0"/>
              </w:rPr>
              <w:t>“</w:t>
            </w:r>
            <w:r>
              <w:rPr>
                <w:spacing w:val="0"/>
                <w:sz w:val="18"/>
              </w:rPr>
              <w:t xml:space="preserve">Adjusted property EBITDA” is net loss before interest, taxes, depreciation, amortization, </w:t>
            </w:r>
          </w:p>
          <w:p>
            <w:pPr>
              <w:pStyle w:val="TableContents"/>
              <w:spacing w:before="0" w:after="0"/>
              <w:jc w:val="left"/>
              <w:rPr>
                <w:spacing w:val="0"/>
                <w:sz w:val="18"/>
              </w:rPr>
            </w:pPr>
            <w:r>
              <w:rPr>
                <w:spacing w:val="0"/>
                <w:sz w:val="18"/>
              </w:rPr>
              <w:t>pre-opening</w:t>
            </w:r>
          </w:p>
          <w:p>
            <w:pPr>
              <w:pStyle w:val="TableContents"/>
              <w:spacing w:before="0" w:after="0"/>
              <w:jc w:val="left"/>
              <w:rPr>
                <w:spacing w:val="0"/>
                <w:sz w:val="18"/>
              </w:rPr>
            </w:pPr>
            <w:r>
              <w:rPr>
                <w:spacing w:val="0"/>
                <w:sz w:val="18"/>
              </w:rPr>
              <w:t xml:space="preserve">costs, development costs, property charges and other, share-based compensation, payments to the Philippine Parties, land rent to Belle, Corporate and Other expenses, and other </w:t>
            </w:r>
          </w:p>
          <w:p>
            <w:pPr>
              <w:pStyle w:val="TableContents"/>
              <w:spacing w:before="0" w:after="0"/>
              <w:jc w:val="left"/>
              <w:rPr>
                <w:spacing w:val="0"/>
                <w:sz w:val="18"/>
              </w:rPr>
            </w:pPr>
            <w:r>
              <w:rPr>
                <w:spacing w:val="0"/>
                <w:sz w:val="18"/>
              </w:rPr>
              <w:t>non-operating</w:t>
            </w:r>
          </w:p>
          <w:p>
            <w:pPr>
              <w:pStyle w:val="TableContents"/>
              <w:spacing w:before="0" w:after="0"/>
              <w:jc w:val="left"/>
              <w:rPr>
                <w:spacing w:val="0"/>
                <w:sz w:val="18"/>
              </w:rPr>
            </w:pPr>
            <w:r>
              <w:rPr>
                <w:spacing w:val="0"/>
                <w:sz w:val="18"/>
              </w:rPr>
              <w:t>income and expenses. The Company uses Adjusted property EBITDA to measure the operating performance of Mocha and Other, Altira Macau, City of Dreams, Studio City, City of Dreams Manila and Cyprus Operations and to compare the operating performance of its properties with those of its competitors.</w:t>
            </w:r>
          </w:p>
        </w:tc>
      </w:tr>
    </w:tbl>
    <w:p>
      <w:pPr>
        <w:pStyle w:val="TextBody"/>
        <w:spacing w:before="0" w:after="0"/>
        <w:ind w:left="0" w:right="0" w:hanging="0"/>
        <w:jc w:val="left"/>
        <w:rPr>
          <w:spacing w:val="0"/>
        </w:rPr>
      </w:pPr>
      <w:r>
        <w:rPr>
          <w:spacing w:val="0"/>
        </w:rPr>
        <w:t> </w:t>
      </w:r>
    </w:p>
    <w:tbl>
      <w:tblPr>
        <w:tblW w:w="5515" w:type="dxa"/>
        <w:jc w:val="left"/>
        <w:tblInd w:w="0" w:type="dxa"/>
        <w:tblCellMar>
          <w:top w:w="0" w:type="dxa"/>
          <w:left w:w="0" w:type="dxa"/>
          <w:bottom w:w="0" w:type="dxa"/>
          <w:right w:w="0" w:type="dxa"/>
        </w:tblCellMar>
      </w:tblPr>
      <w:tblGrid>
        <w:gridCol w:w="75"/>
        <w:gridCol w:w="395"/>
        <w:gridCol w:w="5045"/>
      </w:tblGrid>
      <w:tr>
        <w:trPr/>
        <w:tc>
          <w:tcPr>
            <w:tcW w:w="7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jc w:val="left"/>
              <w:rPr/>
            </w:pPr>
            <w:r>
              <w:rPr/>
              <w:t>The</w:t>
            </w:r>
          </w:p>
        </w:tc>
        <w:tc>
          <w:tcPr>
            <w:tcW w:w="50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Company’s geographic information for long-lived assets is as </w:t>
            </w:r>
          </w:p>
          <w:p>
            <w:pPr>
              <w:pStyle w:val="TableContents"/>
              <w:spacing w:before="0" w:after="0"/>
              <w:jc w:val="left"/>
              <w:rPr>
                <w:rFonts w:ascii="Times New Roman" w:hAnsi="Times New Roman"/>
                <w:spacing w:val="0"/>
                <w:sz w:val="20"/>
              </w:rPr>
            </w:pPr>
            <w:r>
              <w:rPr>
                <w:rFonts w:ascii="Times New Roman" w:hAnsi="Times New Roman"/>
                <w:spacing w:val="0"/>
                <w:sz w:val="20"/>
              </w:rPr>
              <w:t>follows</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 </w:t>
            </w:r>
          </w:p>
        </w:tc>
      </w:tr>
    </w:tbl>
    <w:p>
      <w:pPr>
        <w:pStyle w:val="TextBody"/>
        <w:spacing w:before="120" w:after="0"/>
        <w:ind w:left="0" w:right="0" w:hanging="0"/>
        <w:jc w:val="left"/>
        <w:rPr>
          <w:rFonts w:ascii="Times New Roman" w:hAnsi="Times New Roman"/>
          <w:b/>
          <w:spacing w:val="0"/>
          <w:sz w:val="20"/>
        </w:rPr>
      </w:pPr>
      <w:r>
        <w:rPr>
          <w:rFonts w:ascii="Times New Roman" w:hAnsi="Times New Roman"/>
          <w:b/>
          <w:spacing w:val="0"/>
          <w:sz w:val="20"/>
        </w:rPr>
        <w:t xml:space="preserve">Long-lived Assets </w:t>
      </w:r>
    </w:p>
    <w:p>
      <w:pPr>
        <w:pStyle w:val="TextBody"/>
        <w:spacing w:before="0" w:after="0"/>
        <w:ind w:left="0" w:right="0" w:hanging="0"/>
        <w:jc w:val="left"/>
        <w:rPr>
          <w:spacing w:val="0"/>
        </w:rPr>
      </w:pPr>
      <w:r>
        <w:rPr>
          <w:spacing w:val="0"/>
        </w:rPr>
        <w:t> </w:t>
      </w:r>
    </w:p>
    <w:tbl>
      <w:tblPr>
        <w:tblW w:w="7190" w:type="dxa"/>
        <w:jc w:val="left"/>
        <w:tblInd w:w="0" w:type="dxa"/>
        <w:tblCellMar>
          <w:top w:w="0" w:type="dxa"/>
          <w:left w:w="0" w:type="dxa"/>
          <w:bottom w:w="0" w:type="dxa"/>
          <w:right w:w="0" w:type="dxa"/>
        </w:tblCellMar>
      </w:tblPr>
      <w:tblGrid>
        <w:gridCol w:w="3215"/>
        <w:gridCol w:w="120"/>
        <w:gridCol w:w="140"/>
        <w:gridCol w:w="1040"/>
        <w:gridCol w:w="60"/>
        <w:gridCol w:w="120"/>
        <w:gridCol w:w="140"/>
        <w:gridCol w:w="980"/>
        <w:gridCol w:w="60"/>
        <w:gridCol w:w="120"/>
        <w:gridCol w:w="140"/>
        <w:gridCol w:w="980"/>
        <w:gridCol w:w="75"/>
      </w:tblGrid>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78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December 31,</w:t>
            </w:r>
          </w:p>
        </w:tc>
        <w:tc>
          <w:tcPr>
            <w:tcW w:w="75" w:type="dxa"/>
            <w:tcBorders/>
            <w:shd w:fill="auto" w:val="clear"/>
            <w:vAlign w:val="center"/>
          </w:tcPr>
          <w:p>
            <w:pPr>
              <w:pStyle w:val="TableContents"/>
              <w:spacing w:before="0" w:after="0"/>
              <w:rPr>
                <w:spacing w:val="0"/>
              </w:rPr>
            </w:pPr>
            <w:r>
              <w:rPr>
                <w:spacing w:val="0"/>
              </w:rPr>
              <w:t> </w:t>
            </w:r>
          </w:p>
        </w:tc>
      </w:tr>
      <w:tr>
        <w:trPr/>
        <w:tc>
          <w:tcPr>
            <w:tcW w:w="321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2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75" w:type="dxa"/>
            <w:tcBorders/>
            <w:shd w:fill="auto" w:val="clear"/>
            <w:vAlign w:val="center"/>
          </w:tcPr>
          <w:p>
            <w:pPr>
              <w:pStyle w:val="TableContents"/>
              <w:spacing w:before="0" w:after="0"/>
              <w:rPr>
                <w:spacing w:val="0"/>
              </w:rPr>
            </w:pPr>
            <w:r>
              <w:rPr>
                <w:spacing w:val="0"/>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Macau</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 </w:t>
            </w:r>
            <w:r>
              <w:rPr/>
              <w:t>6,068,502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6,080,616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6,054,014</w:t>
            </w:r>
          </w:p>
        </w:tc>
        <w:tc>
          <w:tcPr>
            <w:tcW w:w="75"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 Philippines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141,765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341,307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369,664</w:t>
            </w:r>
          </w:p>
        </w:tc>
        <w:tc>
          <w:tcPr>
            <w:tcW w:w="75"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Cyprus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40" w:type="dxa"/>
            <w:tcBorders/>
            <w:shd w:fill="CCEEFF" w:val="clear"/>
            <w:vAlign w:val="center"/>
          </w:tcPr>
          <w:p>
            <w:pPr>
              <w:pStyle w:val="TableContents"/>
              <w:spacing w:before="0" w:after="283"/>
              <w:jc w:val="right"/>
              <w:rPr/>
            </w:pPr>
            <w:r>
              <w:rPr/>
              <w:t>485,570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378,738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232,374</w:t>
            </w:r>
          </w:p>
        </w:tc>
        <w:tc>
          <w:tcPr>
            <w:tcW w:w="75"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Hong Kong and other foreign countries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40" w:type="dxa"/>
            <w:tcBorders/>
            <w:shd w:fill="auto" w:val="clear"/>
            <w:vAlign w:val="center"/>
          </w:tcPr>
          <w:p>
            <w:pPr>
              <w:pStyle w:val="TableContents"/>
              <w:spacing w:before="0" w:after="283"/>
              <w:jc w:val="right"/>
              <w:rPr/>
            </w:pPr>
            <w:r>
              <w:rPr/>
              <w:t>29,871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32,972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64,702</w:t>
            </w:r>
          </w:p>
        </w:tc>
        <w:tc>
          <w:tcPr>
            <w:tcW w:w="75"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8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long-lived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40" w:type="dxa"/>
            <w:tcBorders/>
            <w:shd w:fill="CCEEFF" w:val="clear"/>
            <w:vAlign w:val="center"/>
          </w:tcPr>
          <w:p>
            <w:pPr>
              <w:pStyle w:val="TableContents"/>
              <w:spacing w:before="0" w:after="283"/>
              <w:jc w:val="right"/>
              <w:rPr/>
            </w:pPr>
            <w:r>
              <w:rPr/>
              <w:t>6,725,708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6,833,633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6,720,754</w:t>
            </w:r>
          </w:p>
        </w:tc>
        <w:tc>
          <w:tcPr>
            <w:tcW w:w="75"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8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tbl>
      <w:tblPr>
        <w:tblW w:w="5065" w:type="dxa"/>
        <w:jc w:val="left"/>
        <w:tblInd w:w="0" w:type="dxa"/>
        <w:tblCellMar>
          <w:top w:w="0" w:type="dxa"/>
          <w:left w:w="0" w:type="dxa"/>
          <w:bottom w:w="0" w:type="dxa"/>
          <w:right w:w="0" w:type="dxa"/>
        </w:tblCellMar>
      </w:tblPr>
      <w:tblGrid>
        <w:gridCol w:w="335"/>
        <w:gridCol w:w="4730"/>
      </w:tblGrid>
      <w:tr>
        <w:trPr/>
        <w:tc>
          <w:tcPr>
            <w:tcW w:w="335" w:type="dxa"/>
            <w:tcBorders/>
            <w:shd w:fill="auto" w:val="clear"/>
            <w:vAlign w:val="center"/>
          </w:tcPr>
          <w:p>
            <w:pPr>
              <w:pStyle w:val="TableContents"/>
              <w:spacing w:before="0" w:after="0"/>
              <w:jc w:val="left"/>
              <w:rPr>
                <w:b/>
                <w:spacing w:val="0"/>
              </w:rPr>
            </w:pPr>
            <w:r>
              <w:rPr>
                <w:b/>
                <w:spacing w:val="0"/>
              </w:rPr>
              <w:t>26.</w:t>
            </w:r>
          </w:p>
        </w:tc>
        <w:tc>
          <w:tcPr>
            <w:tcW w:w="473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CHANGES IN SHAREHOLDINGS OF SUBSIDIARIES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The Philippine subsidiaries </w:t>
      </w:r>
    </w:p>
    <w:p>
      <w:pPr>
        <w:pStyle w:val="TextBody"/>
        <w:spacing w:before="120" w:after="0"/>
        <w:jc w:val="left"/>
        <w:rPr>
          <w:rFonts w:ascii="Times New Roman" w:hAnsi="Times New Roman"/>
          <w:sz w:val="20"/>
        </w:rPr>
      </w:pPr>
      <w:r>
        <w:rPr>
          <w:rFonts w:ascii="Times New Roman" w:hAnsi="Times New Roman"/>
          <w:sz w:val="20"/>
        </w:rPr>
        <w:t xml:space="preserve">During the year ended December 31, 2020, certain transactions, which affected Melco’s shareholding in MRP, were carried out and the Company recognized a decrease of $62 in Melco’s additional </w:t>
      </w:r>
    </w:p>
    <w:p>
      <w:pPr>
        <w:pStyle w:val="TextBody"/>
        <w:spacing w:before="120" w:after="0"/>
        <w:jc w:val="left"/>
        <w:rPr>
          <w:rFonts w:ascii="Times New Roman" w:hAnsi="Times New Roman"/>
          <w:spacing w:val="0"/>
          <w:sz w:val="20"/>
        </w:rPr>
      </w:pPr>
      <w:r>
        <w:rPr>
          <w:rFonts w:ascii="Times New Roman" w:hAnsi="Times New Roman"/>
          <w:spacing w:val="0"/>
          <w:sz w:val="20"/>
        </w:rPr>
        <w:t>paid-in</w:t>
      </w:r>
    </w:p>
    <w:p>
      <w:pPr>
        <w:pStyle w:val="TextBody"/>
        <w:spacing w:before="120" w:after="0"/>
        <w:jc w:val="left"/>
        <w:rPr>
          <w:rFonts w:ascii="Times New Roman" w:hAnsi="Times New Roman"/>
          <w:sz w:val="20"/>
        </w:rPr>
      </w:pPr>
      <w:r>
        <w:rPr>
          <w:rFonts w:ascii="Times New Roman" w:hAnsi="Times New Roman"/>
          <w:sz w:val="20"/>
        </w:rPr>
        <w:t xml:space="preserve">capital which reflected the adjustment to the carrying amount 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w:t>
      </w:r>
    </w:p>
    <w:p>
      <w:pPr>
        <w:pStyle w:val="TextBody"/>
        <w:spacing w:before="120" w:after="0"/>
        <w:jc w:val="left"/>
        <w:rPr>
          <w:rFonts w:ascii="Times New Roman" w:hAnsi="Times New Roman"/>
          <w:sz w:val="20"/>
        </w:rPr>
      </w:pPr>
      <w:r>
        <w:rPr>
          <w:rFonts w:ascii="Times New Roman" w:hAnsi="Times New Roman"/>
          <w:sz w:val="20"/>
        </w:rPr>
        <w:t>noncontrolling interest in MRP.</w:t>
      </w:r>
    </w:p>
    <w:p>
      <w:pPr>
        <w:pStyle w:val="TextBody"/>
        <w:spacing w:before="0" w:after="0"/>
        <w:ind w:left="0" w:right="0" w:hanging="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F-8</w:t>
      </w:r>
    </w:p>
    <w:p>
      <w:pPr>
        <w:pStyle w:val="TextBody"/>
        <w:spacing w:before="0" w:after="0"/>
        <w:jc w:val="center"/>
        <w:rPr>
          <w:rFonts w:ascii="Times New Roman" w:hAnsi="Times New Roman"/>
          <w:spacing w:val="0"/>
          <w:sz w:val="20"/>
        </w:rPr>
      </w:pPr>
      <w:r>
        <w:rPr>
          <w:rFonts w:ascii="Times New Roman" w:hAnsi="Times New Roman"/>
          <w:spacing w:val="0"/>
          <w:sz w:val="20"/>
        </w:rPr>
        <w:t>5</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data)</w:t>
      </w:r>
    </w:p>
    <w:p>
      <w:pPr>
        <w:pStyle w:val="TextBody"/>
        <w:spacing w:before="0" w:after="0"/>
        <w:jc w:val="left"/>
        <w:rPr>
          <w:spacing w:val="0"/>
        </w:rPr>
      </w:pPr>
      <w:r>
        <w:rPr>
          <w:spacing w:val="0"/>
        </w:rPr>
        <w:t> </w:t>
      </w:r>
    </w:p>
    <w:tbl>
      <w:tblPr>
        <w:tblW w:w="5020" w:type="dxa"/>
        <w:jc w:val="left"/>
        <w:tblInd w:w="0" w:type="dxa"/>
        <w:tblCellMar>
          <w:top w:w="0" w:type="dxa"/>
          <w:left w:w="0" w:type="dxa"/>
          <w:bottom w:w="0" w:type="dxa"/>
          <w:right w:w="0" w:type="dxa"/>
        </w:tblCellMar>
      </w:tblPr>
      <w:tblGrid>
        <w:gridCol w:w="335"/>
        <w:gridCol w:w="4685"/>
      </w:tblGrid>
      <w:tr>
        <w:trPr/>
        <w:tc>
          <w:tcPr>
            <w:tcW w:w="335" w:type="dxa"/>
            <w:tcBorders/>
            <w:shd w:fill="auto" w:val="clear"/>
            <w:vAlign w:val="center"/>
          </w:tcPr>
          <w:p>
            <w:pPr>
              <w:pStyle w:val="TableContents"/>
              <w:spacing w:before="0" w:after="0"/>
              <w:jc w:val="left"/>
              <w:rPr>
                <w:b/>
                <w:spacing w:val="0"/>
              </w:rPr>
            </w:pPr>
            <w:r>
              <w:rPr>
                <w:b/>
                <w:spacing w:val="0"/>
              </w:rPr>
              <w:t>26.</w:t>
            </w:r>
          </w:p>
        </w:tc>
        <w:tc>
          <w:tcPr>
            <w:tcW w:w="46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CHANGES IN SHAREHOLDINGS OF SUBSIDIARIES</w:t>
            </w:r>
          </w:p>
          <w:p>
            <w:pPr>
              <w:pStyle w:val="TableContents"/>
              <w:spacing w:before="0" w:after="0"/>
              <w:jc w:val="left"/>
              <w:rPr/>
            </w:pPr>
            <w:r>
              <w:rPr/>
              <w:t> </w:t>
            </w:r>
            <w:r>
              <w:rPr>
                <w:rFonts w:ascii="Times New Roman" w:hAnsi="Times New Roman"/>
                <w:sz w:val="20"/>
              </w:rPr>
              <w:t>- continued</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The Philippine subsidiaries</w:t>
      </w:r>
    </w:p>
    <w:p>
      <w:pPr>
        <w:pStyle w:val="TextBody"/>
        <w:spacing w:before="120" w:after="0"/>
        <w:jc w:val="left"/>
        <w:rPr/>
      </w:pPr>
      <w:r>
        <w:rPr/>
        <w:t> </w:t>
      </w:r>
      <w:r>
        <w:rPr>
          <w:rFonts w:ascii="Times New Roman" w:hAnsi="Times New Roman"/>
          <w:sz w:val="20"/>
        </w:rPr>
        <w:t>- continued</w:t>
      </w:r>
    </w:p>
    <w:p>
      <w:pPr>
        <w:pStyle w:val="TextBody"/>
        <w:spacing w:before="0" w:after="0"/>
        <w:jc w:val="left"/>
        <w:rPr>
          <w:spacing w:val="0"/>
        </w:rPr>
      </w:pPr>
      <w:r>
        <w:rPr>
          <w:spacing w:val="0"/>
        </w:rPr>
        <w:t> </w:t>
      </w:r>
    </w:p>
    <w:p>
      <w:pPr>
        <w:pStyle w:val="TextBody"/>
        <w:spacing w:before="0" w:after="0"/>
        <w:jc w:val="left"/>
        <w:rPr>
          <w:rFonts w:ascii="Times New Roman" w:hAnsi="Times New Roman"/>
          <w:sz w:val="20"/>
        </w:rPr>
      </w:pPr>
      <w:r>
        <w:rPr>
          <w:rFonts w:ascii="Times New Roman" w:hAnsi="Times New Roman"/>
          <w:sz w:val="20"/>
        </w:rPr>
        <w:t xml:space="preserve">As a result of the Reverse Stock Split, only those shareholders of MRP who originally owned 500,000 MRP common shares with a par value of PHP1 (equivalent to $0.02) per share (each an “Original Share”) and in multiples thereof immediately prior to the Reverse Stock Split would now own whole shares (each a “MRP Whole Share”) of stock of MRP. Other holders of the Original Shares could now only hold a fractional share of MRP (“MRP Fractional Share”). To facilitate the elimination of MRP Fractional Shares held by other shareholders of MRP, MPHIL Corporation (“MPHIL”), a subsidiary of Melco, offered to purchase the resulting MRP Fractional Shares at the purchase price to be calculated by multiplying the number of Original Shares represented by the relevant MRP Fractional Shares (which were equal to the number of Original Shares held by the relevant shareholder immediately prior to the Reverse Stock Split) by the price of PHP7.25 (equivalent to $0.14) per Original Share (“Fractional Share Elimination Plan”). A shareholder could also sell any MRP Whole Shares to MPHIL under the Fractional Share Elimination Plan. Any holder of MRP Fractional Shares and/or MRP Whole Shares may accept this offer during the </w:t>
      </w:r>
    </w:p>
    <w:p>
      <w:pPr>
        <w:pStyle w:val="TextBody"/>
        <w:spacing w:before="0" w:after="0"/>
        <w:jc w:val="left"/>
        <w:rPr>
          <w:rFonts w:ascii="Times New Roman" w:hAnsi="Times New Roman"/>
          <w:spacing w:val="0"/>
          <w:sz w:val="20"/>
        </w:rPr>
      </w:pPr>
      <w:r>
        <w:rPr>
          <w:rFonts w:ascii="Times New Roman" w:hAnsi="Times New Roman"/>
          <w:spacing w:val="0"/>
          <w:sz w:val="20"/>
        </w:rPr>
        <w:t>two-year</w:t>
      </w:r>
    </w:p>
    <w:p>
      <w:pPr>
        <w:pStyle w:val="TextBody"/>
        <w:spacing w:before="0" w:after="0"/>
        <w:jc w:val="left"/>
        <w:rPr/>
      </w:pPr>
      <w:r>
        <w:rPr/>
        <w:t> </w:t>
      </w:r>
      <w:r>
        <w:rPr>
          <w:rFonts w:ascii="Times New Roman" w:hAnsi="Times New Roman"/>
          <w:sz w:val="20"/>
        </w:rPr>
        <w:t xml:space="preserve">period commencing from June 5, 2020. The Fractional Share Elimination Plan expired on June 4, 2022 and was subsequently extended for the period from August 15, 2022 to November 15, 2022. </w:t>
      </w:r>
    </w:p>
    <w:p>
      <w:pPr>
        <w:pStyle w:val="TextBody"/>
        <w:spacing w:before="120" w:after="0"/>
        <w:ind w:left="0" w:right="0" w:hanging="0"/>
        <w:jc w:val="left"/>
        <w:rPr>
          <w:rFonts w:ascii="Times New Roman" w:hAnsi="Times New Roman"/>
          <w:sz w:val="20"/>
        </w:rPr>
      </w:pPr>
      <w:r>
        <w:rPr>
          <w:rFonts w:ascii="Times New Roman" w:hAnsi="Times New Roman"/>
          <w:sz w:val="20"/>
        </w:rPr>
        <w:t>During the years ended December 31, 2022 and 2021, the Company through its subsidiaries, purchased 50.906 and 123.103 common shares of MRP at a total consideration of PHP175,173 (equivalent to $3,310</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 xml:space="preserve">and PHP440,032 (equivalent to $8,518) from the noncontrolling interests, which increased Melco’s shareholding in MRP and the Company recognized a decrease of $2,952 and $6,951 in Melco’s additional </w:t>
      </w:r>
    </w:p>
    <w:p>
      <w:pPr>
        <w:pStyle w:val="TextBody"/>
        <w:spacing w:before="120" w:after="0"/>
        <w:jc w:val="left"/>
        <w:rPr>
          <w:rFonts w:ascii="Times New Roman" w:hAnsi="Times New Roman"/>
          <w:spacing w:val="0"/>
          <w:sz w:val="20"/>
        </w:rPr>
      </w:pPr>
      <w:r>
        <w:rPr>
          <w:rFonts w:ascii="Times New Roman" w:hAnsi="Times New Roman"/>
          <w:spacing w:val="0"/>
          <w:sz w:val="20"/>
        </w:rPr>
        <w:t>paid-in</w:t>
      </w:r>
    </w:p>
    <w:p>
      <w:pPr>
        <w:pStyle w:val="TextBody"/>
        <w:spacing w:before="120" w:after="0"/>
        <w:jc w:val="left"/>
        <w:rPr>
          <w:rFonts w:ascii="Times New Roman" w:hAnsi="Times New Roman"/>
          <w:sz w:val="20"/>
        </w:rPr>
      </w:pPr>
      <w:r>
        <w:rPr>
          <w:rFonts w:ascii="Times New Roman" w:hAnsi="Times New Roman"/>
          <w:sz w:val="20"/>
        </w:rPr>
        <w:t>capital which reflected the adjustment to the carrying amount of the noncontrolling interest in MRP, respectively.</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retains its controlling financial interests in MRP before and after the above transactions. </w:t>
      </w:r>
    </w:p>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Studio City International </w:t>
      </w:r>
    </w:p>
    <w:p>
      <w:pPr>
        <w:pStyle w:val="TextBody"/>
        <w:spacing w:before="120" w:after="0"/>
        <w:jc w:val="left"/>
        <w:rPr>
          <w:rFonts w:ascii="Times New Roman" w:hAnsi="Times New Roman"/>
          <w:sz w:val="20"/>
        </w:rPr>
      </w:pPr>
      <w:r>
        <w:rPr>
          <w:rFonts w:ascii="Times New Roman" w:hAnsi="Times New Roman"/>
          <w:sz w:val="20"/>
        </w:rPr>
        <w:t>During July and August 2020, Studio City International</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respectively</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 xml:space="preserve">announced and completed a series of private offers of its 72,185,488 Class A ordinary shares and 14,087,299 ADSs, representing 56,349,196 Class A ordinary shares, to certain existing shareholders and holders of its ADSs, including Melco, with gross proceeds amounting to $500,000, of which $219,198 was from noncontrolling interests (the “2020 Private Placements”). The 2020 Private Placements increased Melco’s shareholding in Studio City International and the Company recognized an increase of $42 in Melco’s additional </w:t>
      </w:r>
    </w:p>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paid-in</w:t>
      </w:r>
    </w:p>
    <w:p>
      <w:pPr>
        <w:pStyle w:val="TextBody"/>
        <w:spacing w:before="120" w:after="0"/>
        <w:jc w:val="left"/>
        <w:rPr>
          <w:rFonts w:ascii="Times New Roman" w:hAnsi="Times New Roman"/>
          <w:sz w:val="20"/>
        </w:rPr>
      </w:pPr>
      <w:r>
        <w:rPr>
          <w:rFonts w:ascii="Times New Roman" w:hAnsi="Times New Roman"/>
          <w:sz w:val="20"/>
        </w:rPr>
        <w:t xml:space="preserve">capital which reflected the adjustment to the carrying amount of the noncontrolling interest in Studio City International. </w:t>
      </w:r>
    </w:p>
    <w:p>
      <w:pPr>
        <w:pStyle w:val="TextBody"/>
        <w:spacing w:before="120" w:after="0"/>
        <w:jc w:val="left"/>
        <w:rPr>
          <w:rFonts w:ascii="Times New Roman" w:hAnsi="Times New Roman"/>
          <w:sz w:val="20"/>
        </w:rPr>
      </w:pPr>
      <w:r>
        <w:rPr>
          <w:rFonts w:ascii="Times New Roman" w:hAnsi="Times New Roman"/>
          <w:sz w:val="20"/>
        </w:rPr>
        <w:t>During February and March 2022, Studio City International</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respectively</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announced and completed a series of private offers of its 400,000,000 Class A ordinary shares to certain existing shareholders and holders of its ADSs, including Melco, with gross proceeds amounting to $300,000, of which $134,944 was from noncontrolling interests </w:t>
      </w:r>
    </w:p>
    <w:p>
      <w:pPr>
        <w:pStyle w:val="TextBody"/>
        <w:spacing w:before="120" w:after="0"/>
        <w:jc w:val="left"/>
        <w:rPr>
          <w:rFonts w:ascii="Times New Roman" w:hAnsi="Times New Roman"/>
          <w:spacing w:val="0"/>
          <w:sz w:val="20"/>
        </w:rPr>
      </w:pPr>
      <w:r>
        <w:rPr>
          <w:rFonts w:ascii="Times New Roman" w:hAnsi="Times New Roman"/>
          <w:spacing w:val="0"/>
          <w:sz w:val="20"/>
        </w:rPr>
        <w:t>(</w:t>
      </w:r>
    </w:p>
    <w:p>
      <w:pPr>
        <w:pStyle w:val="TextBody"/>
        <w:spacing w:before="120" w:after="0"/>
        <w:jc w:val="left"/>
        <w:rPr>
          <w:rFonts w:ascii="Times New Roman" w:hAnsi="Times New Roman"/>
          <w:sz w:val="20"/>
        </w:rPr>
      </w:pPr>
      <w:r>
        <w:rPr>
          <w:rFonts w:ascii="Times New Roman" w:hAnsi="Times New Roman"/>
          <w:sz w:val="20"/>
        </w:rPr>
        <w:t>the</w:t>
      </w:r>
    </w:p>
    <w:p>
      <w:pPr>
        <w:pStyle w:val="TextBody"/>
        <w:spacing w:before="120" w:after="0"/>
        <w:jc w:val="left"/>
        <w:rPr>
          <w:spacing w:val="0"/>
        </w:rPr>
      </w:pPr>
      <w:r>
        <w:rPr>
          <w:spacing w:val="0"/>
        </w:rPr>
        <w:t> </w:t>
      </w:r>
    </w:p>
    <w:p>
      <w:pPr>
        <w:pStyle w:val="TextBody"/>
        <w:spacing w:before="120" w:after="0"/>
        <w:jc w:val="left"/>
        <w:rPr/>
      </w:pPr>
      <w:r>
        <w:rPr/>
        <w:t>“</w:t>
      </w:r>
      <w:r>
        <w:rPr>
          <w:rFonts w:ascii="Times New Roman" w:hAnsi="Times New Roman"/>
          <w:sz w:val="20"/>
        </w:rPr>
        <w:t>2022 Private Placements”).</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The</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2022 Private Placements increased Melco’s</w:t>
      </w:r>
    </w:p>
    <w:p>
      <w:pPr>
        <w:pStyle w:val="TextBody"/>
        <w:spacing w:before="120" w:after="0"/>
        <w:jc w:val="left"/>
        <w:rPr>
          <w:spacing w:val="0"/>
        </w:rPr>
      </w:pPr>
      <w:r>
        <w:rPr>
          <w:spacing w:val="0"/>
        </w:rPr>
        <w:t> </w:t>
      </w:r>
    </w:p>
    <w:p>
      <w:pPr>
        <w:pStyle w:val="TextBody"/>
        <w:spacing w:before="120" w:after="0"/>
        <w:jc w:val="left"/>
        <w:rPr>
          <w:rFonts w:ascii="Times New Roman" w:hAnsi="Times New Roman"/>
          <w:sz w:val="20"/>
        </w:rPr>
      </w:pPr>
      <w:r>
        <w:rPr>
          <w:rFonts w:ascii="Times New Roman" w:hAnsi="Times New Roman"/>
          <w:sz w:val="20"/>
        </w:rPr>
        <w:t xml:space="preserve">shareholding in Studio City International and the Company recognized an increase of $879 in Melco’s additional </w:t>
      </w:r>
    </w:p>
    <w:p>
      <w:pPr>
        <w:pStyle w:val="TextBody"/>
        <w:spacing w:before="120" w:after="0"/>
        <w:jc w:val="left"/>
        <w:rPr>
          <w:rFonts w:ascii="Times New Roman" w:hAnsi="Times New Roman"/>
          <w:spacing w:val="0"/>
          <w:sz w:val="20"/>
        </w:rPr>
      </w:pPr>
      <w:r>
        <w:rPr>
          <w:rFonts w:ascii="Times New Roman" w:hAnsi="Times New Roman"/>
          <w:spacing w:val="0"/>
          <w:sz w:val="20"/>
        </w:rPr>
        <w:t>paid-in</w:t>
      </w:r>
    </w:p>
    <w:p>
      <w:pPr>
        <w:pStyle w:val="TextBody"/>
        <w:spacing w:before="120" w:after="0"/>
        <w:jc w:val="left"/>
        <w:rPr>
          <w:rFonts w:ascii="Times New Roman" w:hAnsi="Times New Roman"/>
          <w:sz w:val="20"/>
        </w:rPr>
      </w:pPr>
      <w:r>
        <w:rPr>
          <w:rFonts w:ascii="Times New Roman" w:hAnsi="Times New Roman"/>
          <w:sz w:val="20"/>
        </w:rPr>
        <w:t xml:space="preserve">capital which reflected the adjustment to the carrying amount of the noncontrolling interest in Studio City International.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 retains its controlling financial interest in Studio City International before and after the above transactions.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TextBody"/>
        <w:spacing w:before="0" w:after="0"/>
        <w:jc w:val="center"/>
        <w:rPr>
          <w:rFonts w:ascii="Times New Roman" w:hAnsi="Times New Roman"/>
          <w:spacing w:val="0"/>
          <w:sz w:val="20"/>
        </w:rPr>
      </w:pPr>
      <w:r>
        <w:rPr>
          <w:rFonts w:ascii="Times New Roman" w:hAnsi="Times New Roman"/>
          <w:spacing w:val="0"/>
          <w:sz w:val="20"/>
        </w:rPr>
        <w:t>6</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NOTES TO CONSOLIDATED FINANCIAL STATEMENTS</w:t>
      </w:r>
    </w:p>
    <w:p>
      <w:pPr>
        <w:pStyle w:val="TextBody"/>
        <w:spacing w:before="240" w:after="0"/>
        <w:jc w:val="center"/>
        <w:rPr>
          <w:spacing w:val="0"/>
        </w:rPr>
      </w:pPr>
      <w:r>
        <w:rPr>
          <w:spacing w:val="0"/>
        </w:rPr>
        <w:t> </w:t>
      </w:r>
      <w:r>
        <w:rPr>
          <w:rFonts w:ascii="Times New Roman" w:hAnsi="Times New Roman"/>
          <w:spacing w:val="0"/>
          <w:sz w:val="20"/>
        </w:rPr>
        <w:t xml:space="preserve">- </w:t>
      </w:r>
    </w:p>
    <w:p>
      <w:pPr>
        <w:pStyle w:val="TextBody"/>
        <w:spacing w:before="240" w:after="0"/>
        <w:jc w:val="center"/>
        <w:rPr>
          <w:rFonts w:ascii="Times New Roman" w:hAnsi="Times New Roman"/>
          <w:spacing w:val="0"/>
          <w:sz w:val="20"/>
        </w:rPr>
      </w:pPr>
      <w:r>
        <w:rPr>
          <w:rFonts w:ascii="Times New Roman" w:hAnsi="Times New Roman"/>
          <w:spacing w:val="0"/>
          <w:sz w:val="20"/>
        </w:rPr>
        <w:t>continued</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ind w:left="0" w:right="0" w:hanging="0"/>
        <w:jc w:val="left"/>
        <w:rPr>
          <w:spacing w:val="0"/>
        </w:rPr>
      </w:pPr>
      <w:r>
        <w:rPr>
          <w:spacing w:val="0"/>
        </w:rPr>
        <w:t> </w:t>
      </w:r>
    </w:p>
    <w:tbl>
      <w:tblPr>
        <w:tblW w:w="5020" w:type="dxa"/>
        <w:jc w:val="left"/>
        <w:tblInd w:w="0" w:type="dxa"/>
        <w:tblCellMar>
          <w:top w:w="0" w:type="dxa"/>
          <w:left w:w="0" w:type="dxa"/>
          <w:bottom w:w="0" w:type="dxa"/>
          <w:right w:w="0" w:type="dxa"/>
        </w:tblCellMar>
      </w:tblPr>
      <w:tblGrid>
        <w:gridCol w:w="335"/>
        <w:gridCol w:w="4685"/>
      </w:tblGrid>
      <w:tr>
        <w:trPr/>
        <w:tc>
          <w:tcPr>
            <w:tcW w:w="335" w:type="dxa"/>
            <w:tcBorders/>
            <w:shd w:fill="auto" w:val="clear"/>
            <w:vAlign w:val="center"/>
          </w:tcPr>
          <w:p>
            <w:pPr>
              <w:pStyle w:val="TableContents"/>
              <w:spacing w:before="0" w:after="0"/>
              <w:jc w:val="left"/>
              <w:rPr>
                <w:b/>
                <w:spacing w:val="0"/>
              </w:rPr>
            </w:pPr>
            <w:r>
              <w:rPr>
                <w:b/>
                <w:spacing w:val="0"/>
              </w:rPr>
              <w:t>26.</w:t>
            </w:r>
          </w:p>
        </w:tc>
        <w:tc>
          <w:tcPr>
            <w:tcW w:w="46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CHANGES IN SHAREHOLDINGS OF SUBSIDIARIES</w:t>
            </w:r>
          </w:p>
          <w:p>
            <w:pPr>
              <w:pStyle w:val="TableContents"/>
              <w:spacing w:before="0" w:after="0"/>
              <w:jc w:val="left"/>
              <w:rPr>
                <w:spacing w:val="0"/>
              </w:rPr>
            </w:pPr>
            <w:r>
              <w:rPr>
                <w:spacing w:val="0"/>
              </w:rPr>
              <w:t> </w:t>
            </w:r>
            <w:r>
              <w:rPr>
                <w:rFonts w:ascii="Times New Roman" w:hAnsi="Times New Roman"/>
                <w:spacing w:val="0"/>
                <w:sz w:val="20"/>
              </w:rPr>
              <w:t>- continued</w:t>
            </w:r>
          </w:p>
        </w:tc>
      </w:tr>
    </w:tbl>
    <w:p>
      <w:pPr>
        <w:pStyle w:val="TextBody"/>
        <w:spacing w:before="0" w:after="0"/>
        <w:ind w:left="0" w:right="0" w:hanging="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schedule below discloses the effects of changes in Melco’s ownership interest in MRP and Studio City International on its equity: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6200"/>
        <w:gridCol w:w="120"/>
        <w:gridCol w:w="140"/>
        <w:gridCol w:w="875"/>
        <w:gridCol w:w="155"/>
        <w:gridCol w:w="120"/>
        <w:gridCol w:w="140"/>
        <w:gridCol w:w="875"/>
        <w:gridCol w:w="155"/>
        <w:gridCol w:w="60"/>
        <w:gridCol w:w="140"/>
        <w:gridCol w:w="1055"/>
        <w:gridCol w:w="170"/>
      </w:tblGrid>
      <w:tr>
        <w:trPr/>
        <w:tc>
          <w:tcPr>
            <w:tcW w:w="62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2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715"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620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62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attributable to Melco Resorts &amp; Entertainment Limited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(930,526</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(811,751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(1,263,492</w:t>
            </w:r>
          </w:p>
        </w:tc>
        <w:tc>
          <w:tcPr>
            <w:tcW w:w="170" w:type="dxa"/>
            <w:tcBorders/>
            <w:shd w:fill="CCEEFF"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Transfers (to) from noncontrolling interests: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620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The Philippine subsidiaries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Decrease in 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 resulting from the issuance of common shares of MRP to independent directors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w:t>
            </w:r>
          </w:p>
        </w:tc>
        <w:tc>
          <w:tcPr>
            <w:tcW w:w="170" w:type="dxa"/>
            <w:tcBorders/>
            <w:shd w:fill="auto" w:val="clear"/>
            <w:vAlign w:val="center"/>
          </w:tcPr>
          <w:p>
            <w:pPr>
              <w:pStyle w:val="TableContents"/>
              <w:spacing w:before="0" w:after="283"/>
              <w:rPr/>
            </w:pPr>
            <w:r>
              <w:rPr/>
              <w:t>) </w:t>
            </w:r>
          </w:p>
        </w:tc>
      </w:tr>
      <w:tr>
        <w:trPr/>
        <w:tc>
          <w:tcPr>
            <w:tcW w:w="620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Decrease in 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 resulting from purchases of common shares of MRP from the open market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(2,952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(6,951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(46</w:t>
            </w:r>
          </w:p>
        </w:tc>
        <w:tc>
          <w:tcPr>
            <w:tcW w:w="170" w:type="dxa"/>
            <w:tcBorders/>
            <w:shd w:fill="CCEEFF"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(2,952</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(6,951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(62</w:t>
            </w:r>
          </w:p>
        </w:tc>
        <w:tc>
          <w:tcPr>
            <w:tcW w:w="17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620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Studio City International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Increase in additional </w:t>
            </w:r>
          </w:p>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 resulting from the private placements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879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42</w:t>
            </w:r>
          </w:p>
        </w:tc>
        <w:tc>
          <w:tcPr>
            <w:tcW w:w="17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Sub-total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879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42</w:t>
            </w:r>
          </w:p>
        </w:tc>
        <w:tc>
          <w:tcPr>
            <w:tcW w:w="170" w:type="dxa"/>
            <w:tcBorders/>
            <w:shd w:fill="CCEEFF"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2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Changes from net loss attributable to Melco Resorts &amp; Entertainment Limited’s shareholders and transfers from noncontrolling interests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(932,599</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(818,702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(1,263,512</w:t>
            </w:r>
          </w:p>
        </w:tc>
        <w:tc>
          <w:tcPr>
            <w:tcW w:w="170" w:type="dxa"/>
            <w:tcBorders/>
            <w:shd w:fill="auto" w:val="clear"/>
            <w:vAlign w:val="center"/>
          </w:tcPr>
          <w:p>
            <w:pPr>
              <w:pStyle w:val="TableContents"/>
              <w:spacing w:before="0" w:after="283"/>
              <w:rPr/>
            </w:pPr>
            <w:r>
              <w:rPr/>
              <w:t>)</w:t>
            </w:r>
          </w:p>
        </w:tc>
      </w:tr>
      <w:tr>
        <w:trPr/>
        <w:tc>
          <w:tcPr>
            <w:tcW w:w="62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tbl>
      <w:tblPr>
        <w:tblW w:w="2545" w:type="dxa"/>
        <w:jc w:val="left"/>
        <w:tblInd w:w="0" w:type="dxa"/>
        <w:tblCellMar>
          <w:top w:w="0" w:type="dxa"/>
          <w:left w:w="0" w:type="dxa"/>
          <w:bottom w:w="0" w:type="dxa"/>
          <w:right w:w="0" w:type="dxa"/>
        </w:tblCellMar>
      </w:tblPr>
      <w:tblGrid>
        <w:gridCol w:w="335"/>
        <w:gridCol w:w="2210"/>
      </w:tblGrid>
      <w:tr>
        <w:trPr/>
        <w:tc>
          <w:tcPr>
            <w:tcW w:w="335" w:type="dxa"/>
            <w:tcBorders/>
            <w:shd w:fill="auto" w:val="clear"/>
            <w:vAlign w:val="center"/>
          </w:tcPr>
          <w:p>
            <w:pPr>
              <w:pStyle w:val="TableContents"/>
              <w:spacing w:before="0" w:after="0"/>
              <w:jc w:val="left"/>
              <w:rPr>
                <w:b/>
                <w:spacing w:val="0"/>
              </w:rPr>
            </w:pPr>
            <w:r>
              <w:rPr>
                <w:b/>
                <w:spacing w:val="0"/>
              </w:rPr>
              <w:t>27.</w:t>
            </w:r>
          </w:p>
        </w:tc>
        <w:tc>
          <w:tcPr>
            <w:tcW w:w="22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SUBSEQUENT EVENTS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31"/>
        <w:gridCol w:w="9899"/>
      </w:tblGrid>
      <w:tr>
        <w:trPr/>
        <w:tc>
          <w:tcPr>
            <w:tcW w:w="75" w:type="dxa"/>
            <w:tcBorders/>
            <w:shd w:fill="auto" w:val="clear"/>
            <w:vAlign w:val="center"/>
          </w:tcPr>
          <w:p>
            <w:pPr>
              <w:pStyle w:val="TableContents"/>
              <w:spacing w:before="0" w:after="0"/>
              <w:rPr>
                <w:spacing w:val="0"/>
              </w:rPr>
            </w:pPr>
            <w:r>
              <w:rPr>
                <w:spacing w:val="0"/>
              </w:rPr>
              <w:t> </w:t>
            </w:r>
          </w:p>
        </w:tc>
        <w:tc>
          <w:tcPr>
            <w:tcW w:w="231" w:type="dxa"/>
            <w:tcBorders/>
            <w:shd w:fill="auto" w:val="clear"/>
            <w:vAlign w:val="center"/>
          </w:tcPr>
          <w:p>
            <w:pPr>
              <w:pStyle w:val="TableContents"/>
              <w:spacing w:before="0" w:after="0"/>
              <w:jc w:val="left"/>
              <w:rPr>
                <w:spacing w:val="0"/>
              </w:rPr>
            </w:pPr>
            <w:r>
              <w:rPr>
                <w:spacing w:val="0"/>
              </w:rPr>
              <w:t>(a)</w:t>
            </w:r>
          </w:p>
        </w:tc>
        <w:tc>
          <w:tcPr>
            <w:tcW w:w="989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On January 5, 2023, MCO Nominee One repaid the outstanding principal amount of HK$5,311,047 (equivalent to $680,074) along with accrued interest under the 2020 Credit Facilities. On January </w:t>
            </w:r>
          </w:p>
          <w:p>
            <w:pPr>
              <w:pStyle w:val="TableContents"/>
              <w:spacing w:before="0" w:after="0"/>
              <w:jc w:val="left"/>
              <w:rPr>
                <w:rFonts w:ascii="Times New Roman" w:hAnsi="Times New Roman"/>
                <w:spacing w:val="0"/>
                <w:sz w:val="20"/>
              </w:rPr>
            </w:pPr>
            <w:r>
              <w:rPr>
                <w:rFonts w:ascii="Times New Roman" w:hAnsi="Times New Roman"/>
                <w:spacing w:val="0"/>
                <w:sz w:val="20"/>
              </w:rPr>
              <w:t>1</w:t>
            </w:r>
          </w:p>
          <w:p>
            <w:pPr>
              <w:pStyle w:val="TableContents"/>
              <w:spacing w:before="0" w:after="0"/>
              <w:jc w:val="left"/>
              <w:rPr>
                <w:rFonts w:ascii="Times New Roman" w:hAnsi="Times New Roman"/>
                <w:spacing w:val="0"/>
                <w:sz w:val="20"/>
              </w:rPr>
            </w:pPr>
            <w:r>
              <w:rPr>
                <w:rFonts w:ascii="Times New Roman" w:hAnsi="Times New Roman"/>
                <w:spacing w:val="0"/>
                <w:sz w:val="20"/>
              </w:rPr>
              <w:t xml:space="preserve">0, 2023, MCO Nominee One drew down $300,000 under the 2020 Credit Facilities for working capital purposes. On January 30, 2023, MCO Nominee One repaid the outstanding principal amount of $170,000 along with accrued interest under the 2020 Credit Facilities. </w:t>
            </w:r>
          </w:p>
        </w:tc>
      </w:tr>
    </w:tbl>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234"/>
        <w:gridCol w:w="9896"/>
      </w:tblGrid>
      <w:tr>
        <w:trPr/>
        <w:tc>
          <w:tcPr>
            <w:tcW w:w="75" w:type="dxa"/>
            <w:tcBorders/>
            <w:shd w:fill="auto" w:val="clear"/>
            <w:vAlign w:val="center"/>
          </w:tcPr>
          <w:p>
            <w:pPr>
              <w:pStyle w:val="TableContents"/>
              <w:spacing w:before="0" w:after="0"/>
              <w:rPr>
                <w:spacing w:val="0"/>
              </w:rPr>
            </w:pPr>
            <w:r>
              <w:rPr>
                <w:spacing w:val="0"/>
              </w:rPr>
              <w:t> </w:t>
            </w:r>
          </w:p>
        </w:tc>
        <w:tc>
          <w:tcPr>
            <w:tcW w:w="234" w:type="dxa"/>
            <w:tcBorders/>
            <w:shd w:fill="auto" w:val="clear"/>
            <w:vAlign w:val="center"/>
          </w:tcPr>
          <w:p>
            <w:pPr>
              <w:pStyle w:val="TableContents"/>
              <w:spacing w:before="0" w:after="0"/>
              <w:jc w:val="left"/>
              <w:rPr>
                <w:spacing w:val="0"/>
              </w:rPr>
            </w:pPr>
            <w:r>
              <w:rPr>
                <w:spacing w:val="0"/>
              </w:rPr>
              <w:t>(b)</w:t>
            </w:r>
          </w:p>
        </w:tc>
        <w:tc>
          <w:tcPr>
            <w:tcW w:w="9896" w:type="dxa"/>
            <w:tcBorders/>
            <w:shd w:fill="auto" w:val="clear"/>
            <w:vAlign w:val="center"/>
          </w:tcPr>
          <w:p>
            <w:pPr>
              <w:pStyle w:val="TableContents"/>
              <w:spacing w:before="0" w:after="0"/>
              <w:ind w:left="0" w:right="0" w:hanging="0"/>
              <w:jc w:val="left"/>
              <w:rPr>
                <w:rFonts w:ascii="Times New Roman" w:hAnsi="Times New Roman"/>
                <w:spacing w:val="0"/>
                <w:sz w:val="20"/>
              </w:rPr>
            </w:pPr>
            <w:r>
              <w:rPr>
                <w:rFonts w:ascii="Times New Roman" w:hAnsi="Times New Roman"/>
                <w:spacing w:val="0"/>
                <w:sz w:val="20"/>
              </w:rPr>
              <w:t xml:space="preserve">On March 8, 2023, Melco, Melco International and Melco Leisure entered into a share repurchase agreement, pursuant to which Melco agreed to repurchase 40,373,076 ordinary shares of Melco from Melco Leisure (the “2023 Share Repurchase”). On March 10, 2023, the 2023 Share Repurchase was completed for an aggregate consideration of $169,836, which represents an average price of $4.2067 per share or $12.62 </w:t>
            </w:r>
          </w:p>
          <w:p>
            <w:pPr>
              <w:pStyle w:val="TableContents"/>
              <w:spacing w:before="0" w:after="0"/>
              <w:ind w:left="0" w:right="0" w:hanging="0"/>
              <w:jc w:val="left"/>
              <w:rPr>
                <w:rFonts w:ascii="Times New Roman" w:hAnsi="Times New Roman"/>
                <w:spacing w:val="0"/>
                <w:sz w:val="20"/>
              </w:rPr>
            </w:pPr>
            <w:r>
              <w:rPr>
                <w:rFonts w:ascii="Times New Roman" w:hAnsi="Times New Roman"/>
                <w:spacing w:val="0"/>
                <w:sz w:val="20"/>
              </w:rPr>
              <w:t>per ADS and 40,373,076 ordinary shares of Melco repurchased from Melco Leisure were retired on the same date. The outstanding principal amount of $</w:t>
            </w:r>
          </w:p>
          <w:p>
            <w:pPr>
              <w:pStyle w:val="TableContents"/>
              <w:spacing w:before="0" w:after="0"/>
              <w:jc w:val="left"/>
              <w:rPr>
                <w:rFonts w:ascii="Times New Roman" w:hAnsi="Times New Roman"/>
                <w:spacing w:val="0"/>
                <w:sz w:val="20"/>
              </w:rPr>
            </w:pPr>
            <w:r>
              <w:rPr>
                <w:rFonts w:ascii="Times New Roman" w:hAnsi="Times New Roman"/>
                <w:spacing w:val="0"/>
                <w:sz w:val="20"/>
              </w:rPr>
              <w:t>200,000 </w:t>
            </w:r>
          </w:p>
          <w:p>
            <w:pPr>
              <w:pStyle w:val="TableContents"/>
              <w:spacing w:before="0" w:after="0"/>
              <w:jc w:val="left"/>
              <w:rPr>
                <w:rFonts w:ascii="Times New Roman" w:hAnsi="Times New Roman"/>
                <w:spacing w:val="0"/>
                <w:sz w:val="20"/>
              </w:rPr>
            </w:pPr>
            <w:r>
              <w:rPr>
                <w:rFonts w:ascii="Times New Roman" w:hAnsi="Times New Roman"/>
                <w:spacing w:val="0"/>
                <w:sz w:val="20"/>
              </w:rPr>
              <w:t>under the Facility Agreement was fully repaid by Melco International on January 18, 2023</w:t>
            </w:r>
          </w:p>
          <w:p>
            <w:pPr>
              <w:pStyle w:val="TableContents"/>
              <w:spacing w:before="0" w:after="0"/>
              <w:ind w:left="0" w:right="0" w:hanging="0"/>
              <w:jc w:val="left"/>
              <w:rPr>
                <w:rFonts w:ascii="Times New Roman" w:hAnsi="Times New Roman"/>
                <w:spacing w:val="0"/>
                <w:sz w:val="20"/>
              </w:rPr>
            </w:pPr>
            <w:r>
              <w:rPr>
                <w:rFonts w:ascii="Times New Roman" w:hAnsi="Times New Roman"/>
                <w:spacing w:val="0"/>
                <w:sz w:val="20"/>
              </w:rPr>
              <w:t>. The Facility Agreement was terminated on March 10, 2023 following the settlement of the related accrued loan interest under the Facility Agreement due by Melco International to Melco on the same date.</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TextBody"/>
        <w:spacing w:before="0" w:after="0"/>
        <w:jc w:val="center"/>
        <w:rPr>
          <w:rFonts w:ascii="Times New Roman" w:hAnsi="Times New Roman"/>
          <w:spacing w:val="0"/>
          <w:sz w:val="20"/>
        </w:rPr>
      </w:pPr>
      <w:r>
        <w:rPr>
          <w:rFonts w:ascii="Times New Roman" w:hAnsi="Times New Roman"/>
          <w:spacing w:val="0"/>
          <w:sz w:val="20"/>
        </w:rPr>
        <w:t>7</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MELCO RESORTS &amp; ENTERTAINMENT LIMITED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ADDITIONAL INFORMATION - FINANCIAL STATEMENT SCHEDULE 1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FINANCIAL INFORMATION OF PARENT COMPANY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CONDENSED BALANCE SHEETS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data) </w:t>
      </w:r>
    </w:p>
    <w:p>
      <w:pPr>
        <w:pStyle w:val="TextBody"/>
        <w:spacing w:before="0" w:after="0"/>
        <w:jc w:val="left"/>
        <w:rPr/>
      </w:pPr>
      <w:r>
        <w:rPr/>
      </w:r>
    </w:p>
    <w:tbl>
      <w:tblPr>
        <w:tblW w:w="8870" w:type="dxa"/>
        <w:jc w:val="left"/>
        <w:tblInd w:w="0" w:type="dxa"/>
        <w:tblCellMar>
          <w:top w:w="0" w:type="dxa"/>
          <w:left w:w="0" w:type="dxa"/>
          <w:bottom w:w="0" w:type="dxa"/>
          <w:right w:w="0" w:type="dxa"/>
        </w:tblCellMar>
      </w:tblPr>
      <w:tblGrid>
        <w:gridCol w:w="5975"/>
        <w:gridCol w:w="120"/>
        <w:gridCol w:w="140"/>
        <w:gridCol w:w="1055"/>
        <w:gridCol w:w="95"/>
        <w:gridCol w:w="120"/>
        <w:gridCol w:w="140"/>
        <w:gridCol w:w="1055"/>
        <w:gridCol w:w="170"/>
      </w:tblGrid>
      <w:tr>
        <w:trPr/>
        <w:tc>
          <w:tcPr>
            <w:tcW w:w="59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9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605" w:type="dxa"/>
            <w:gridSpan w:val="6"/>
            <w:tcBorders/>
            <w:shd w:fill="auto" w:val="clear"/>
            <w:vAlign w:val="center"/>
          </w:tcPr>
          <w:p>
            <w:pPr>
              <w:pStyle w:val="TableContents"/>
              <w:spacing w:before="0" w:after="0"/>
              <w:jc w:val="center"/>
              <w:rPr>
                <w:spacing w:val="0"/>
              </w:rPr>
            </w:pPr>
            <w:r>
              <w:rPr>
                <w:spacing w:val="0"/>
              </w:rPr>
              <w:t>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597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95" w:type="dxa"/>
            <w:gridSpan w:val="2"/>
            <w:tcBorders/>
            <w:shd w:fill="auto" w:val="clear"/>
            <w:vAlign w:val="center"/>
          </w:tcPr>
          <w:p>
            <w:pPr>
              <w:pStyle w:val="TableContents"/>
              <w:spacing w:before="0" w:after="0"/>
              <w:jc w:val="center"/>
              <w:rPr>
                <w:spacing w:val="0"/>
              </w:rPr>
            </w:pPr>
            <w:r>
              <w:rPr>
                <w:spacing w:val="0"/>
              </w:rPr>
              <w:t>2022</w:t>
            </w:r>
          </w:p>
        </w:tc>
        <w:tc>
          <w:tcPr>
            <w:tcW w:w="9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195" w:type="dxa"/>
            <w:gridSpan w:val="2"/>
            <w:tcBorders/>
            <w:shd w:fill="auto" w:val="clear"/>
            <w:vAlign w:val="center"/>
          </w:tcPr>
          <w:p>
            <w:pPr>
              <w:pStyle w:val="TableContents"/>
              <w:spacing w:before="0" w:after="0"/>
              <w:jc w:val="center"/>
              <w:rPr>
                <w:spacing w:val="0"/>
              </w:rPr>
            </w:pPr>
            <w:r>
              <w:rPr>
                <w:spacing w:val="0"/>
              </w:rPr>
              <w:t>2021</w:t>
            </w:r>
          </w:p>
        </w:tc>
        <w:tc>
          <w:tcPr>
            <w:tcW w:w="170" w:type="dxa"/>
            <w:tcBorders/>
            <w:shd w:fill="auto" w:val="clear"/>
            <w:vAlign w:val="center"/>
          </w:tcPr>
          <w:p>
            <w:pPr>
              <w:pStyle w:val="TableContents"/>
              <w:spacing w:before="0" w:after="0"/>
              <w:rPr>
                <w:spacing w:val="0"/>
              </w:rPr>
            </w:pPr>
            <w:r>
              <w:rPr>
                <w:spacing w:val="0"/>
              </w:rPr>
              <w:t> </w:t>
            </w:r>
          </w:p>
        </w:tc>
      </w:tr>
      <w:tr>
        <w:trPr/>
        <w:tc>
          <w:tcPr>
            <w:tcW w:w="59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9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105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5975" w:type="dxa"/>
            <w:tcBorders/>
            <w:shd w:fill="auto" w:val="clear"/>
            <w:vAlign w:val="center"/>
          </w:tcPr>
          <w:p>
            <w:pPr>
              <w:pStyle w:val="TableContents"/>
              <w:spacing w:before="0" w:after="283"/>
              <w:rPr>
                <w:sz w:val="4"/>
                <w:szCs w:val="4"/>
              </w:rPr>
            </w:pPr>
            <w:r>
              <w:rPr>
                <w:sz w:val="4"/>
                <w:szCs w:val="4"/>
              </w:rPr>
            </w:r>
          </w:p>
        </w:tc>
        <w:tc>
          <w:tcPr>
            <w:tcW w:w="1410" w:type="dxa"/>
            <w:gridSpan w:val="4"/>
            <w:tcBorders/>
            <w:shd w:fill="auto" w:val="clear"/>
            <w:vAlign w:val="center"/>
          </w:tcPr>
          <w:p>
            <w:pPr>
              <w:pStyle w:val="TableContents"/>
              <w:spacing w:before="0" w:after="283"/>
              <w:rPr>
                <w:sz w:val="4"/>
                <w:szCs w:val="4"/>
              </w:rPr>
            </w:pPr>
            <w:r>
              <w:rPr>
                <w:sz w:val="4"/>
                <w:szCs w:val="4"/>
              </w:rPr>
            </w:r>
          </w:p>
        </w:tc>
        <w:tc>
          <w:tcPr>
            <w:tcW w:w="1485" w:type="dxa"/>
            <w:gridSpan w:val="4"/>
            <w:tcBorders/>
            <w:shd w:fill="auto" w:val="clear"/>
            <w:vAlign w:val="center"/>
          </w:tcPr>
          <w:p>
            <w:pPr>
              <w:pStyle w:val="TableContents"/>
              <w:spacing w:before="0" w:after="283"/>
              <w:rPr>
                <w:sz w:val="4"/>
                <w:szCs w:val="4"/>
              </w:rPr>
            </w:pPr>
            <w:r>
              <w:rPr>
                <w:sz w:val="4"/>
                <w:szCs w:val="4"/>
              </w:rPr>
            </w:r>
          </w:p>
        </w:tc>
      </w:tr>
      <w:tr>
        <w:trPr/>
        <w:tc>
          <w:tcPr>
            <w:tcW w:w="59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975" w:type="dxa"/>
            <w:tcBorders/>
            <w:shd w:fill="CCEEFF" w:val="clear"/>
            <w:vAlign w:val="center"/>
          </w:tcPr>
          <w:p>
            <w:pPr>
              <w:pStyle w:val="TableContents"/>
              <w:spacing w:before="0" w:after="0"/>
              <w:rPr>
                <w:spacing w:val="0"/>
                <w:sz w:val="20"/>
              </w:rPr>
            </w:pPr>
            <w:r>
              <w:rPr>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7,407</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4,069</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Receivables from affiliated companies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779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390</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z w:val="20"/>
              </w:rPr>
            </w:pPr>
            <w:r>
              <w:rPr>
                <w:sz w:val="20"/>
              </w:rPr>
              <w:t>Receivables from subsidiaries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157,737</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200,913</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Prepaid expenses and other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9,527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9,467</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pacing w:val="0"/>
                <w:sz w:val="20"/>
              </w:rPr>
            </w:pPr>
            <w:r>
              <w:rPr>
                <w:spacing w:val="0"/>
                <w:sz w:val="20"/>
              </w:rPr>
              <w:t>Total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175,450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214,839</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Investments in subsidiaries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423,520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1,338,568</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z w:val="20"/>
              </w:rPr>
            </w:pPr>
            <w:r>
              <w:rPr>
                <w:sz w:val="20"/>
              </w:rPr>
              <w:t>Receivables from an affiliated company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216,333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z w:val="20"/>
              </w:rPr>
            </w:pPr>
            <w:r>
              <w:rPr>
                <w:sz w:val="20"/>
              </w:rPr>
              <w:t>Receivables from a subsidiary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165,056</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pacing w:val="0"/>
                <w:sz w:val="20"/>
              </w:rPr>
            </w:pPr>
            <w:r>
              <w:rPr>
                <w:spacing w:val="0"/>
                <w:sz w:val="20"/>
              </w:rPr>
              <w:t>Deferred tax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3,314</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Total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980,359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1,556,721</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410" w:type="dxa"/>
            <w:gridSpan w:val="4"/>
            <w:tcBorders/>
            <w:shd w:fill="auto" w:val="clear"/>
            <w:vAlign w:val="center"/>
          </w:tcPr>
          <w:p>
            <w:pPr>
              <w:pStyle w:val="TableContents"/>
              <w:spacing w:before="0" w:after="283"/>
              <w:rPr/>
            </w:pPr>
            <w:r>
              <w:rPr/>
              <w:t> </w:t>
            </w:r>
          </w:p>
        </w:tc>
        <w:tc>
          <w:tcPr>
            <w:tcW w:w="1485" w:type="dxa"/>
            <w:gridSpan w:val="4"/>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ind w:left="0" w:right="0" w:hanging="0"/>
              <w:rPr>
                <w:b/>
                <w:spacing w:val="0"/>
                <w:sz w:val="20"/>
              </w:rPr>
            </w:pPr>
            <w:r>
              <w:rPr>
                <w:b/>
                <w:spacing w:val="0"/>
                <w:sz w:val="20"/>
              </w:rPr>
              <w:t xml:space="preserve">LIABILITIES AND SHAREHOLDERS’ </w:t>
            </w:r>
          </w:p>
          <w:p>
            <w:pPr>
              <w:pStyle w:val="TableContents"/>
              <w:spacing w:before="0" w:after="0"/>
              <w:rPr>
                <w:b/>
                <w:spacing w:val="0"/>
                <w:sz w:val="20"/>
              </w:rPr>
            </w:pPr>
            <w:r>
              <w:rPr>
                <w:b/>
                <w:spacing w:val="0"/>
                <w:sz w:val="20"/>
              </w:rPr>
              <w:t>(DEFICIT)</w:t>
            </w:r>
          </w:p>
          <w:p>
            <w:pPr>
              <w:pStyle w:val="TableContents"/>
              <w:spacing w:before="0" w:after="0"/>
              <w:rPr>
                <w:spacing w:val="0"/>
              </w:rPr>
            </w:pPr>
            <w:r>
              <w:rPr>
                <w:spacing w:val="0"/>
              </w:rPr>
              <w:t> </w:t>
            </w:r>
          </w:p>
          <w:p>
            <w:pPr>
              <w:pStyle w:val="TableContents"/>
              <w:spacing w:before="0" w:after="0"/>
              <w:rPr>
                <w:b/>
                <w:spacing w:val="0"/>
                <w:sz w:val="20"/>
              </w:rPr>
            </w:pPr>
            <w:r>
              <w:rPr>
                <w:b/>
                <w:spacing w:val="0"/>
                <w:sz w:val="20"/>
              </w:rPr>
              <w:t>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410" w:type="dxa"/>
            <w:gridSpan w:val="4"/>
            <w:tcBorders/>
            <w:shd w:fill="auto" w:val="clear"/>
            <w:vAlign w:val="center"/>
          </w:tcPr>
          <w:p>
            <w:pPr>
              <w:pStyle w:val="TableContents"/>
              <w:spacing w:before="0" w:after="283"/>
              <w:rPr/>
            </w:pPr>
            <w:r>
              <w:rPr/>
              <w:t> </w:t>
            </w:r>
          </w:p>
        </w:tc>
        <w:tc>
          <w:tcPr>
            <w:tcW w:w="1485" w:type="dxa"/>
            <w:gridSpan w:val="4"/>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pacing w:val="0"/>
                <w:sz w:val="20"/>
              </w:rPr>
            </w:pPr>
            <w:r>
              <w:rPr>
                <w:spacing w:val="0"/>
                <w:sz w:val="20"/>
              </w:rPr>
              <w:t>Accrued expenses and other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26,811</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17,440</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Income tax payable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1,417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931</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pacing w:val="0"/>
                <w:sz w:val="20"/>
              </w:rPr>
            </w:pPr>
            <w:r>
              <w:rPr>
                <w:spacing w:val="0"/>
                <w:sz w:val="20"/>
              </w:rPr>
              <w:t>Payables to an affiliated company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75</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60</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z w:val="20"/>
              </w:rPr>
            </w:pPr>
            <w:r>
              <w:rPr>
                <w:sz w:val="20"/>
              </w:rPr>
              <w:t>Payables to subsidiaries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260,720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249,155</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pacing w:val="0"/>
                <w:sz w:val="20"/>
              </w:rPr>
            </w:pPr>
            <w:r>
              <w:rPr>
                <w:spacing w:val="0"/>
                <w:sz w:val="20"/>
              </w:rPr>
              <w:t>Total 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289,023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267,586</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Other long-term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227</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1,512</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z w:val="20"/>
              </w:rPr>
            </w:pPr>
            <w:r>
              <w:rPr>
                <w:sz w:val="20"/>
              </w:rPr>
              <w:t>Payables to subsidiaries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1,541,434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1,042,877</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Total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1,830,684</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1,311,975</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410" w:type="dxa"/>
            <w:gridSpan w:val="4"/>
            <w:tcBorders/>
            <w:shd w:fill="auto" w:val="clear"/>
            <w:vAlign w:val="center"/>
          </w:tcPr>
          <w:p>
            <w:pPr>
              <w:pStyle w:val="TableContents"/>
              <w:spacing w:before="0" w:after="283"/>
              <w:rPr/>
            </w:pPr>
            <w:r>
              <w:rPr/>
              <w:t> </w:t>
            </w:r>
          </w:p>
        </w:tc>
        <w:tc>
          <w:tcPr>
            <w:tcW w:w="1485" w:type="dxa"/>
            <w:gridSpan w:val="4"/>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ind w:left="0" w:right="0" w:hanging="0"/>
              <w:rPr>
                <w:spacing w:val="0"/>
                <w:sz w:val="20"/>
              </w:rPr>
            </w:pPr>
            <w:r>
              <w:rPr>
                <w:spacing w:val="0"/>
                <w:sz w:val="20"/>
              </w:rPr>
              <w:t xml:space="preserve">Shareholders’ </w:t>
            </w:r>
          </w:p>
          <w:p>
            <w:pPr>
              <w:pStyle w:val="TableContents"/>
              <w:spacing w:before="0" w:after="0"/>
              <w:rPr>
                <w:spacing w:val="0"/>
                <w:sz w:val="20"/>
              </w:rPr>
            </w:pPr>
            <w:r>
              <w:rPr>
                <w:spacing w:val="0"/>
                <w:sz w:val="20"/>
              </w:rPr>
              <w:t>(deficit) </w:t>
            </w:r>
          </w:p>
          <w:p>
            <w:pPr>
              <w:pStyle w:val="TableContents"/>
              <w:spacing w:before="0" w:after="0"/>
              <w:rPr>
                <w:spacing w:val="0"/>
                <w:sz w:val="20"/>
              </w:rPr>
            </w:pPr>
            <w:r>
              <w:rPr>
                <w:spacing w:val="0"/>
                <w:sz w:val="20"/>
              </w:rPr>
              <w:t>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Ordinary shares, par value $0.01; 7,300,000,000 shares authorized;</w:t>
              <w:br/>
              <w:t>1,445,052,143 and 1,456,547,942 shares issued; 1,335,307,327 and</w:t>
              <w:br/>
              <w:t>1,423,370,314 shares outstanding,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14,451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14,565</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pacing w:val="0"/>
                <w:sz w:val="20"/>
              </w:rPr>
            </w:pPr>
            <w:r>
              <w:rPr>
                <w:spacing w:val="0"/>
                <w:sz w:val="20"/>
              </w:rPr>
              <w:t>Treasury shares, at cost; 109,744,816 and 33,177,628 shares,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(241,750</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(132,856</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z w:val="20"/>
              </w:rPr>
            </w:pPr>
            <w:r>
              <w:rPr>
                <w:sz w:val="20"/>
              </w:rPr>
              <w:t xml:space="preserve">Additional </w:t>
            </w:r>
          </w:p>
          <w:p>
            <w:pPr>
              <w:pStyle w:val="TableContents"/>
              <w:spacing w:before="0" w:after="0"/>
              <w:rPr>
                <w:spacing w:val="0"/>
                <w:sz w:val="20"/>
              </w:rPr>
            </w:pPr>
            <w:r>
              <w:rPr>
                <w:spacing w:val="0"/>
                <w:sz w:val="20"/>
              </w:rPr>
              <w:t>paid-in</w:t>
            </w:r>
          </w:p>
          <w:p>
            <w:pPr>
              <w:pStyle w:val="TableContents"/>
              <w:spacing w:before="0" w:after="0"/>
              <w:rPr>
                <w:sz w:val="20"/>
              </w:rPr>
            </w:pPr>
            <w:r>
              <w:rPr>
                <w:sz w:val="20"/>
              </w:rPr>
              <w:t>capital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3,218,895</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3,238,600</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rPr>
                <w:spacing w:val="0"/>
                <w:sz w:val="20"/>
              </w:rPr>
            </w:pPr>
            <w:r>
              <w:rPr>
                <w:spacing w:val="0"/>
                <w:sz w:val="20"/>
              </w:rPr>
              <w:t>Accumulated other comprehensive losses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(111,969</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(76,008</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rPr>
                <w:spacing w:val="0"/>
                <w:sz w:val="20"/>
              </w:rPr>
            </w:pPr>
            <w:r>
              <w:rPr>
                <w:spacing w:val="0"/>
                <w:sz w:val="20"/>
              </w:rPr>
              <w:t>Accumulated losses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(3,729,952</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(2,799,555</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CCEEFF" w:val="clear"/>
            <w:vAlign w:val="center"/>
          </w:tcPr>
          <w:p>
            <w:pPr>
              <w:pStyle w:val="TableContents"/>
              <w:spacing w:before="0" w:after="0"/>
              <w:ind w:left="0" w:right="0" w:hanging="0"/>
              <w:rPr>
                <w:spacing w:val="0"/>
                <w:sz w:val="20"/>
              </w:rPr>
            </w:pPr>
            <w:r>
              <w:rPr>
                <w:spacing w:val="0"/>
                <w:sz w:val="20"/>
              </w:rPr>
              <w:t xml:space="preserve">Total shareholders’ </w:t>
            </w:r>
          </w:p>
          <w:p>
            <w:pPr>
              <w:pStyle w:val="TableContents"/>
              <w:spacing w:before="0" w:after="0"/>
              <w:rPr>
                <w:spacing w:val="0"/>
                <w:sz w:val="20"/>
              </w:rPr>
            </w:pPr>
            <w:r>
              <w:rPr>
                <w:spacing w:val="0"/>
                <w:sz w:val="20"/>
              </w:rPr>
              <w:t>(deficit) </w:t>
            </w:r>
          </w:p>
          <w:p>
            <w:pPr>
              <w:pStyle w:val="TableContents"/>
              <w:spacing w:before="0" w:after="0"/>
              <w:rPr>
                <w:spacing w:val="0"/>
                <w:sz w:val="20"/>
              </w:rPr>
            </w:pPr>
            <w:r>
              <w:rPr>
                <w:spacing w:val="0"/>
                <w:sz w:val="20"/>
              </w:rPr>
              <w:t>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(850,325</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244,746</w:t>
            </w:r>
          </w:p>
        </w:tc>
        <w:tc>
          <w:tcPr>
            <w:tcW w:w="170" w:type="dxa"/>
            <w:tcBorders/>
            <w:shd w:fill="CCEEFF"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0"/>
              <w:ind w:left="0" w:right="0" w:hanging="0"/>
              <w:rPr>
                <w:spacing w:val="0"/>
                <w:sz w:val="20"/>
              </w:rPr>
            </w:pPr>
            <w:r>
              <w:rPr>
                <w:spacing w:val="0"/>
                <w:sz w:val="20"/>
              </w:rPr>
              <w:t xml:space="preserve">Total liabilities and shareholders’ </w:t>
            </w:r>
          </w:p>
          <w:p>
            <w:pPr>
              <w:pStyle w:val="TableContents"/>
              <w:spacing w:before="0" w:after="0"/>
              <w:rPr>
                <w:spacing w:val="0"/>
                <w:sz w:val="20"/>
              </w:rPr>
            </w:pPr>
            <w:r>
              <w:rPr>
                <w:spacing w:val="0"/>
                <w:sz w:val="20"/>
              </w:rPr>
              <w:t>(deficit) </w:t>
            </w:r>
          </w:p>
          <w:p>
            <w:pPr>
              <w:pStyle w:val="TableContents"/>
              <w:spacing w:before="0" w:after="0"/>
              <w:rPr>
                <w:spacing w:val="0"/>
                <w:sz w:val="20"/>
              </w:rPr>
            </w:pPr>
            <w:r>
              <w:rPr>
                <w:spacing w:val="0"/>
                <w:sz w:val="20"/>
              </w:rPr>
              <w:t>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980,359</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jc w:val="right"/>
              <w:rPr/>
            </w:pPr>
            <w:r>
              <w:rPr/>
              <w:t>1,556,721</w:t>
            </w:r>
          </w:p>
        </w:tc>
        <w:tc>
          <w:tcPr>
            <w:tcW w:w="170" w:type="dxa"/>
            <w:tcBorders/>
            <w:shd w:fill="auto" w:val="clear"/>
            <w:vAlign w:val="center"/>
          </w:tcPr>
          <w:p>
            <w:pPr>
              <w:pStyle w:val="TableContents"/>
              <w:spacing w:before="0" w:after="283"/>
              <w:rPr/>
            </w:pPr>
            <w:r>
              <w:rPr/>
              <w:t> </w:t>
            </w:r>
          </w:p>
        </w:tc>
      </w:tr>
      <w:tr>
        <w:trPr/>
        <w:tc>
          <w:tcPr>
            <w:tcW w:w="59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TextBody"/>
        <w:spacing w:before="0" w:after="0"/>
        <w:jc w:val="center"/>
        <w:rPr>
          <w:rFonts w:ascii="Times New Roman" w:hAnsi="Times New Roman"/>
          <w:spacing w:val="0"/>
          <w:sz w:val="20"/>
        </w:rPr>
      </w:pPr>
      <w:r>
        <w:rPr>
          <w:rFonts w:ascii="Times New Roman" w:hAnsi="Times New Roman"/>
          <w:spacing w:val="0"/>
          <w:sz w:val="20"/>
        </w:rPr>
        <w:t>8</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ADDITIONAL INFORMATION - FINANCIAL STATEMENT SCHEDULE 1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FINANCIAL INFORMATION OF PARENT COMPANY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CONDENSED STATEMENTS OF OPERATIONS</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w:t>
      </w:r>
    </w:p>
    <w:p>
      <w:pPr>
        <w:pStyle w:val="TextBody"/>
        <w:spacing w:before="0" w:after="0"/>
        <w:ind w:left="0" w:right="0" w:hanging="0"/>
        <w:jc w:val="left"/>
        <w:rPr>
          <w:spacing w:val="0"/>
        </w:rPr>
      </w:pPr>
      <w:r>
        <w:rPr>
          <w:spacing w:val="0"/>
        </w:rPr>
        <w:t> </w:t>
      </w:r>
    </w:p>
    <w:tbl>
      <w:tblPr>
        <w:tblW w:w="6965" w:type="dxa"/>
        <w:jc w:val="left"/>
        <w:tblInd w:w="0" w:type="dxa"/>
        <w:tblCellMar>
          <w:top w:w="0" w:type="dxa"/>
          <w:left w:w="0" w:type="dxa"/>
          <w:bottom w:w="0" w:type="dxa"/>
          <w:right w:w="0" w:type="dxa"/>
        </w:tblCellMar>
      </w:tblPr>
      <w:tblGrid>
        <w:gridCol w:w="2960"/>
        <w:gridCol w:w="120"/>
        <w:gridCol w:w="140"/>
        <w:gridCol w:w="875"/>
        <w:gridCol w:w="155"/>
        <w:gridCol w:w="120"/>
        <w:gridCol w:w="140"/>
        <w:gridCol w:w="875"/>
        <w:gridCol w:w="155"/>
        <w:gridCol w:w="60"/>
        <w:gridCol w:w="140"/>
        <w:gridCol w:w="1055"/>
        <w:gridCol w:w="170"/>
      </w:tblGrid>
      <w:tr>
        <w:trPr/>
        <w:tc>
          <w:tcPr>
            <w:tcW w:w="29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9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715" w:type="dxa"/>
            <w:gridSpan w:val="10"/>
            <w:tcBorders/>
            <w:shd w:fill="auto" w:val="cle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29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shd w:fill="auto" w:val="clear"/>
            <w:vAlign w:val="center"/>
          </w:tcPr>
          <w:p>
            <w:pPr>
              <w:pStyle w:val="TableContents"/>
              <w:spacing w:before="0" w:after="0"/>
              <w:jc w:val="center"/>
              <w:rPr>
                <w:spacing w:val="0"/>
              </w:rPr>
            </w:pPr>
            <w:r>
              <w:rPr>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shd w:fill="auto" w:val="cle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195" w:type="dxa"/>
            <w:gridSpan w:val="2"/>
            <w:tcBorders/>
            <w:shd w:fill="auto" w:val="cle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15,340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9,547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14,614</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(50,532</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(51,285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(60,688</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Development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(32,000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(30,242</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charges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(406</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(956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(3,782</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costs and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(50,938</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(84,241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(94,712</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(35,598</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(74,694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(80,098</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rFonts w:ascii="Times New Roman" w:hAnsi="Times New Roman"/>
                <w:spacing w:val="0"/>
                <w:sz w:val="20"/>
              </w:rPr>
            </w:pPr>
            <w:r>
              <w:rPr>
                <w:rFonts w:ascii="Times New Roman" w:hAnsi="Times New Roman"/>
                <w:spacing w:val="0"/>
                <w:sz w:val="20"/>
              </w:rPr>
              <w:t>income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16,151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58</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(3,165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 exchange gains (losses),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7,437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6,211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(4,871</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income,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11,220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15,092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14,530</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 of results of subsidiaries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(922,771</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(755,678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(1,195,569</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Total </w:t>
            </w:r>
          </w:p>
          <w:p>
            <w:pPr>
              <w:pStyle w:val="TableContents"/>
              <w:spacing w:before="0" w:after="0"/>
              <w:rPr>
                <w:rFonts w:ascii="Times New Roman" w:hAnsi="Times New Roman"/>
                <w:spacing w:val="0"/>
                <w:sz w:val="20"/>
              </w:rPr>
            </w:pPr>
            <w:r>
              <w:rPr>
                <w:rFonts w:ascii="Times New Roman" w:hAnsi="Times New Roman"/>
                <w:spacing w:val="0"/>
                <w:sz w:val="20"/>
              </w:rPr>
              <w:t>non-operating</w:t>
            </w:r>
          </w:p>
          <w:p>
            <w:pPr>
              <w:pStyle w:val="TableContents"/>
              <w:spacing w:before="0" w:after="0"/>
              <w:rPr>
                <w:spacing w:val="0"/>
              </w:rPr>
            </w:pPr>
            <w:r>
              <w:rPr>
                <w:spacing w:val="0"/>
              </w:rPr>
              <w:t> </w:t>
            </w:r>
          </w:p>
          <w:p>
            <w:pPr>
              <w:pStyle w:val="TableContents"/>
              <w:spacing w:before="0" w:after="0"/>
              <w:rPr>
                <w:rFonts w:ascii="Times New Roman" w:hAnsi="Times New Roman"/>
                <w:sz w:val="20"/>
              </w:rPr>
            </w:pPr>
            <w:r>
              <w:rPr>
                <w:rFonts w:ascii="Times New Roman" w:hAnsi="Times New Roman"/>
                <w:sz w:val="20"/>
              </w:rPr>
              <w:t>expenses,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(891,128</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(734,355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(1,185,852</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before income tax</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(926,726</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(809,049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(1,265,950</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 </w:t>
            </w:r>
          </w:p>
          <w:p>
            <w:pPr>
              <w:pStyle w:val="TableContents"/>
              <w:spacing w:before="0" w:after="0"/>
              <w:rPr>
                <w:rFonts w:ascii="Times New Roman" w:hAnsi="Times New Roman"/>
                <w:spacing w:val="0"/>
                <w:sz w:val="20"/>
              </w:rPr>
            </w:pPr>
            <w:r>
              <w:rPr>
                <w:rFonts w:ascii="Times New Roman" w:hAnsi="Times New Roman"/>
                <w:spacing w:val="0"/>
                <w:sz w:val="20"/>
              </w:rPr>
              <w:t>benefit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(3,800</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(2,702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2,458</w:t>
            </w:r>
          </w:p>
        </w:tc>
        <w:tc>
          <w:tcPr>
            <w:tcW w:w="170" w:type="dxa"/>
            <w:tcBorders/>
            <w:shd w:fill="auto"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(930,526</w:t>
            </w:r>
          </w:p>
        </w:tc>
        <w:tc>
          <w:tcPr>
            <w:tcW w:w="15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(811,751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(1,263,492</w:t>
            </w:r>
          </w:p>
        </w:tc>
        <w:tc>
          <w:tcPr>
            <w:tcW w:w="170" w:type="dxa"/>
            <w:tcBorders/>
            <w:shd w:fill="CCEEFF" w:val="clear"/>
            <w:vAlign w:val="center"/>
          </w:tcPr>
          <w:p>
            <w:pPr>
              <w:pStyle w:val="TableContents"/>
              <w:spacing w:before="0" w:after="283"/>
              <w:rPr/>
            </w:pPr>
            <w:r>
              <w:rPr/>
              <w:t>) </w:t>
            </w:r>
          </w:p>
        </w:tc>
      </w:tr>
      <w:tr>
        <w:trPr/>
        <w:tc>
          <w:tcPr>
            <w:tcW w:w="29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89</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ADDITIONAL INFORMATION - FINANCIAL STATEMENT SCHEDULE 1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FINANCIAL INFORMATION OF PARENT COMPANY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CONDENSED STATEMENTS OF COMPREHENSIVE LOSS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w:t>
      </w:r>
    </w:p>
    <w:p>
      <w:pPr>
        <w:pStyle w:val="TextBody"/>
        <w:spacing w:before="0" w:after="0"/>
        <w:ind w:left="0" w:right="0" w:hanging="0"/>
        <w:jc w:val="center"/>
        <w:rPr>
          <w:rFonts w:ascii="Times New Roman" w:hAnsi="Times New Roman"/>
          <w:sz w:val="20"/>
        </w:rPr>
      </w:pPr>
      <w:r>
        <w:rPr>
          <w:rFonts w:ascii="Times New Roman" w:hAnsi="Times New Roman"/>
          <w:sz w:val="20"/>
        </w:rPr>
      </w:r>
    </w:p>
    <w:p>
      <w:pPr>
        <w:pStyle w:val="TextBody"/>
        <w:spacing w:before="0" w:after="0"/>
        <w:ind w:left="0" w:right="0" w:hanging="0"/>
        <w:jc w:val="left"/>
        <w:rPr>
          <w:spacing w:val="0"/>
        </w:rPr>
      </w:pPr>
      <w:r>
        <w:rPr>
          <w:spacing w:val="0"/>
        </w:rPr>
        <w:t> </w:t>
      </w:r>
    </w:p>
    <w:tbl>
      <w:tblPr>
        <w:tblW w:w="7295" w:type="dxa"/>
        <w:jc w:val="left"/>
        <w:tblInd w:w="0" w:type="dxa"/>
        <w:tblCellMar>
          <w:top w:w="0" w:type="dxa"/>
          <w:left w:w="0" w:type="dxa"/>
          <w:bottom w:w="0" w:type="dxa"/>
          <w:right w:w="0" w:type="dxa"/>
        </w:tblCellMar>
      </w:tblPr>
      <w:tblGrid>
        <w:gridCol w:w="3350"/>
        <w:gridCol w:w="120"/>
        <w:gridCol w:w="140"/>
        <w:gridCol w:w="875"/>
        <w:gridCol w:w="95"/>
        <w:gridCol w:w="120"/>
        <w:gridCol w:w="140"/>
        <w:gridCol w:w="875"/>
        <w:gridCol w:w="155"/>
        <w:gridCol w:w="60"/>
        <w:gridCol w:w="140"/>
        <w:gridCol w:w="1055"/>
        <w:gridCol w:w="170"/>
      </w:tblGrid>
      <w:tr>
        <w:trPr/>
        <w:tc>
          <w:tcPr>
            <w:tcW w:w="3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5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3655" w:type="dxa"/>
            <w:gridSpan w:val="10"/>
            <w:tcBorders/>
            <w:shd w:fill="auto" w:val="clear"/>
            <w:vAlign w:val="center"/>
          </w:tcPr>
          <w:p>
            <w:pPr>
              <w:pStyle w:val="TableContents"/>
              <w:spacing w:before="0" w:after="0"/>
              <w:jc w:val="center"/>
              <w:rPr/>
            </w:pPr>
            <w:r>
              <w:rPr/>
              <w:t>Year Ended December 31,</w:t>
            </w:r>
          </w:p>
        </w:tc>
        <w:tc>
          <w:tcPr>
            <w:tcW w:w="170" w:type="dxa"/>
            <w:tcBorders/>
            <w:shd w:fill="auto" w:val="clear"/>
            <w:vAlign w:val="center"/>
          </w:tcPr>
          <w:p>
            <w:pPr>
              <w:pStyle w:val="TableContents"/>
              <w:spacing w:before="0" w:after="0"/>
              <w:rPr/>
            </w:pPr>
            <w:r>
              <w:rPr/>
              <w:t> </w:t>
            </w:r>
          </w:p>
        </w:tc>
      </w:tr>
      <w:tr>
        <w:trPr/>
        <w:tc>
          <w:tcPr>
            <w:tcW w:w="3350"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015" w:type="dxa"/>
            <w:gridSpan w:val="2"/>
            <w:tcBorders/>
            <w:shd w:fill="auto" w:val="clear"/>
            <w:vAlign w:val="center"/>
          </w:tcPr>
          <w:p>
            <w:pPr>
              <w:pStyle w:val="TableContents"/>
              <w:spacing w:before="0" w:after="0"/>
              <w:jc w:val="center"/>
              <w:rPr/>
            </w:pPr>
            <w:r>
              <w:rPr/>
              <w:t>2022</w:t>
            </w:r>
          </w:p>
        </w:tc>
        <w:tc>
          <w:tcPr>
            <w:tcW w:w="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1015" w:type="dxa"/>
            <w:gridSpan w:val="2"/>
            <w:tcBorders/>
            <w:shd w:fill="auto" w:val="clear"/>
            <w:vAlign w:val="center"/>
          </w:tcPr>
          <w:p>
            <w:pPr>
              <w:pStyle w:val="TableContents"/>
              <w:spacing w:before="0" w:after="0"/>
              <w:jc w:val="center"/>
              <w:rPr/>
            </w:pPr>
            <w:r>
              <w:rPr/>
              <w:t>2021</w:t>
            </w:r>
          </w:p>
        </w:tc>
        <w:tc>
          <w:tcPr>
            <w:tcW w:w="15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c>
          <w:tcPr>
            <w:tcW w:w="1195" w:type="dxa"/>
            <w:gridSpan w:val="2"/>
            <w:tcBorders/>
            <w:shd w:fill="auto" w:val="clear"/>
            <w:vAlign w:val="center"/>
          </w:tcPr>
          <w:p>
            <w:pPr>
              <w:pStyle w:val="TableContents"/>
              <w:spacing w:before="0" w:after="0"/>
              <w:jc w:val="center"/>
              <w:rPr/>
            </w:pPr>
            <w:r>
              <w:rPr/>
              <w:t>2020</w:t>
            </w:r>
          </w:p>
        </w:tc>
        <w:tc>
          <w:tcPr>
            <w:tcW w:w="170" w:type="dxa"/>
            <w:tcBorders/>
            <w:shd w:fill="auto" w:val="clear"/>
            <w:vAlign w:val="center"/>
          </w:tcPr>
          <w:p>
            <w:pPr>
              <w:pStyle w:val="TableContents"/>
              <w:spacing w:before="0" w:after="0"/>
              <w:rPr/>
            </w:pPr>
            <w:r>
              <w:rPr/>
              <w:t> </w:t>
            </w:r>
          </w:p>
        </w:tc>
      </w:tr>
      <w:tr>
        <w:trPr/>
        <w:tc>
          <w:tcPr>
            <w:tcW w:w="3350" w:type="dxa"/>
            <w:tcBorders/>
            <w:shd w:fill="CCEEFF" w:val="clear"/>
            <w:vAlign w:val="center"/>
          </w:tcPr>
          <w:p>
            <w:pPr>
              <w:pStyle w:val="TableContents"/>
              <w:spacing w:before="0" w:after="0"/>
              <w:rPr>
                <w:spacing w:val="0"/>
                <w:sz w:val="20"/>
              </w:rPr>
            </w:pPr>
            <w:r>
              <w:rPr>
                <w:spacing w:val="0"/>
                <w:sz w:val="20"/>
              </w:rPr>
              <w:t>Net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(930,526</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(811,751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(1,263,492</w:t>
            </w:r>
          </w:p>
        </w:tc>
        <w:tc>
          <w:tcPr>
            <w:tcW w:w="170"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1230" w:type="dxa"/>
            <w:gridSpan w:val="4"/>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425" w:type="dxa"/>
            <w:gridSpan w:val="4"/>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spacing w:val="0"/>
                <w:sz w:val="20"/>
              </w:rPr>
            </w:pPr>
            <w:r>
              <w:rPr>
                <w:spacing w:val="0"/>
                <w:sz w:val="20"/>
              </w:rPr>
              <w:t>Other comprehensive (loss)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spacing w:val="0"/>
                <w:sz w:val="20"/>
              </w:rPr>
            </w:pPr>
            <w:r>
              <w:rPr>
                <w:spacing w:val="0"/>
                <w:sz w:val="20"/>
              </w:rPr>
              <w:t>Foreign currency translation adjustments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(35,961</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(64,676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pPr>
            <w:r>
              <w:rPr/>
              <w:t>7,471</w:t>
            </w:r>
          </w:p>
        </w:tc>
        <w:tc>
          <w:tcPr>
            <w:tcW w:w="170"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0"/>
              <w:rPr>
                <w:spacing w:val="0"/>
                <w:sz w:val="20"/>
              </w:rPr>
            </w:pPr>
            <w:r>
              <w:rPr>
                <w:spacing w:val="0"/>
                <w:sz w:val="20"/>
              </w:rPr>
              <w:t>Other comprehensive (loss)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(35,961</w:t>
            </w:r>
          </w:p>
        </w:tc>
        <w:tc>
          <w:tcPr>
            <w:tcW w:w="9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(64,676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7,471</w:t>
            </w:r>
          </w:p>
        </w:tc>
        <w:tc>
          <w:tcPr>
            <w:tcW w:w="170" w:type="dxa"/>
            <w:tcBorders/>
            <w:shd w:fill="auto"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05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0"/>
              <w:rPr>
                <w:spacing w:val="0"/>
                <w:sz w:val="20"/>
              </w:rPr>
            </w:pPr>
            <w:r>
              <w:rPr>
                <w:spacing w:val="0"/>
                <w:sz w:val="20"/>
              </w:rPr>
              <w:t>Total comprehensive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(966,487</w:t>
            </w:r>
          </w:p>
        </w:tc>
        <w:tc>
          <w:tcPr>
            <w:tcW w:w="95" w:type="dxa"/>
            <w:tcBorders/>
            <w:shd w:fill="CCEEFF" w:val="clear"/>
            <w:vAlign w:val="center"/>
          </w:tcPr>
          <w:p>
            <w:pPr>
              <w:pStyle w:val="TableContents"/>
              <w:spacing w:before="0" w:after="283"/>
              <w:rPr/>
            </w:pPr>
            <w:r>
              <w:rPr/>
              <w: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(876,427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055" w:type="dxa"/>
            <w:tcBorders/>
            <w:shd w:fill="CCEEFF" w:val="clear"/>
            <w:vAlign w:val="center"/>
          </w:tcPr>
          <w:p>
            <w:pPr>
              <w:pStyle w:val="TableContents"/>
              <w:spacing w:before="0" w:after="283"/>
              <w:jc w:val="right"/>
              <w:rPr/>
            </w:pPr>
            <w:r>
              <w:rPr/>
              <w:t>(1,256,021</w:t>
            </w:r>
          </w:p>
        </w:tc>
        <w:tc>
          <w:tcPr>
            <w:tcW w:w="170" w:type="dxa"/>
            <w:tcBorders/>
            <w:shd w:fill="CCEEFF" w:val="clear"/>
            <w:vAlign w:val="center"/>
          </w:tcPr>
          <w:p>
            <w:pPr>
              <w:pStyle w:val="TableContents"/>
              <w:spacing w:before="0" w:after="283"/>
              <w:rPr/>
            </w:pPr>
            <w:r>
              <w:rPr/>
              <w:t>) </w:t>
            </w:r>
          </w:p>
        </w:tc>
      </w:tr>
      <w:tr>
        <w:trPr/>
        <w:tc>
          <w:tcPr>
            <w:tcW w:w="33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05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9</w:t>
      </w:r>
    </w:p>
    <w:p>
      <w:pPr>
        <w:pStyle w:val="TextBody"/>
        <w:spacing w:before="0" w:after="0"/>
        <w:jc w:val="center"/>
        <w:rPr>
          <w:rFonts w:ascii="Times New Roman" w:hAnsi="Times New Roman"/>
          <w:spacing w:val="0"/>
          <w:sz w:val="20"/>
        </w:rPr>
      </w:pPr>
      <w:r>
        <w:rPr>
          <w:rFonts w:ascii="Times New Roman" w:hAnsi="Times New Roman"/>
          <w:spacing w:val="0"/>
          <w:sz w:val="20"/>
        </w:rPr>
        <w:t>0</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jc w:val="center"/>
        <w:rPr>
          <w:rFonts w:ascii="Times New Roman" w:hAnsi="Times New Roman"/>
          <w:b/>
          <w:spacing w:val="0"/>
          <w:sz w:val="20"/>
        </w:rPr>
      </w:pPr>
      <w:r>
        <w:rPr>
          <w:rFonts w:ascii="Times New Roman" w:hAnsi="Times New Roman"/>
          <w:b/>
          <w:spacing w:val="0"/>
          <w:sz w:val="20"/>
        </w:rPr>
        <w:t xml:space="preserve">ADDITIONAL INFORMATION - FINANCIAL STATEMENT SCHEDULE 1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FINANCIAL INFORMATION OF PARENT COMPANY </w:t>
      </w:r>
    </w:p>
    <w:p>
      <w:pPr>
        <w:pStyle w:val="TextBody"/>
        <w:spacing w:before="0" w:after="0"/>
        <w:jc w:val="center"/>
        <w:rPr>
          <w:rFonts w:ascii="Times New Roman" w:hAnsi="Times New Roman"/>
          <w:b/>
          <w:spacing w:val="0"/>
          <w:sz w:val="20"/>
        </w:rPr>
      </w:pPr>
      <w:r>
        <w:rPr>
          <w:rFonts w:ascii="Times New Roman" w:hAnsi="Times New Roman"/>
          <w:b/>
          <w:spacing w:val="0"/>
          <w:sz w:val="20"/>
        </w:rPr>
        <w:t>CONDENSED STATEMENTS OF CASH FLOWS</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(In thousands)</w:t>
      </w:r>
    </w:p>
    <w:p>
      <w:pPr>
        <w:pStyle w:val="TextBody"/>
        <w:spacing w:before="0" w:after="0"/>
        <w:ind w:left="0" w:right="0" w:hanging="0"/>
        <w:jc w:val="left"/>
        <w:rPr>
          <w:spacing w:val="0"/>
        </w:rPr>
      </w:pPr>
      <w:r>
        <w:rPr>
          <w:spacing w:val="0"/>
        </w:rPr>
        <w:t> </w:t>
      </w:r>
    </w:p>
    <w:tbl>
      <w:tblPr>
        <w:tblW w:w="9905" w:type="dxa"/>
        <w:jc w:val="left"/>
        <w:tblInd w:w="0" w:type="dxa"/>
        <w:tblCellMar>
          <w:top w:w="0" w:type="dxa"/>
          <w:left w:w="0" w:type="dxa"/>
          <w:bottom w:w="0" w:type="dxa"/>
          <w:right w:w="0" w:type="dxa"/>
        </w:tblCellMar>
      </w:tblPr>
      <w:tblGrid>
        <w:gridCol w:w="6155"/>
        <w:gridCol w:w="120"/>
        <w:gridCol w:w="140"/>
        <w:gridCol w:w="875"/>
        <w:gridCol w:w="155"/>
        <w:gridCol w:w="120"/>
        <w:gridCol w:w="140"/>
        <w:gridCol w:w="800"/>
        <w:gridCol w:w="155"/>
        <w:gridCol w:w="60"/>
        <w:gridCol w:w="140"/>
        <w:gridCol w:w="875"/>
        <w:gridCol w:w="170"/>
      </w:tblGrid>
      <w:tr>
        <w:trPr/>
        <w:tc>
          <w:tcPr>
            <w:tcW w:w="6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3460" w:type="dxa"/>
            <w:gridSpan w:val="10"/>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Year Ended December 31,</w:t>
            </w:r>
          </w:p>
        </w:tc>
        <w:tc>
          <w:tcPr>
            <w:tcW w:w="170" w:type="dxa"/>
            <w:tcBorders/>
            <w:shd w:fill="auto" w:val="clear"/>
            <w:vAlign w:val="center"/>
          </w:tcPr>
          <w:p>
            <w:pPr>
              <w:pStyle w:val="TableContents"/>
              <w:spacing w:before="0" w:after="0"/>
              <w:rPr>
                <w:spacing w:val="0"/>
              </w:rPr>
            </w:pPr>
            <w:r>
              <w:rPr>
                <w:spacing w:val="0"/>
              </w:rPr>
              <w:t> </w:t>
            </w:r>
          </w:p>
        </w:tc>
      </w:tr>
      <w:tr>
        <w:trPr/>
        <w:tc>
          <w:tcPr>
            <w:tcW w:w="6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2022</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40"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2021</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015" w:type="dxa"/>
            <w:gridSpan w:val="2"/>
            <w:tcBorders>
              <w:bottom w:val="single" w:sz="8" w:space="0" w:color="000000"/>
            </w:tcBorders>
            <w:shd w:fill="auto" w:val="clear"/>
            <w:tcMar>
              <w:bottom w:w="28" w:type="dxa"/>
            </w:tcMar>
            <w:vAlign w:val="center"/>
          </w:tcPr>
          <w:p>
            <w:pPr>
              <w:pStyle w:val="TableContents"/>
              <w:spacing w:before="0" w:after="0"/>
              <w:jc w:val="center"/>
              <w:rPr>
                <w:spacing w:val="0"/>
              </w:rPr>
            </w:pPr>
            <w:r>
              <w:rPr>
                <w:spacing w:val="0"/>
              </w:rPr>
              <w:t>2020</w:t>
            </w:r>
          </w:p>
        </w:tc>
        <w:tc>
          <w:tcPr>
            <w:tcW w:w="170" w:type="dxa"/>
            <w:tcBorders/>
            <w:shd w:fill="auto" w:val="clear"/>
            <w:vAlign w:val="center"/>
          </w:tcPr>
          <w:p>
            <w:pPr>
              <w:pStyle w:val="TableContents"/>
              <w:spacing w:before="0" w:after="0"/>
              <w:rPr>
                <w:spacing w:val="0"/>
              </w:rPr>
            </w:pPr>
            <w:r>
              <w:rPr>
                <w:spacing w:val="0"/>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flows from operating activities:</w:t>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800"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0"/>
              <w:rPr>
                <w:spacing w:val="0"/>
              </w:rPr>
            </w:pPr>
            <w:r>
              <w:rPr>
                <w:spacing w:val="0"/>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(used in) operating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86,252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(21,401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389,520</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Cash flows from investing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Advances to subsidiaries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(215,613</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(20,005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(282,605</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Loans to an affiliated company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(200,000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0"/>
              <w:rPr/>
            </w:pPr>
            <w:r>
              <w:rPr/>
              <w:t> </w:t>
            </w:r>
          </w:p>
        </w:tc>
      </w:tr>
      <w:tr>
        <w:trPr/>
        <w:tc>
          <w:tcPr>
            <w:tcW w:w="6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used in investing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(415,613</w:t>
            </w:r>
          </w:p>
        </w:tc>
        <w:tc>
          <w:tcPr>
            <w:tcW w:w="155"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(20,005</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(282,605</w:t>
            </w:r>
          </w:p>
        </w:tc>
        <w:tc>
          <w:tcPr>
            <w:tcW w:w="170" w:type="dxa"/>
            <w:tcBorders/>
            <w:shd w:fill="auto" w:val="clear"/>
            <w:vAlign w:val="center"/>
          </w:tcPr>
          <w:p>
            <w:pPr>
              <w:pStyle w:val="TableContents"/>
              <w:spacing w:before="0" w:after="283"/>
              <w:rPr/>
            </w:pPr>
            <w:r>
              <w:rPr/>
              <w:t>)</w:t>
            </w:r>
          </w:p>
        </w:tc>
      </w:tr>
      <w:tr>
        <w:trPr/>
        <w:tc>
          <w:tcPr>
            <w:tcW w:w="6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flows from financing activities: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Repurchase of shares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(189,161</w:t>
            </w:r>
          </w:p>
        </w:tc>
        <w:tc>
          <w:tcPr>
            <w:tcW w:w="155" w:type="dxa"/>
            <w:tcBorders/>
            <w:shd w:fill="auto" w:val="clear"/>
            <w:vAlign w:val="center"/>
          </w:tcPr>
          <w:p>
            <w:pPr>
              <w:pStyle w:val="TableContents"/>
              <w:spacing w:before="0" w:after="0"/>
              <w:rPr>
                <w:spacing w:val="0"/>
              </w:rPr>
            </w:pPr>
            <w:r>
              <w:rPr>
                <w:spacing w:val="0"/>
              </w:rPr>
              <w:t>)</w:t>
            </w:r>
          </w:p>
          <w:p>
            <w:pPr>
              <w:pStyle w:val="TableContents"/>
              <w:spacing w:before="0" w:after="0"/>
              <w:rPr/>
            </w:pPr>
            <w:r>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(52,026</w:t>
            </w:r>
          </w:p>
        </w:tc>
        <w:tc>
          <w:tcPr>
            <w:tcW w:w="15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(44,977</w:t>
            </w:r>
          </w:p>
        </w:tc>
        <w:tc>
          <w:tcPr>
            <w:tcW w:w="170" w:type="dxa"/>
            <w:tcBorders/>
            <w:shd w:fill="auto" w:val="clear"/>
            <w:vAlign w:val="center"/>
          </w:tcPr>
          <w:p>
            <w:pPr>
              <w:pStyle w:val="TableContents"/>
              <w:spacing w:before="0" w:after="283"/>
              <w:rPr/>
            </w:pPr>
            <w:r>
              <w:rPr/>
              <w:t>)</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Loan or advances from subsidiaries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521,860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54,187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3,685</w:t>
            </w:r>
          </w:p>
        </w:tc>
        <w:tc>
          <w:tcPr>
            <w:tcW w:w="170" w:type="dxa"/>
            <w:tcBorders/>
            <w:shd w:fill="CCEEFF" w:val="clear"/>
            <w:vAlign w:val="center"/>
          </w:tcPr>
          <w:p>
            <w:pPr>
              <w:pStyle w:val="TableContents"/>
              <w:spacing w:before="0" w:after="0"/>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Proceeds from exercise of share options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7,101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1,061</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Dividends paid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(79,116</w:t>
            </w:r>
          </w:p>
        </w:tc>
        <w:tc>
          <w:tcPr>
            <w:tcW w:w="170" w:type="dxa"/>
            <w:tcBorders/>
            <w:shd w:fill="CCEEFF" w:val="clear"/>
            <w:vAlign w:val="center"/>
          </w:tcPr>
          <w:p>
            <w:pPr>
              <w:pStyle w:val="TableContents"/>
              <w:spacing w:before="0" w:after="283"/>
              <w:rPr/>
            </w:pPr>
            <w:r>
              <w:rPr/>
              <w:t>)</w:t>
            </w:r>
          </w:p>
        </w:tc>
      </w:tr>
      <w:tr>
        <w:trPr/>
        <w:tc>
          <w:tcPr>
            <w:tcW w:w="6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cash provided by (used in) financing activities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xml:space="preserve">332,699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9,262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(119,347</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Increase (decrease) in 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3,338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(32,144</w:t>
            </w:r>
          </w:p>
        </w:tc>
        <w:tc>
          <w:tcPr>
            <w:tcW w:w="15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(12,432</w:t>
            </w:r>
          </w:p>
        </w:tc>
        <w:tc>
          <w:tcPr>
            <w:tcW w:w="170" w:type="dxa"/>
            <w:tcBorders/>
            <w:shd w:fill="CCEEFF" w:val="clear"/>
            <w:vAlign w:val="center"/>
          </w:tcPr>
          <w:p>
            <w:pPr>
              <w:pStyle w:val="TableContents"/>
              <w:spacing w:before="0" w:after="283"/>
              <w:rPr/>
            </w:pPr>
            <w:r>
              <w:rPr/>
              <w:t>)</w:t>
            </w:r>
          </w:p>
        </w:tc>
      </w:tr>
      <w:tr>
        <w:trPr/>
        <w:tc>
          <w:tcPr>
            <w:tcW w:w="6155" w:type="dxa"/>
            <w:tcBorders/>
            <w:shd w:fill="auto" w:val="clear"/>
            <w:vAlign w:val="center"/>
          </w:tcPr>
          <w:p>
            <w:pPr>
              <w:pStyle w:val="TableContents"/>
              <w:spacing w:before="0" w:after="283"/>
              <w:rPr/>
            </w:pPr>
            <w:r>
              <w:rPr/>
              <w:t> </w:t>
            </w:r>
          </w:p>
        </w:tc>
        <w:tc>
          <w:tcPr>
            <w:tcW w:w="1290" w:type="dxa"/>
            <w:gridSpan w:val="4"/>
            <w:tcBorders/>
            <w:shd w:fill="auto" w:val="clear"/>
            <w:vAlign w:val="center"/>
          </w:tcPr>
          <w:p>
            <w:pPr>
              <w:pStyle w:val="TableContents"/>
              <w:spacing w:before="0" w:after="283"/>
              <w:rPr/>
            </w:pPr>
            <w:r>
              <w:rPr/>
              <w:t> </w:t>
            </w:r>
          </w:p>
        </w:tc>
        <w:tc>
          <w:tcPr>
            <w:tcW w:w="1215" w:type="dxa"/>
            <w:gridSpan w:val="4"/>
            <w:tcBorders/>
            <w:shd w:fill="auto" w:val="clear"/>
            <w:vAlign w:val="center"/>
          </w:tcPr>
          <w:p>
            <w:pPr>
              <w:pStyle w:val="TableContents"/>
              <w:spacing w:before="0" w:after="283"/>
              <w:rPr/>
            </w:pPr>
            <w:r>
              <w:rPr/>
              <w:t> </w:t>
            </w:r>
          </w:p>
        </w:tc>
        <w:tc>
          <w:tcPr>
            <w:tcW w:w="1245" w:type="dxa"/>
            <w:gridSpan w:val="4"/>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 at beginning of year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r>
              <w:rPr/>
              <w:t>4,069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36,213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48,645</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0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40"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875" w:type="dxa"/>
            <w:tcBorders/>
            <w:shd w:fill="auto" w:val="clear"/>
            <w:vAlign w:val="center"/>
          </w:tcPr>
          <w:p>
            <w:pPr>
              <w:pStyle w:val="TableContents"/>
              <w:spacing w:before="0" w:after="0"/>
              <w:rPr>
                <w:spacing w:val="0"/>
                <w:bdr w:val="single" w:sz="2" w:space="1" w:color="000000"/>
              </w:rPr>
            </w:pPr>
            <w:r>
              <w:rPr>
                <w:spacing w:val="0"/>
                <w:bdr w:val="single" w:sz="2" w:space="1" w:color="000000"/>
              </w:rPr>
              <w:t> </w:t>
            </w:r>
          </w:p>
        </w:tc>
        <w:tc>
          <w:tcPr>
            <w:tcW w:w="170" w:type="dxa"/>
            <w:tcBorders/>
            <w:shd w:fill="auto" w:val="clear"/>
            <w:vAlign w:val="center"/>
          </w:tcPr>
          <w:p>
            <w:pPr>
              <w:pStyle w:val="TableContents"/>
              <w:spacing w:before="0" w:after="0"/>
              <w:rPr>
                <w:spacing w:val="0"/>
              </w:rPr>
            </w:pPr>
            <w:r>
              <w:rPr>
                <w:spacing w:val="0"/>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 at end of year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7,407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4,069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36,213</w:t>
            </w:r>
          </w:p>
        </w:tc>
        <w:tc>
          <w:tcPr>
            <w:tcW w:w="170" w:type="dxa"/>
            <w:tcBorders/>
            <w:shd w:fill="CCEEFF"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0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875" w:type="dxa"/>
            <w:tcBorders/>
            <w:shd w:fill="auto" w:val="clear"/>
            <w:vAlign w:val="center"/>
          </w:tcPr>
          <w:p>
            <w:pPr>
              <w:pStyle w:val="TableContents"/>
              <w:spacing w:before="0" w:after="0"/>
              <w:rPr>
                <w:spacing w:val="0"/>
                <w:bdr w:val="double" w:sz="6" w:space="1" w:color="000000"/>
              </w:rPr>
            </w:pPr>
            <w:r>
              <w:rPr>
                <w:spacing w:val="0"/>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Supplemental cash flow disclosures: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61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Assignment of advance to subsidiary to offset with advance from subsidiary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235,897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61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Capitalization of advance to subsidiary as investment in subsidiary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 xml:space="preserve">—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235,897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bl>
    <w:p>
      <w:pPr>
        <w:pStyle w:val="TextBody"/>
        <w:spacing w:before="0" w:after="0"/>
        <w:ind w:left="0" w:right="0" w:hanging="0"/>
        <w:jc w:val="left"/>
        <w:rPr>
          <w:sz w:val="16"/>
        </w:rPr>
      </w:pPr>
      <w:r>
        <w:rPr>
          <w:sz w:val="16"/>
        </w:rPr>
      </w:r>
    </w:p>
    <w:p>
      <w:pPr>
        <w:pStyle w:val="TextBody"/>
        <w:spacing w:before="0" w:after="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9</w:t>
      </w:r>
    </w:p>
    <w:p>
      <w:pPr>
        <w:pStyle w:val="TextBody"/>
        <w:spacing w:before="0" w:after="0"/>
        <w:jc w:val="center"/>
        <w:rPr>
          <w:rFonts w:ascii="Times New Roman" w:hAnsi="Times New Roman"/>
          <w:spacing w:val="0"/>
          <w:sz w:val="20"/>
        </w:rPr>
      </w:pPr>
      <w:r>
        <w:rPr>
          <w:rFonts w:ascii="Times New Roman" w:hAnsi="Times New Roman"/>
          <w:spacing w:val="0"/>
          <w:sz w:val="20"/>
        </w:rPr>
        <w:t>1</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MELCO RESORTS &amp; ENTERTAINMENT LIMITED</w:t>
      </w:r>
    </w:p>
    <w:p>
      <w:pPr>
        <w:pStyle w:val="TextBody"/>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ADDITIONAL INFORMATION - FINANCIAL STATEMENT SCHEDULE 1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FINANCIAL INFORMATION OF PARENT COMPANY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 SCHEDULE 1 </w:t>
      </w:r>
    </w:p>
    <w:p>
      <w:pPr>
        <w:pStyle w:val="TextBody"/>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w:t>
      </w:r>
    </w:p>
    <w:p>
      <w:pPr>
        <w:pStyle w:val="TextBody"/>
        <w:spacing w:before="0" w:after="0"/>
        <w:ind w:left="0" w:right="0" w:hanging="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283"/>
              <w:jc w:val="left"/>
              <w:rPr/>
            </w:pPr>
            <w:r>
              <w:rPr/>
              <w:t>1.</w:t>
            </w:r>
          </w:p>
        </w:tc>
        <w:tc>
          <w:tcPr>
            <w:tcW w:w="1004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Schedule 1 has been provided pursuant to the requirements of Rule </w:t>
            </w:r>
          </w:p>
          <w:p>
            <w:pPr>
              <w:pStyle w:val="TableContents"/>
              <w:spacing w:before="0" w:after="0"/>
              <w:jc w:val="left"/>
              <w:rPr>
                <w:rFonts w:ascii="Times New Roman" w:hAnsi="Times New Roman"/>
                <w:spacing w:val="0"/>
                <w:sz w:val="20"/>
              </w:rPr>
            </w:pPr>
            <w:r>
              <w:rPr>
                <w:rFonts w:ascii="Times New Roman" w:hAnsi="Times New Roman"/>
                <w:spacing w:val="0"/>
                <w:sz w:val="20"/>
              </w:rPr>
              <w:t>12-04(a)</w:t>
            </w:r>
          </w:p>
          <w:p>
            <w:pPr>
              <w:pStyle w:val="TableContents"/>
              <w:spacing w:before="0" w:after="0"/>
              <w:jc w:val="left"/>
              <w:rPr>
                <w:rFonts w:ascii="Times New Roman" w:hAnsi="Times New Roman"/>
                <w:sz w:val="20"/>
              </w:rPr>
            </w:pPr>
            <w:r>
              <w:rPr>
                <w:rFonts w:ascii="Times New Roman" w:hAnsi="Times New Roman"/>
                <w:sz w:val="20"/>
              </w:rPr>
              <w:t xml:space="preserve">and </w:t>
            </w:r>
          </w:p>
          <w:p>
            <w:pPr>
              <w:pStyle w:val="TableContents"/>
              <w:spacing w:before="0" w:after="0"/>
              <w:jc w:val="left"/>
              <w:rPr>
                <w:rFonts w:ascii="Times New Roman" w:hAnsi="Times New Roman"/>
                <w:spacing w:val="0"/>
                <w:sz w:val="20"/>
              </w:rPr>
            </w:pPr>
            <w:r>
              <w:rPr>
                <w:rFonts w:ascii="Times New Roman" w:hAnsi="Times New Roman"/>
                <w:spacing w:val="0"/>
                <w:sz w:val="20"/>
              </w:rPr>
              <w:t>4-08(e)(3)</w:t>
            </w:r>
          </w:p>
          <w:p>
            <w:pPr>
              <w:pStyle w:val="TableContents"/>
              <w:spacing w:before="0" w:after="0"/>
              <w:jc w:val="left"/>
              <w:rPr>
                <w:rFonts w:ascii="Times New Roman" w:hAnsi="Times New Roman"/>
                <w:sz w:val="20"/>
              </w:rPr>
            </w:pPr>
            <w:r>
              <w:rPr>
                <w:rFonts w:ascii="Times New Roman" w:hAnsi="Times New Roman"/>
                <w:sz w:val="20"/>
              </w:rPr>
              <w:t xml:space="preserve">of </w:t>
            </w:r>
          </w:p>
          <w:p>
            <w:pPr>
              <w:pStyle w:val="TableContents"/>
              <w:spacing w:before="0" w:after="0"/>
              <w:jc w:val="left"/>
              <w:rPr>
                <w:rFonts w:ascii="Times New Roman" w:hAnsi="Times New Roman"/>
                <w:spacing w:val="0"/>
                <w:sz w:val="20"/>
              </w:rPr>
            </w:pPr>
            <w:r>
              <w:rPr>
                <w:rFonts w:ascii="Times New Roman" w:hAnsi="Times New Roman"/>
                <w:spacing w:val="0"/>
                <w:sz w:val="20"/>
              </w:rPr>
              <w:t>Regulation S-X,</w:t>
            </w:r>
          </w:p>
          <w:p>
            <w:pPr>
              <w:pStyle w:val="TableContents"/>
              <w:spacing w:before="0" w:after="0"/>
              <w:jc w:val="left"/>
              <w:rPr>
                <w:rFonts w:ascii="Times New Roman" w:hAnsi="Times New Roman"/>
                <w:sz w:val="20"/>
              </w:rPr>
            </w:pPr>
            <w:r>
              <w:rPr>
                <w:rFonts w:ascii="Times New Roman" w:hAnsi="Times New Roman"/>
                <w:sz w:val="20"/>
              </w:rPr>
              <w:t xml:space="preserve">which require condensed financial information as to financial position, cash flows and results and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the end of the most recently completed fiscal year. As of December 31, 2022, approximately $887,000 of the restricted net assets were not available for distribution and as such, the condensed financial information of the Company has been presented for the years ended December 31, 2022, 2021 and 2020. The Company received cash dividends of nil, nil and $325,000 from its subsidiary during the years ended December 31, 2022, 2021 and 2020, respectively. </w:t>
            </w:r>
          </w:p>
        </w:tc>
      </w:tr>
    </w:tbl>
    <w:p>
      <w:pPr>
        <w:pStyle w:val="TextBody"/>
        <w:spacing w:before="0" w:after="0"/>
        <w:ind w:left="0" w:right="0" w:hanging="0"/>
        <w:jc w:val="left"/>
        <w:rPr>
          <w:spacing w:val="0"/>
        </w:rPr>
      </w:pPr>
      <w:r>
        <w:rPr>
          <w:spacing w:val="0"/>
        </w:rPr>
        <w:t> </w:t>
      </w:r>
    </w:p>
    <w:tbl>
      <w:tblPr>
        <w:tblW w:w="1990" w:type="dxa"/>
        <w:jc w:val="left"/>
        <w:tblInd w:w="0" w:type="dxa"/>
        <w:tblCellMar>
          <w:top w:w="0" w:type="dxa"/>
          <w:left w:w="0" w:type="dxa"/>
          <w:bottom w:w="0" w:type="dxa"/>
          <w:right w:w="0" w:type="dxa"/>
        </w:tblCellMar>
      </w:tblPr>
      <w:tblGrid>
        <w:gridCol w:w="215"/>
        <w:gridCol w:w="1775"/>
      </w:tblGrid>
      <w:tr>
        <w:trPr/>
        <w:tc>
          <w:tcPr>
            <w:tcW w:w="215" w:type="dxa"/>
            <w:tcBorders/>
            <w:shd w:fill="auto" w:val="clear"/>
            <w:vAlign w:val="center"/>
          </w:tcPr>
          <w:p>
            <w:pPr>
              <w:pStyle w:val="TableContents"/>
              <w:spacing w:before="0" w:after="283"/>
              <w:jc w:val="left"/>
              <w:rPr/>
            </w:pPr>
            <w:r>
              <w:rPr/>
              <w:t>2.</w:t>
            </w:r>
          </w:p>
        </w:tc>
        <w:tc>
          <w:tcPr>
            <w:tcW w:w="17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Basis of Presentation </w:t>
            </w:r>
          </w:p>
        </w:tc>
      </w:tr>
    </w:tbl>
    <w:p>
      <w:pPr>
        <w:pStyle w:val="TextBody"/>
        <w:spacing w:before="120" w:after="0"/>
        <w:ind w:left="0" w:right="0" w:hanging="0"/>
        <w:jc w:val="left"/>
        <w:rPr>
          <w:rFonts w:ascii="Times New Roman" w:hAnsi="Times New Roman"/>
          <w:spacing w:val="0"/>
          <w:sz w:val="20"/>
        </w:rPr>
      </w:pPr>
      <w:r>
        <w:rPr>
          <w:rFonts w:ascii="Times New Roman" w:hAnsi="Times New Roman"/>
          <w:spacing w:val="0"/>
          <w:sz w:val="20"/>
        </w:rPr>
        <w:t xml:space="preserve">The accompanying condensed financial information has been prepared using the same accounting policies as set out in Melco’s consolidated financial statements except that the parent company has used the equity method to account for its investments in subsidiaries. </w:t>
      </w:r>
    </w:p>
    <w:p>
      <w:pPr>
        <w:pStyle w:val="TextBody"/>
        <w:spacing w:before="0" w:after="0"/>
        <w:ind w:left="0" w:right="0" w:hanging="0"/>
        <w:jc w:val="left"/>
        <w:rPr>
          <w:spacing w:val="0"/>
        </w:rPr>
      </w:pPr>
      <w:r>
        <w:rPr>
          <w:spacing w:val="0"/>
        </w:rPr>
        <w:t> </w:t>
      </w:r>
    </w:p>
    <w:p>
      <w:pPr>
        <w:pStyle w:val="TextBody"/>
        <w:spacing w:before="0" w:after="0"/>
        <w:ind w:left="0" w:right="0" w:hanging="0"/>
        <w:jc w:val="center"/>
        <w:rPr>
          <w:rFonts w:ascii="Times New Roman" w:hAnsi="Times New Roman"/>
          <w:spacing w:val="0"/>
          <w:sz w:val="20"/>
        </w:rPr>
      </w:pPr>
      <w:r>
        <w:rPr>
          <w:rFonts w:ascii="Times New Roman" w:hAnsi="Times New Roman"/>
          <w:spacing w:val="0"/>
          <w:sz w:val="20"/>
        </w:rPr>
        <w:t>F-</w:t>
      </w:r>
    </w:p>
    <w:p>
      <w:pPr>
        <w:pStyle w:val="TextBody"/>
        <w:spacing w:before="0" w:after="0"/>
        <w:jc w:val="center"/>
        <w:rPr>
          <w:rFonts w:ascii="Times New Roman" w:hAnsi="Times New Roman"/>
          <w:spacing w:val="0"/>
          <w:sz w:val="20"/>
        </w:rPr>
      </w:pPr>
      <w:r>
        <w:rPr>
          <w:rFonts w:ascii="Times New Roman" w:hAnsi="Times New Roman"/>
          <w:spacing w:val="0"/>
          <w:sz w:val="20"/>
        </w:rPr>
        <w:t>9</w:t>
      </w:r>
    </w:p>
    <w:p>
      <w:pPr>
        <w:pStyle w:val="TextBody"/>
        <w:jc w:val="center"/>
        <w:rPr>
          <w:rFonts w:ascii="Times New Roman" w:hAnsi="Times New Roman"/>
          <w:spacing w:val="0"/>
          <w:sz w:val="20"/>
        </w:rPr>
      </w:pPr>
      <w:r>
        <w:rPr>
          <w:rFonts w:ascii="Times New Roman" w:hAnsi="Times New Roman"/>
          <w:spacing w:val="0"/>
          <w:sz w:val="20"/>
        </w:rPr>
        <w:t>2</w:t>
      </w:r>
      <w:r>
        <w:br w:type="page"/>
      </w:r>
    </w:p>
    <w:p>
      <w:pPr>
        <w:pStyle w:val="TextBody"/>
        <w:spacing w:before="0" w:after="0"/>
        <w:jc w:val="right"/>
        <w:rPr>
          <w:rFonts w:ascii="Times New Roman" w:hAnsi="Times New Roman"/>
          <w:b/>
          <w:sz w:val="20"/>
        </w:rPr>
      </w:pPr>
      <w:bookmarkStart w:id="84" w:name="d396630dex220.htm"/>
      <w:bookmarkStart w:id="85" w:name="ksd396630dex220"/>
      <w:bookmarkEnd w:id="84"/>
      <w:bookmarkEnd w:id="85"/>
      <w:r>
        <w:rPr>
          <w:rFonts w:ascii="Times New Roman" w:hAnsi="Times New Roman"/>
          <w:b/>
          <w:sz w:val="20"/>
        </w:rPr>
        <w:t xml:space="preserve">Exhibit 2.20 </w:t>
      </w:r>
    </w:p>
    <w:p>
      <w:pPr>
        <w:pStyle w:val="TextBody"/>
        <w:spacing w:before="240" w:after="0"/>
        <w:jc w:val="center"/>
        <w:rPr>
          <w:rFonts w:ascii="Times New Roman" w:hAnsi="Times New Roman"/>
          <w:b/>
          <w:sz w:val="20"/>
        </w:rPr>
      </w:pPr>
      <w:r>
        <w:rPr>
          <w:rFonts w:ascii="Times New Roman" w:hAnsi="Times New Roman"/>
          <w:b/>
          <w:sz w:val="20"/>
        </w:rPr>
        <w:t xml:space="preserve">Description of rights of each class of securities registered under Section 12 of the Securities Exchange Act of </w:t>
      </w:r>
    </w:p>
    <w:p>
      <w:pPr>
        <w:pStyle w:val="TextBody"/>
        <w:spacing w:before="0" w:after="0"/>
        <w:jc w:val="center"/>
        <w:rPr>
          <w:rFonts w:ascii="Times New Roman" w:hAnsi="Times New Roman"/>
          <w:b/>
          <w:sz w:val="20"/>
        </w:rPr>
      </w:pPr>
      <w:r>
        <w:rPr>
          <w:rFonts w:ascii="Times New Roman" w:hAnsi="Times New Roman"/>
          <w:b/>
          <w:sz w:val="20"/>
        </w:rPr>
        <w:t xml:space="preserve">1934 (the Exchange Act) </w:t>
      </w:r>
    </w:p>
    <w:p>
      <w:pPr>
        <w:pStyle w:val="TextBody"/>
        <w:spacing w:before="240" w:after="0"/>
        <w:jc w:val="left"/>
        <w:rPr>
          <w:rFonts w:ascii="Times New Roman" w:hAnsi="Times New Roman"/>
          <w:sz w:val="20"/>
        </w:rPr>
      </w:pPr>
      <w:r>
        <w:rPr>
          <w:rFonts w:ascii="Times New Roman" w:hAnsi="Times New Roman"/>
          <w:sz w:val="20"/>
        </w:rPr>
        <w:t xml:space="preserve">American Depositary Shares (ADSs), each representing three ordinary shares of Melco Resorts &amp; Entertainment Limited (we, our, our company, or us), are listed and traded on Nasdaq and, in connection therewith, the ordinary shares are registered under Section 12(b) of the Securities Exchange Act of 1934, as amended (the Exchange Act). This exhibit contains a description of the rights of (i) the holders of ordinary shares and (ii) the holders of the ADSs. Ordinary shares underlying the ADSs are held in Hong Kong by the custodian, Deutsche Bank AG, Hong Kong Branch, on behalf of Deutsche Bank Trust Company Americas as depositary, and holders of ADSs will not be treated as holders of ordinary shares. </w:t>
      </w:r>
    </w:p>
    <w:p>
      <w:pPr>
        <w:pStyle w:val="TextBody"/>
        <w:spacing w:before="360" w:after="0"/>
        <w:jc w:val="left"/>
        <w:rPr>
          <w:rFonts w:ascii="Times New Roman" w:hAnsi="Times New Roman"/>
          <w:b/>
          <w:sz w:val="20"/>
        </w:rPr>
      </w:pPr>
      <w:r>
        <w:rPr>
          <w:rFonts w:ascii="Times New Roman" w:hAnsi="Times New Roman"/>
          <w:b/>
          <w:sz w:val="20"/>
        </w:rPr>
        <w:t xml:space="preserve">Description of Ordinary Shares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material provisions of our currently effective amended and restated memorandum and articles of association (the Memorandum and Articles of Association), as well as the Companies Act (as amended) of the Cayman Islands (hereinafter the Companies Act), insofar as they relate to the material terms of the ordinary shares. Notwithstanding this, because it is a summary, it may not contain all the information that you may otherwise deem important. For more complete information, you should read the entire Memorandum and Articles of Association, which has been filed with the Securities and Exchange Commission (the SEC) as an exhibit to our annual report on Form 20-F for the fiscal year ended December 31, 2016 (File No. 001-33178) filed with the SEC on April 11, 2017. </w:t>
      </w:r>
    </w:p>
    <w:p>
      <w:pPr>
        <w:pStyle w:val="TextBody"/>
        <w:spacing w:before="360" w:after="0"/>
        <w:jc w:val="left"/>
        <w:rPr>
          <w:rFonts w:ascii="Times New Roman" w:hAnsi="Times New Roman"/>
          <w:b/>
          <w:i/>
          <w:sz w:val="20"/>
        </w:rPr>
      </w:pPr>
      <w:r>
        <w:rPr>
          <w:rFonts w:ascii="Times New Roman" w:hAnsi="Times New Roman"/>
          <w:b/>
          <w:i/>
          <w:sz w:val="20"/>
        </w:rPr>
        <w:t xml:space="preserve">Type and Class of Securities </w:t>
      </w:r>
    </w:p>
    <w:p>
      <w:pPr>
        <w:pStyle w:val="TextBody"/>
        <w:spacing w:before="120" w:after="0"/>
        <w:jc w:val="left"/>
        <w:rPr>
          <w:rFonts w:ascii="Times New Roman" w:hAnsi="Times New Roman"/>
          <w:sz w:val="20"/>
        </w:rPr>
      </w:pPr>
      <w:r>
        <w:rPr>
          <w:rFonts w:ascii="Times New Roman" w:hAnsi="Times New Roman"/>
          <w:sz w:val="20"/>
        </w:rPr>
        <w:t xml:space="preserve">Each ordinary share has US$0.01 par value. The respective number of ordinary shares that have been issued as of the last day of the financial year for the annual report on Form 20-F to which this description is attached or incorporated by reference as an exhibit is provided on the cover page of such annual report on Form 20-F. </w:t>
      </w:r>
    </w:p>
    <w:p>
      <w:pPr>
        <w:pStyle w:val="TextBody"/>
        <w:spacing w:before="360" w:after="0"/>
        <w:jc w:val="left"/>
        <w:rPr>
          <w:rFonts w:ascii="Times New Roman" w:hAnsi="Times New Roman"/>
          <w:b/>
          <w:i/>
          <w:sz w:val="20"/>
        </w:rPr>
      </w:pPr>
      <w:r>
        <w:rPr>
          <w:rFonts w:ascii="Times New Roman" w:hAnsi="Times New Roman"/>
          <w:b/>
          <w:i/>
          <w:sz w:val="20"/>
        </w:rPr>
        <w:t xml:space="preserve">Rights of Ordinary Shares </w:t>
      </w:r>
    </w:p>
    <w:p>
      <w:pPr>
        <w:pStyle w:val="TextBody"/>
        <w:spacing w:before="120" w:after="0"/>
        <w:jc w:val="left"/>
        <w:rPr>
          <w:rFonts w:ascii="Times New Roman" w:hAnsi="Times New Roman"/>
          <w:i/>
          <w:sz w:val="20"/>
        </w:rPr>
      </w:pPr>
      <w:r>
        <w:rPr>
          <w:rFonts w:ascii="Times New Roman" w:hAnsi="Times New Roman"/>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3 of our Memorandum and Articles of Association, the objects for which we were established are unrestricted and we have full power and authority to carry out any object not prohibited by any law as provided by Section 7(4) of the Companies Act. </w:t>
      </w:r>
    </w:p>
    <w:p>
      <w:pPr>
        <w:pStyle w:val="TextBody"/>
        <w:spacing w:before="360" w:after="0"/>
        <w:jc w:val="left"/>
        <w:rPr>
          <w:rFonts w:ascii="Times New Roman" w:hAnsi="Times New Roman"/>
          <w:i/>
          <w:sz w:val="20"/>
        </w:rPr>
      </w:pPr>
      <w:r>
        <w:rPr>
          <w:rFonts w:ascii="Times New Roman" w:hAnsi="Times New Roman"/>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The holders of our ordinary shares are entitled to such dividends as may be declared by our board of directors subject to the Companies Act and our Memorandum and Articles of Association. Our Memorandum and Articles of Association do not provide a time limit after which a shareholders entitlement to an unclaimed dividend lapses.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ordinary share is entitled to one vote on all matters upon which the ordinary shares are entitled to vote. Voting at any meeting of shareholders is by show of hands unless a poll is demanded. A poll may be demanded by our chairman or one or more shareholders present in person or by proxy entitled to vote and who together hold not less than 10% of the paid up voting share capital of our company. </w:t>
      </w:r>
    </w:p>
    <w:p>
      <w:pPr>
        <w:pStyle w:val="TextBody"/>
        <w:spacing w:before="240" w:after="0"/>
        <w:jc w:val="left"/>
        <w:rPr>
          <w:rFonts w:ascii="Times New Roman" w:hAnsi="Times New Roman"/>
          <w:sz w:val="20"/>
        </w:rPr>
      </w:pPr>
      <w:r>
        <w:rPr>
          <w:rFonts w:ascii="Times New Roman" w:hAnsi="Times New Roman"/>
          <w:sz w:val="20"/>
        </w:rPr>
        <w:t xml:space="preserve">A quorum required for a meeting of shareholders consists of one or more shareholders who hold at least one-third of our ordinary shares at the meeting present in person or by proxy or, if a corporation or other non-natural person, by its duly authorized representative. Shareholders meetings are held annually and may be convened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by our board on its own initiative or upon a request to the directors by shareholders holding in aggregate at least ten percent of our paid-up capital which as at the date of deposit of the requisition carries the right of voting at such meetings. Advance notice of at least seven days is required for the convening of our annual general meeting and other shareholders meetings. </w:t>
      </w:r>
    </w:p>
    <w:p>
      <w:pPr>
        <w:pStyle w:val="TextBody"/>
        <w:spacing w:before="240" w:after="0"/>
        <w:jc w:val="left"/>
        <w:rPr>
          <w:rFonts w:ascii="Times New Roman" w:hAnsi="Times New Roman"/>
          <w:sz w:val="20"/>
        </w:rPr>
      </w:pPr>
      <w:r>
        <w:rPr>
          <w:rFonts w:ascii="Times New Roman" w:hAnsi="Times New Roman"/>
          <w:sz w:val="20"/>
        </w:rPr>
        <w:t xml:space="preserve">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 </w:t>
      </w:r>
    </w:p>
    <w:p>
      <w:pPr>
        <w:pStyle w:val="TextBody"/>
        <w:spacing w:before="360" w:after="0"/>
        <w:jc w:val="left"/>
        <w:rPr>
          <w:rFonts w:ascii="Times New Roman" w:hAnsi="Times New Roman"/>
          <w:i/>
          <w:sz w:val="20"/>
        </w:rPr>
      </w:pPr>
      <w:r>
        <w:rPr>
          <w:rFonts w:ascii="Times New Roman" w:hAnsi="Times New Roman"/>
          <w:i/>
          <w:sz w:val="20"/>
        </w:rPr>
        <w:t xml:space="preserve">Transfer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restrictions of our Memorandum and Articles of Association, as applicable, any of our shareholders may transfer all or any of his or her ordinary shares by an instrument of transfer in the usual or common form or any other form approved by our board. </w:t>
      </w:r>
    </w:p>
    <w:p>
      <w:pPr>
        <w:pStyle w:val="TextBody"/>
        <w:spacing w:before="240" w:after="0"/>
        <w:jc w:val="left"/>
        <w:rPr>
          <w:rFonts w:ascii="Times New Roman" w:hAnsi="Times New Roman"/>
          <w:sz w:val="20"/>
        </w:rPr>
      </w:pPr>
      <w:r>
        <w:rPr>
          <w:rFonts w:ascii="Times New Roman" w:hAnsi="Times New Roman"/>
          <w:sz w:val="20"/>
        </w:rPr>
        <w:t xml:space="preserve">Our board may, in its absolute discretion, decline to register any transfer of any ordinary share which is not fully paid up or on which we have a lien. Our directors may also decline to register any transfer of any ordinary share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lodged with us, accompanied by the certificate for the ordinary shares to which it relates, and such other evidence as our board may reasonably require to show the right of the transferor to make the transfer;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in respect of only one class of ordinary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instrument of transfer is properly stamped, if required;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a transfer to joint holders, the number of joint holders to whom the ordinary share is to be transferred does not exceed four. </w:t>
            </w:r>
          </w:p>
        </w:tc>
      </w:tr>
    </w:tbl>
    <w:p>
      <w:pPr>
        <w:pStyle w:val="TextBody"/>
        <w:spacing w:before="240" w:after="0"/>
        <w:jc w:val="left"/>
        <w:rPr>
          <w:rFonts w:ascii="Times New Roman" w:hAnsi="Times New Roman"/>
          <w:sz w:val="20"/>
        </w:rPr>
      </w:pPr>
      <w:r>
        <w:rPr>
          <w:rFonts w:ascii="Times New Roman" w:hAnsi="Times New Roman"/>
          <w:sz w:val="20"/>
        </w:rPr>
        <w:t xml:space="preserve">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may from time to time determine, provided, however, that the registration of transfers may not be suspended nor the register closed for more than 30 days in any year. </w:t>
      </w:r>
    </w:p>
    <w:p>
      <w:pPr>
        <w:pStyle w:val="TextBody"/>
        <w:spacing w:before="360" w:after="0"/>
        <w:jc w:val="left"/>
        <w:rPr>
          <w:rFonts w:ascii="Times New Roman" w:hAnsi="Times New Roman"/>
          <w:i/>
          <w:sz w:val="20"/>
        </w:rPr>
      </w:pPr>
      <w:r>
        <w:rPr>
          <w:rFonts w:ascii="Times New Roman" w:hAnsi="Times New Roman"/>
          <w:i/>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 </w:t>
      </w:r>
    </w:p>
    <w:p>
      <w:pPr>
        <w:pStyle w:val="TextBody"/>
        <w:spacing w:before="360" w:after="0"/>
        <w:jc w:val="left"/>
        <w:rPr>
          <w:rFonts w:ascii="Times New Roman" w:hAnsi="Times New Roman"/>
          <w:i/>
          <w:sz w:val="20"/>
        </w:rPr>
      </w:pPr>
      <w:r>
        <w:rPr>
          <w:rFonts w:ascii="Times New Roman" w:hAnsi="Times New Roman"/>
          <w:i/>
          <w:sz w:val="20"/>
        </w:rPr>
        <w:t xml:space="preserve">Calls on Ordinary Shares and Forfeiture of Ordinary Shares </w:t>
      </w:r>
    </w:p>
    <w:p>
      <w:pPr>
        <w:pStyle w:val="TextBody"/>
        <w:spacing w:before="120" w:after="0"/>
        <w:jc w:val="left"/>
        <w:rPr>
          <w:rFonts w:ascii="Times New Roman" w:hAnsi="Times New Roman"/>
          <w:sz w:val="20"/>
        </w:rPr>
      </w:pPr>
      <w:r>
        <w:rPr>
          <w:rFonts w:ascii="Times New Roman" w:hAnsi="Times New Roman"/>
          <w:sz w:val="20"/>
        </w:rPr>
        <w:t xml:space="preserve">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Redemption of Ordinary Shares </w:t>
      </w:r>
    </w:p>
    <w:p>
      <w:pPr>
        <w:pStyle w:val="TextBody"/>
        <w:spacing w:before="120" w:after="0"/>
        <w:jc w:val="left"/>
        <w:rPr>
          <w:rFonts w:ascii="Times New Roman" w:hAnsi="Times New Roman"/>
          <w:sz w:val="20"/>
        </w:rPr>
      </w:pPr>
      <w:r>
        <w:rPr>
          <w:rFonts w:ascii="Times New Roman" w:hAnsi="Times New Roman"/>
          <w:sz w:val="20"/>
        </w:rPr>
        <w:t xml:space="preserve">Subject to the provisions of the Companies Act, we may issue shares on terms that are subject to redemption, at our option or at the option of the holders, on such terms and in such manner as the directors may determine. </w:t>
      </w:r>
    </w:p>
    <w:p>
      <w:pPr>
        <w:pStyle w:val="TextBody"/>
        <w:spacing w:before="360" w:after="0"/>
        <w:jc w:val="left"/>
        <w:rPr>
          <w:rFonts w:ascii="Times New Roman" w:hAnsi="Times New Roman"/>
          <w:i/>
          <w:sz w:val="20"/>
        </w:rPr>
      </w:pPr>
      <w:r>
        <w:rPr>
          <w:rFonts w:ascii="Times New Roman" w:hAnsi="Times New Roman"/>
          <w:i/>
          <w:sz w:val="20"/>
        </w:rPr>
        <w:t xml:space="preserve">Prohibitions on the Receipt of Dividends, the Exercise of Voting or Other Rights or the Receipt of Other Remuneration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prohibit anyone who is an unsuitable person or an affiliate of an unsuitable person from: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receiving dividends or interest with regard to our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exercising voting or other rights conferred by our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receiving any remuneration in any form from us or an affiliated company for services rendered or otherwise. </w:t>
            </w:r>
          </w:p>
        </w:tc>
      </w:tr>
    </w:tbl>
    <w:p>
      <w:pPr>
        <w:pStyle w:val="TextBody"/>
        <w:spacing w:before="240" w:after="0"/>
        <w:jc w:val="left"/>
        <w:rPr>
          <w:rFonts w:ascii="Times New Roman" w:hAnsi="Times New Roman"/>
          <w:sz w:val="20"/>
        </w:rPr>
      </w:pPr>
      <w:r>
        <w:rPr>
          <w:rFonts w:ascii="Times New Roman" w:hAnsi="Times New Roman"/>
          <w:sz w:val="20"/>
        </w:rPr>
        <w:t xml:space="preserve">Such unsuitable person or its affiliate must sell all of the shares, or allow us to redeem or repurchase the shares on such terms and manner as the directors may determine and agree with the shareholders, within such period of time as specified by a gaming authority. </w:t>
      </w:r>
    </w:p>
    <w:p>
      <w:pPr>
        <w:pStyle w:val="TextBody"/>
        <w:spacing w:before="240" w:after="0"/>
        <w:jc w:val="left"/>
        <w:rPr>
          <w:rFonts w:ascii="Times New Roman" w:hAnsi="Times New Roman"/>
          <w:sz w:val="20"/>
        </w:rPr>
      </w:pPr>
      <w:r>
        <w:rPr>
          <w:rFonts w:ascii="Times New Roman" w:hAnsi="Times New Roman"/>
          <w:sz w:val="20"/>
        </w:rPr>
        <w:t xml:space="preserve">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 </w:t>
      </w:r>
    </w:p>
    <w:p>
      <w:pPr>
        <w:pStyle w:val="TextBody"/>
        <w:spacing w:before="240" w:after="0"/>
        <w:jc w:val="left"/>
        <w:rPr>
          <w:rFonts w:ascii="Times New Roman" w:hAnsi="Times New Roman"/>
          <w:sz w:val="20"/>
        </w:rPr>
      </w:pPr>
      <w:r>
        <w:rPr>
          <w:rFonts w:ascii="Times New Roman" w:hAnsi="Times New Roman"/>
          <w:sz w:val="20"/>
        </w:rPr>
        <w:t xml:space="preserve">The terms affiliated companies, gaming authority and person have the meanings set forth in our Memorandum and Articles of Association. </w:t>
      </w:r>
    </w:p>
    <w:p>
      <w:pPr>
        <w:pStyle w:val="TextBody"/>
        <w:spacing w:before="360" w:after="0"/>
        <w:jc w:val="left"/>
        <w:rPr>
          <w:rFonts w:ascii="Times New Roman" w:hAnsi="Times New Roman"/>
          <w:i/>
          <w:sz w:val="20"/>
        </w:rPr>
      </w:pPr>
      <w:r>
        <w:rPr>
          <w:rFonts w:ascii="Times New Roman" w:hAnsi="Times New Roman"/>
          <w:i/>
          <w:sz w:val="20"/>
        </w:rPr>
        <w:t xml:space="preserve">Redemption of Securities Owned or Controlled by an Unsuitable Person or an Affiliate </w:t>
      </w:r>
    </w:p>
    <w:p>
      <w:pPr>
        <w:pStyle w:val="TextBody"/>
        <w:spacing w:before="120" w:after="0"/>
        <w:jc w:val="left"/>
        <w:rPr>
          <w:rFonts w:ascii="Times New Roman" w:hAnsi="Times New Roman"/>
          <w:sz w:val="20"/>
        </w:rPr>
      </w:pPr>
      <w:r>
        <w:rPr>
          <w:rFonts w:ascii="Times New Roman" w:hAnsi="Times New Roman"/>
          <w:sz w:val="20"/>
        </w:rPr>
        <w:t xml:space="preserve">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 </w:t>
      </w:r>
    </w:p>
    <w:p>
      <w:pPr>
        <w:pStyle w:val="TextBody"/>
        <w:spacing w:before="240" w:after="0"/>
        <w:jc w:val="left"/>
        <w:rPr>
          <w:rFonts w:ascii="Times New Roman" w:hAnsi="Times New Roman"/>
          <w:sz w:val="20"/>
        </w:rPr>
      </w:pPr>
      <w:r>
        <w:rPr>
          <w:rFonts w:ascii="Times New Roman" w:hAnsi="Times New Roman"/>
          <w:sz w:val="20"/>
        </w:rPr>
        <w:t xml:space="preserve">Our Memorandum and Articles of Association require any unsuitable person and any affiliate of an unsuitable person to indemnify us and our affiliated companies for any and all losses, costs and expenses, including attorneys fees, incurred by us and our subsidiaries as a result of the unsuitable persons or affiliates ownership or control of shares, the neglect, refusal or other failure to comply with the provisions of our Memorandum and Articles of Association relating to unsuitable persons, or failure to promptly divest itself of any shares in us. </w:t>
      </w:r>
      <w:r>
        <w:br w:type="page"/>
      </w:r>
    </w:p>
    <w:p>
      <w:pPr>
        <w:pStyle w:val="HorizontalLine"/>
        <w:pBdr>
          <w:bottom w:val="double" w:sz="6" w:space="0" w:color="808080"/>
        </w:pBdr>
        <w:rPr/>
      </w:pPr>
      <w:r>
        <w:rPr/>
      </w:r>
    </w:p>
    <w:p>
      <w:pPr>
        <w:pStyle w:val="TextBody"/>
        <w:spacing w:before="0" w:after="0"/>
        <w:jc w:val="left"/>
        <w:rPr>
          <w:rFonts w:ascii="Times New Roman" w:hAnsi="Times New Roman"/>
          <w:b/>
          <w:i/>
          <w:sz w:val="20"/>
        </w:rPr>
      </w:pPr>
      <w:r>
        <w:rPr>
          <w:rFonts w:ascii="Times New Roman" w:hAnsi="Times New Roman"/>
          <w:b/>
          <w:i/>
          <w:sz w:val="20"/>
        </w:rPr>
        <w:t xml:space="preserve">Requirements to Change the Rights of Holders of Ordinary Shares </w:t>
      </w:r>
    </w:p>
    <w:p>
      <w:pPr>
        <w:pStyle w:val="TextBody"/>
        <w:spacing w:before="120" w:after="0"/>
        <w:jc w:val="left"/>
        <w:rPr>
          <w:rFonts w:ascii="Times New Roman" w:hAnsi="Times New Roman"/>
          <w:sz w:val="20"/>
        </w:rPr>
      </w:pPr>
      <w:r>
        <w:rPr>
          <w:rFonts w:ascii="Times New Roman" w:hAnsi="Times New Roman"/>
          <w:i/>
          <w:sz w:val="20"/>
        </w:rPr>
        <w:t>Variations of Rights of Shares.</w:t>
      </w:r>
      <w:r>
        <w:rPr>
          <w:rFonts w:ascii="Times New Roman" w:hAnsi="Times New Roman"/>
          <w:sz w:val="20"/>
        </w:rPr>
        <w:t xml:space="preserve"> All or any of the rights attached to any class of shares may, subject to the provisions of the Companies Act, be varied or abrogated either with the unanimous written consent of the holders of the issued shares of that class or with the sanction of a special resolution passed at a general meeting of the holders of the shares of that class. </w:t>
      </w:r>
    </w:p>
    <w:p>
      <w:pPr>
        <w:pStyle w:val="TextBody"/>
        <w:spacing w:before="360" w:after="0"/>
        <w:jc w:val="left"/>
        <w:rPr>
          <w:rFonts w:ascii="Times New Roman" w:hAnsi="Times New Roman"/>
          <w:b/>
          <w:i/>
          <w:sz w:val="20"/>
        </w:rPr>
      </w:pPr>
      <w:r>
        <w:rPr>
          <w:rFonts w:ascii="Times New Roman" w:hAnsi="Times New Roman"/>
          <w:b/>
          <w:i/>
          <w:sz w:val="20"/>
        </w:rPr>
        <w:t xml:space="preserve">Changes in Capital </w:t>
      </w:r>
    </w:p>
    <w:p>
      <w:pPr>
        <w:pStyle w:val="TextBody"/>
        <w:spacing w:before="120" w:after="0"/>
        <w:jc w:val="left"/>
        <w:rPr>
          <w:rFonts w:ascii="Times New Roman" w:hAnsi="Times New Roman"/>
          <w:sz w:val="20"/>
        </w:rPr>
      </w:pPr>
      <w:r>
        <w:rPr>
          <w:rFonts w:ascii="Times New Roman" w:hAnsi="Times New Roman"/>
          <w:sz w:val="20"/>
        </w:rPr>
        <w:t xml:space="preserve">We may from time to time by ordinary resolution: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increase the share capital by such sum, to be divided into shares of such classes and amount, as the resolution may prescribe;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consolidate and divide all or any of our share capital into shares of a larger amount than our existing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convert all or any of our paid-up shares into stock and reconvert that stock into paid up shares of any denomination;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cancel any shares which, at the date of the passing of the resolution, have not been taken or agreed to be taken by any person and diminish the amount of our share capital by the amount of the shares so cancelled. </w:t>
            </w:r>
          </w:p>
        </w:tc>
      </w:tr>
    </w:tbl>
    <w:p>
      <w:pPr>
        <w:pStyle w:val="TextBody"/>
        <w:spacing w:before="240" w:after="0"/>
        <w:jc w:val="left"/>
        <w:rPr>
          <w:rFonts w:ascii="Times New Roman" w:hAnsi="Times New Roman"/>
          <w:sz w:val="20"/>
        </w:rPr>
      </w:pPr>
      <w:r>
        <w:rPr>
          <w:rFonts w:ascii="Times New Roman" w:hAnsi="Times New Roman"/>
          <w:sz w:val="20"/>
        </w:rPr>
        <w:t xml:space="preserve">We may by special resolution reduce our share capital and any capital redemption reserve in any manner authorized by law. </w:t>
      </w:r>
    </w:p>
    <w:p>
      <w:pPr>
        <w:pStyle w:val="TextBody"/>
        <w:spacing w:before="360" w:after="0"/>
        <w:jc w:val="left"/>
        <w:rPr>
          <w:rFonts w:ascii="Times New Roman" w:hAnsi="Times New Roman"/>
          <w:b/>
          <w:i/>
          <w:sz w:val="20"/>
        </w:rPr>
      </w:pPr>
      <w:r>
        <w:rPr>
          <w:rFonts w:ascii="Times New Roman" w:hAnsi="Times New Roman"/>
          <w:b/>
          <w:i/>
          <w:sz w:val="20"/>
        </w:rPr>
        <w:t xml:space="preserve">Exempted Company </w:t>
      </w:r>
    </w:p>
    <w:p>
      <w:pPr>
        <w:pStyle w:val="TextBody"/>
        <w:spacing w:before="120" w:after="0"/>
        <w:jc w:val="left"/>
        <w:rPr>
          <w:rFonts w:ascii="Times New Roman" w:hAnsi="Times New Roman"/>
          <w:sz w:val="20"/>
        </w:rPr>
      </w:pPr>
      <w:r>
        <w:rPr>
          <w:rFonts w:ascii="Times New Roman" w:hAnsi="Times New Roman"/>
          <w:sz w:val="20"/>
        </w:rPr>
        <w:t xml:space="preserve">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annual reporting requirements are minimal and consist mainly of a statement that the company has conducted its operations mainly outside of the Cayman Islands and has complied with the provisions of the Companies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companys register of members is not open to inspection;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does not have to hold an annual general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issue shares with no par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obtain an undertaking against the imposition of any future taxation (such undertakings are usually given for 20 years in the first instance);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by way of continuation in another jurisdiction and be deregistered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limited duration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exempted company may register as a segregated portfolio company.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i/>
          <w:sz w:val="20"/>
        </w:rPr>
      </w:pPr>
      <w:r>
        <w:rPr>
          <w:rFonts w:ascii="Times New Roman" w:hAnsi="Times New Roman"/>
          <w:b/>
          <w:i/>
          <w:sz w:val="20"/>
        </w:rPr>
        <w:t xml:space="preserve">Differences in Corporate Law </w:t>
      </w:r>
    </w:p>
    <w:p>
      <w:pPr>
        <w:pStyle w:val="TextBody"/>
        <w:spacing w:before="120" w:after="0"/>
        <w:jc w:val="left"/>
        <w:rPr>
          <w:rFonts w:ascii="Times New Roman" w:hAnsi="Times New Roman"/>
          <w:sz w:val="20"/>
        </w:rPr>
      </w:pPr>
      <w:r>
        <w:rPr>
          <w:rFonts w:ascii="Times New Roman" w:hAnsi="Times New Roman"/>
          <w:sz w:val="20"/>
        </w:rPr>
        <w:t xml:space="preserve">The Companies Act is modeled after that of England and Wales but does not follow recent statutory enactments in England. In addition, the Companies Act differs from laws applicable to Delaware corporations and their shareholders. Set forth below is a summary of the significant differences between the provisions of the Companies Act applicable to us and the laws applicable to Delaware corporations and their shareholders. </w:t>
      </w:r>
    </w:p>
    <w:p>
      <w:pPr>
        <w:pStyle w:val="TextBody"/>
        <w:spacing w:before="240" w:after="0"/>
        <w:jc w:val="left"/>
        <w:rPr>
          <w:rFonts w:ascii="Times New Roman" w:hAnsi="Times New Roman"/>
          <w:sz w:val="20"/>
        </w:rPr>
      </w:pPr>
      <w:r>
        <w:rPr>
          <w:rFonts w:ascii="Times New Roman" w:hAnsi="Times New Roman"/>
          <w:i/>
          <w:sz w:val="20"/>
        </w:rPr>
        <w:t>Mergers and Similar Arrangements.</w:t>
      </w:r>
      <w:r>
        <w:rPr>
          <w:rFonts w:ascii="Times New Roman" w:hAnsi="Times New Roman"/>
          <w:sz w:val="20"/>
        </w:rPr>
        <w:t xml:space="preserve"> The Companies Act permits mergers and consolidations between Cayman Islands companies and between Cayman Islands companies and non-Cayman Islands companies. For these purposes, (i) a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w:t>
      </w:r>
    </w:p>
    <w:p>
      <w:pPr>
        <w:pStyle w:val="TextBody"/>
        <w:spacing w:before="240" w:after="0"/>
        <w:jc w:val="left"/>
        <w:rPr>
          <w:rFonts w:ascii="Times New Roman" w:hAnsi="Times New Roman"/>
          <w:sz w:val="20"/>
        </w:rPr>
      </w:pPr>
      <w:r>
        <w:rPr>
          <w:rFonts w:ascii="Times New Roman" w:hAnsi="Times New Roman"/>
          <w:sz w:val="20"/>
        </w:rPr>
        <w:t xml:space="preserve">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 </w:t>
      </w:r>
    </w:p>
    <w:p>
      <w:pPr>
        <w:pStyle w:val="TextBody"/>
        <w:spacing w:before="240" w:after="0"/>
        <w:jc w:val="left"/>
        <w:rPr>
          <w:rFonts w:ascii="Times New Roman" w:hAnsi="Times New Roman"/>
          <w:sz w:val="20"/>
        </w:rPr>
      </w:pPr>
      <w:r>
        <w:rPr>
          <w:rFonts w:ascii="Times New Roman" w:hAnsi="Times New Roman"/>
          <w:sz w:val="20"/>
        </w:rPr>
        <w:t xml:space="preserve">The plan of merger or consolidation must be filed with the Registrar of Companies in the Cayman Islands together with a declaration (amongst other matters)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 </w:t>
      </w:r>
    </w:p>
    <w:p>
      <w:pPr>
        <w:pStyle w:val="TextBody"/>
        <w:spacing w:before="240" w:after="0"/>
        <w:jc w:val="left"/>
        <w:rPr>
          <w:rFonts w:ascii="Times New Roman" w:hAnsi="Times New Roman"/>
          <w:sz w:val="20"/>
        </w:rPr>
      </w:pPr>
      <w:r>
        <w:rPr>
          <w:rFonts w:ascii="Times New Roman" w:hAnsi="Times New Roman"/>
          <w:sz w:val="20"/>
        </w:rPr>
        <w:t xml:space="preserve">In addition, there are statutory provisions that facilitate compromises or arrangements between a Cayman Islands company and its shareholders (or any class of them). Following amendments to the Companies Act that became effective on August 31. 2022, the majority-in-number headcount test in relation to the approval of shareholders schemes of arrangement was abolished. Section 86(2A) of the Companies Act provides that, if 75% in value of the shareholders (or class of shareholders) of a Cayman Islands company agree to any compromise or arrangement, such compromise or arrangement shall, if sanctioned by the Cayman Court, be binding on all shareholders (or class of shareholders) of such company and on the company itself. Where a Cayman Islands company is in the course of being wound up, such compromise or arrangement would be binding on the liquidator and contributories of the company. In contrast, section 86(2) of the Companies Act continues to require (a) approval by a majority in number representing 75% in value; and (b) the sanction of the Grand Court of the Cayman Islands, in relation to any compromise or arrangement between a company and its creditors (or any class of them). At the initial directions hearing, the Cayman Islands court will make orders for (amongst other things) the convening of the meetings of creditors or shareholders (or classes of them, as applicable). While a dissenting shareholder has the right to express to the court the view that the transaction ought not to be approved, the court can be expected to approve the arrangement if it determines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has complied with the directions set down by the Cayman Islands court;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meeting was properly held and the statutory provisions as to the required majority vote have been met;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and the statutory majority are acting bona fide without coercion of the minority to promote interests adverse to those of the class;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arrangement is such that may be reasonably approved by an intelligent and honest man of that class acting in respect of his/her interest.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If a compromise or arrangement of a Cayman Islands company is thus approved by the shareholders in the context of a shareholders scheme and the Cayman Islands court subsequently sanctions such scheme, the dissenting shareholder would have no rights comparable to appraisal rights, which would otherwise ordinarily be available to dissenting shareholders of Delaware corporations, providing rights to receive payment in cash for the judicially determined value of the shares. This is because such scheme will be binding on all shareholders (or class of shareholders), regardless of whether all the shareholders (or class of shareholders) approved the scheme, upon the sanction order being made. Having said that, a dissenting shareholder would have the right to appeal the making of the sanction order to the Cayman Islands Court of Appeal, if there were grounds for doing so. </w:t>
      </w:r>
    </w:p>
    <w:p>
      <w:pPr>
        <w:pStyle w:val="TextBody"/>
        <w:spacing w:before="240" w:after="0"/>
        <w:jc w:val="left"/>
        <w:rPr>
          <w:rFonts w:ascii="Times New Roman" w:hAnsi="Times New Roman"/>
          <w:sz w:val="20"/>
        </w:rPr>
      </w:pPr>
      <w:r>
        <w:rPr>
          <w:rFonts w:ascii="Times New Roman" w:hAnsi="Times New Roman"/>
          <w:i/>
          <w:sz w:val="20"/>
        </w:rPr>
        <w:t>Shareholders Suits.</w:t>
      </w:r>
      <w:r>
        <w:rPr>
          <w:rFonts w:ascii="Times New Roman" w:hAnsi="Times New Roman"/>
          <w:sz w:val="20"/>
        </w:rPr>
        <w:t xml:space="preserve"> 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company is acting, or proposing to act, illegally or beyond the scope of its authority;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act complained of, although not beyond the scope of the authority, could be effected if duly authorized by more than the number of votes which have actually been obtained;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spacing w:before="240" w:after="0"/>
        <w:jc w:val="left"/>
        <w:rPr>
          <w:rFonts w:ascii="Times New Roman" w:hAnsi="Times New Roman"/>
          <w:sz w:val="20"/>
        </w:rPr>
      </w:pPr>
      <w:r>
        <w:rPr>
          <w:rFonts w:ascii="Times New Roman" w:hAnsi="Times New Roman"/>
          <w:sz w:val="20"/>
        </w:rPr>
        <w:t xml:space="preserve">A shareholder may have a direct right of action against the company where the individual rights of that shareholder have been infringed or are about to be infringed. </w:t>
      </w:r>
    </w:p>
    <w:p>
      <w:pPr>
        <w:pStyle w:val="TextBody"/>
        <w:spacing w:before="240" w:after="0"/>
        <w:jc w:val="left"/>
        <w:rPr>
          <w:rFonts w:ascii="Times New Roman" w:hAnsi="Times New Roman"/>
          <w:sz w:val="20"/>
        </w:rPr>
      </w:pPr>
      <w:r>
        <w:rPr>
          <w:rFonts w:ascii="Times New Roman" w:hAnsi="Times New Roman"/>
          <w:i/>
          <w:sz w:val="20"/>
        </w:rPr>
        <w:t>Directors Fiduciary Duties.</w:t>
      </w:r>
      <w:r>
        <w:rPr>
          <w:rFonts w:ascii="Times New Roman" w:hAnsi="Times New Roman"/>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spacing w:before="240" w:after="0"/>
        <w:jc w:val="left"/>
        <w:rPr>
          <w:rFonts w:ascii="Times New Roman" w:hAnsi="Times New Roman"/>
          <w:sz w:val="20"/>
        </w:rPr>
      </w:pPr>
      <w:r>
        <w:rPr>
          <w:rFonts w:ascii="Times New Roman" w:hAnsi="Times New Roman"/>
          <w:sz w:val="20"/>
        </w:rPr>
        <w:t xml:space="preserve">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i/>
          <w:sz w:val="20"/>
        </w:rPr>
        <w:t>Shareholder Action by Written Resolution.</w:t>
      </w:r>
      <w:r>
        <w:rPr>
          <w:rFonts w:ascii="Times New Roman" w:hAnsi="Times New Roman"/>
          <w:sz w:val="20"/>
        </w:rPr>
        <w:t xml:space="preserve"> Under the Delaware General Corporation Law, a corporations certificate of incorporation may eliminate the right of stockholders to act by written consent. Our Memorandum and Articles of Association allow shareholders to act by written resolutions. </w:t>
      </w:r>
    </w:p>
    <w:p>
      <w:pPr>
        <w:pStyle w:val="TextBody"/>
        <w:spacing w:before="240" w:after="0"/>
        <w:jc w:val="left"/>
        <w:rPr>
          <w:rFonts w:ascii="Times New Roman" w:hAnsi="Times New Roman"/>
          <w:sz w:val="20"/>
        </w:rPr>
      </w:pPr>
      <w:r>
        <w:rPr>
          <w:rFonts w:ascii="Times New Roman" w:hAnsi="Times New Roman"/>
          <w:i/>
          <w:sz w:val="20"/>
        </w:rPr>
        <w:t>Cumulative Voting.</w:t>
      </w:r>
      <w:r>
        <w:rPr>
          <w:rFonts w:ascii="Times New Roman" w:hAnsi="Times New Roman"/>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 As permitted under Cayman Islands law, our Memorandum and Articles of Association do not provide for cumulative voting. </w:t>
      </w:r>
    </w:p>
    <w:p>
      <w:pPr>
        <w:pStyle w:val="TextBody"/>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Under the Delaware General Corporation Law, a director of a corporation may be removed with the approval of a majority of the outstanding shares entitled to vote, unless the certificate of incorporation provides otherwise. Under our Memorandum and Articles of Association, directors can be removed by special resolution of the shareholders. </w:t>
      </w:r>
    </w:p>
    <w:p>
      <w:pPr>
        <w:pStyle w:val="TextBody"/>
        <w:spacing w:before="240" w:after="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 of directors. </w:t>
      </w:r>
    </w:p>
    <w:p>
      <w:pPr>
        <w:pStyle w:val="TextBody"/>
        <w:spacing w:before="240" w:after="0"/>
        <w:jc w:val="left"/>
        <w:rPr>
          <w:rFonts w:ascii="Times New Roman" w:hAnsi="Times New Roman"/>
          <w:sz w:val="20"/>
        </w:rPr>
      </w:pPr>
      <w:r>
        <w:rPr>
          <w:rFonts w:ascii="Times New Roman" w:hAnsi="Times New Roman"/>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 </w:t>
      </w:r>
    </w:p>
    <w:p>
      <w:pPr>
        <w:pStyle w:val="TextBody"/>
        <w:spacing w:before="240" w:after="0"/>
        <w:jc w:val="left"/>
        <w:rPr>
          <w:rFonts w:ascii="Times New Roman" w:hAnsi="Times New Roman"/>
          <w:sz w:val="20"/>
        </w:rPr>
      </w:pPr>
      <w:r>
        <w:rPr>
          <w:rFonts w:ascii="Times New Roman" w:hAnsi="Times New Roman"/>
          <w:i/>
          <w:sz w:val="20"/>
        </w:rPr>
        <w:t>Dissolution and Winding Up</w:t>
      </w:r>
      <w:r>
        <w:rPr>
          <w:rFonts w:ascii="Times New Roman" w:hAnsi="Times New Roman"/>
          <w:sz w:val="20"/>
        </w:rPr>
        <w:t xml:space="preserve">. 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Under our Memorandum and Articles of Association, a resolution that our company be wound up by the court or be wound up voluntarily shall be a special resolution, except where the company is to be wound up voluntarily because it is unable to pay its debts as they may fall due in which event the resolution shall be an ordinary resolution. </w:t>
      </w:r>
    </w:p>
    <w:p>
      <w:pPr>
        <w:pStyle w:val="TextBody"/>
        <w:spacing w:before="240" w:after="0"/>
        <w:jc w:val="left"/>
        <w:rPr>
          <w:rFonts w:ascii="Times New Roman" w:hAnsi="Times New Roman"/>
          <w:sz w:val="20"/>
        </w:rPr>
      </w:pPr>
      <w:r>
        <w:rPr>
          <w:rFonts w:ascii="Times New Roman" w:hAnsi="Times New Roman"/>
          <w:i/>
          <w:sz w:val="20"/>
        </w:rPr>
        <w:t>Variation of Rights of Shares</w:t>
      </w:r>
      <w:r>
        <w:rPr>
          <w:rFonts w:ascii="Times New Roman" w:hAnsi="Times New Roman"/>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unanimous consent in writing of the holders of the issued shares of the relevant class or with the sanction of a resolution passed at a separate meeting of the holders of the shares of such class by a majority of two-thirds of the votes cast at such a meeting.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i/>
          <w:sz w:val="20"/>
        </w:rPr>
        <w:t>Amendment of Governing Documents.</w:t>
      </w:r>
      <w:r>
        <w:rPr>
          <w:rFonts w:ascii="Times New Roman" w:hAnsi="Times New Roman"/>
          <w:sz w:val="20"/>
        </w:rPr>
        <w:t xml:space="preserve"> Under the Delaware General Corporation Law, a corporations governing documents may be amended with the approval of a majority of the outstanding shares entitled to vote, unless the certificate of incorporation provides otherwise. Our Memorandum and Articles of Association may be amended by a special resolution of shareholders. </w:t>
      </w:r>
    </w:p>
    <w:p>
      <w:pPr>
        <w:pStyle w:val="TextBody"/>
        <w:spacing w:before="240" w:after="0"/>
        <w:jc w:val="left"/>
        <w:rPr>
          <w:rFonts w:ascii="Times New Roman" w:hAnsi="Times New Roman"/>
          <w:sz w:val="20"/>
        </w:rPr>
      </w:pPr>
      <w:r>
        <w:rPr>
          <w:rFonts w:ascii="Times New Roman" w:hAnsi="Times New Roman"/>
          <w:i/>
          <w:sz w:val="20"/>
        </w:rPr>
        <w:t>Inspection of Books and Records.</w:t>
      </w:r>
      <w:r>
        <w:rPr>
          <w:rFonts w:ascii="Times New Roman" w:hAnsi="Times New Roman"/>
          <w:sz w:val="20"/>
        </w:rPr>
        <w:t xml:space="preserve"> Under the Delaware General Corporation Law, any shareholder of a corporation may for any proper purpose inspect or make copies of the corporations stock ledger, list of shareholders and other books and records. Holders of our shares have no general right under Cayman Islands law, nor any right under our Memorandum and Articles of Association, to inspect or obtain copies of our register of members or our corporate records. However, we intend to provide our shareholders with annual reports containing audited financial statements. </w:t>
      </w:r>
    </w:p>
    <w:p>
      <w:pPr>
        <w:pStyle w:val="TextBody"/>
        <w:spacing w:before="240" w:after="0"/>
        <w:jc w:val="left"/>
        <w:rPr>
          <w:rFonts w:ascii="Times New Roman" w:hAnsi="Times New Roman"/>
          <w:sz w:val="20"/>
        </w:rPr>
      </w:pPr>
      <w:r>
        <w:rPr>
          <w:rFonts w:ascii="Times New Roman" w:hAnsi="Times New Roman"/>
          <w:i/>
          <w:sz w:val="20"/>
        </w:rPr>
        <w:t>Anti-Takeover Provisions in our Memorandum and Articles of Association.</w:t>
      </w:r>
      <w:r>
        <w:rPr>
          <w:rFonts w:ascii="Times New Roman" w:hAnsi="Times New Roman"/>
          <w:sz w:val="20"/>
        </w:rPr>
        <w:t xml:space="preserve"> 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 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and adversely affected. However, under Cayman Islands law, our directors may only exercise the rights and powers granted to them under our Memorandum and Articles of Association for a proper purpose and for what they believe in good faith to be in the best interests of our company. </w:t>
      </w:r>
    </w:p>
    <w:p>
      <w:pPr>
        <w:pStyle w:val="TextBody"/>
        <w:spacing w:before="240" w:after="0"/>
        <w:jc w:val="left"/>
        <w:rPr>
          <w:rFonts w:ascii="Times New Roman" w:hAnsi="Times New Roman"/>
          <w:sz w:val="20"/>
        </w:rPr>
      </w:pPr>
      <w:r>
        <w:rPr>
          <w:rFonts w:ascii="Times New Roman" w:hAnsi="Times New Roman"/>
          <w:i/>
          <w:sz w:val="20"/>
        </w:rPr>
        <w:t>Rights of</w:t>
      </w:r>
      <w:r>
        <w:rPr>
          <w:rFonts w:ascii="Times New Roman" w:hAnsi="Times New Roman"/>
          <w:sz w:val="20"/>
        </w:rPr>
        <w:t> </w:t>
      </w:r>
      <w:r>
        <w:rPr>
          <w:rFonts w:ascii="Times New Roman" w:hAnsi="Times New Roman"/>
          <w:i/>
          <w:sz w:val="20"/>
        </w:rPr>
        <w:t>Non-Resident</w:t>
      </w:r>
      <w:r>
        <w:rPr>
          <w:rFonts w:ascii="Times New Roman" w:hAnsi="Times New Roman"/>
          <w:sz w:val="20"/>
        </w:rPr>
        <w:t> </w:t>
      </w:r>
      <w:r>
        <w:rPr>
          <w:rFonts w:ascii="Times New Roman" w:hAnsi="Times New Roman"/>
          <w:i/>
          <w:sz w:val="20"/>
        </w:rPr>
        <w:t>or Foreign Shareholders</w:t>
      </w:r>
      <w:r>
        <w:rPr>
          <w:rFonts w:ascii="Times New Roman" w:hAnsi="Times New Roman"/>
          <w:sz w:val="20"/>
        </w:rPr>
        <w:t xml:space="preserve">. 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 </w:t>
      </w:r>
    </w:p>
    <w:p>
      <w:pPr>
        <w:pStyle w:val="TextBody"/>
        <w:spacing w:before="360" w:after="0"/>
        <w:jc w:val="left"/>
        <w:rPr>
          <w:rFonts w:ascii="Times New Roman" w:hAnsi="Times New Roman"/>
          <w:b/>
          <w:sz w:val="20"/>
        </w:rPr>
      </w:pPr>
      <w:r>
        <w:rPr>
          <w:rFonts w:ascii="Times New Roman" w:hAnsi="Times New Roman"/>
          <w:b/>
          <w:sz w:val="20"/>
        </w:rPr>
        <w:t xml:space="preserve">Description of American Depositary Shares </w:t>
      </w:r>
    </w:p>
    <w:p>
      <w:pPr>
        <w:pStyle w:val="TextBody"/>
        <w:spacing w:before="120" w:after="0"/>
        <w:jc w:val="left"/>
        <w:rPr/>
      </w:pPr>
      <w:r>
        <w:rPr>
          <w:rFonts w:ascii="Times New Roman" w:hAnsi="Times New Roman"/>
          <w:sz w:val="20"/>
        </w:rPr>
        <w:t>For information regarding our ADSs, please refer to the</w:t>
      </w:r>
      <w:hyperlink r:id="rId52">
        <w:r>
          <w:rPr>
            <w:rStyle w:val="InternetLink"/>
            <w:rFonts w:ascii="Times New Roman" w:hAnsi="Times New Roman"/>
            <w:sz w:val="20"/>
          </w:rPr>
          <w:t> Description of American Depositary Shares</w:t>
        </w:r>
      </w:hyperlink>
      <w:r>
        <w:rPr>
          <w:rFonts w:ascii="Times New Roman" w:hAnsi="Times New Roman"/>
          <w:sz w:val="20"/>
        </w:rPr>
        <w:t xml:space="preserve"> (incorporated by reference to our registration statement on Form F-3 (File No. 333-215100), as amended, initially filed with the SEC on December 14, 2016). </w:t>
      </w:r>
      <w:r>
        <w:br w:type="page"/>
      </w:r>
    </w:p>
    <w:p>
      <w:pPr>
        <w:pStyle w:val="TextBody"/>
        <w:spacing w:before="0" w:after="0"/>
        <w:jc w:val="right"/>
        <w:rPr>
          <w:rFonts w:ascii="Times New Roman" w:hAnsi="Times New Roman"/>
          <w:b/>
          <w:sz w:val="20"/>
        </w:rPr>
      </w:pPr>
      <w:bookmarkStart w:id="86" w:name="d396630dex43.htm"/>
      <w:bookmarkStart w:id="87" w:name="ksd396630dex43"/>
      <w:bookmarkEnd w:id="86"/>
      <w:bookmarkEnd w:id="87"/>
      <w:r>
        <w:rPr>
          <w:rFonts w:ascii="Times New Roman" w:hAnsi="Times New Roman"/>
          <w:b/>
          <w:sz w:val="20"/>
        </w:rPr>
        <w:t xml:space="preserve">Exhibit 4.3 </w:t>
      </w:r>
    </w:p>
    <w:p>
      <w:pPr>
        <w:pStyle w:val="TextBody"/>
        <w:spacing w:before="240" w:after="0"/>
        <w:jc w:val="left"/>
        <w:rPr>
          <w:rFonts w:ascii="Times New Roman" w:hAnsi="Times New Roman"/>
          <w:b/>
          <w:sz w:val="20"/>
        </w:rPr>
      </w:pPr>
      <w:r>
        <w:rPr>
          <w:rFonts w:ascii="Times New Roman" w:hAnsi="Times New Roman"/>
          <w:b/>
          <w:sz w:val="20"/>
        </w:rPr>
        <w:t xml:space="preserve">[Date] </w:t>
      </w:r>
    </w:p>
    <w:p>
      <w:pPr>
        <w:pStyle w:val="TextBody"/>
        <w:spacing w:before="240" w:after="0"/>
        <w:jc w:val="left"/>
        <w:rPr>
          <w:rFonts w:ascii="Times New Roman" w:hAnsi="Times New Roman"/>
          <w:b/>
          <w:sz w:val="20"/>
        </w:rPr>
      </w:pPr>
      <w:r>
        <w:rPr>
          <w:rFonts w:ascii="Times New Roman" w:hAnsi="Times New Roman"/>
          <w:b/>
          <w:sz w:val="20"/>
        </w:rPr>
        <w:t xml:space="preserve">PRIVATE &amp; CONFIDENTIAL </w:t>
      </w:r>
    </w:p>
    <w:p>
      <w:pPr>
        <w:pStyle w:val="TextBody"/>
        <w:spacing w:before="240" w:after="0"/>
        <w:jc w:val="left"/>
        <w:rPr>
          <w:rFonts w:ascii="Times New Roman" w:hAnsi="Times New Roman"/>
          <w:b/>
          <w:sz w:val="20"/>
        </w:rPr>
      </w:pPr>
      <w:r>
        <w:rPr>
          <w:rFonts w:ascii="Times New Roman" w:hAnsi="Times New Roman"/>
          <w:b/>
          <w:sz w:val="20"/>
        </w:rPr>
        <w:t xml:space="preserve">[Name] </w:t>
      </w:r>
    </w:p>
    <w:p>
      <w:pPr>
        <w:pStyle w:val="TextBody"/>
        <w:spacing w:before="0" w:after="0"/>
        <w:jc w:val="left"/>
        <w:rPr>
          <w:rFonts w:ascii="Times New Roman" w:hAnsi="Times New Roman"/>
          <w:b/>
          <w:sz w:val="20"/>
        </w:rPr>
      </w:pPr>
      <w:r>
        <w:rPr>
          <w:rFonts w:ascii="Times New Roman" w:hAnsi="Times New Roman"/>
          <w:b/>
          <w:sz w:val="20"/>
        </w:rPr>
        <w:t xml:space="preserve">[Address] </w:t>
      </w:r>
    </w:p>
    <w:p>
      <w:pPr>
        <w:pStyle w:val="TextBody"/>
        <w:spacing w:before="240" w:after="0"/>
        <w:jc w:val="left"/>
        <w:rPr>
          <w:rFonts w:ascii="Times New Roman" w:hAnsi="Times New Roman"/>
          <w:b/>
          <w:sz w:val="20"/>
        </w:rPr>
      </w:pPr>
      <w:r>
        <w:rPr>
          <w:rFonts w:ascii="Times New Roman" w:hAnsi="Times New Roman"/>
          <w:b/>
          <w:sz w:val="20"/>
        </w:rPr>
        <w:t xml:space="preserve">EMPLOYMENT AGREEMENT </w:t>
      </w:r>
    </w:p>
    <w:p>
      <w:pPr>
        <w:pStyle w:val="TextBody"/>
        <w:spacing w:before="240" w:after="0"/>
        <w:jc w:val="left"/>
        <w:rPr>
          <w:rFonts w:ascii="Times New Roman" w:hAnsi="Times New Roman"/>
          <w:sz w:val="20"/>
        </w:rPr>
      </w:pPr>
      <w:r>
        <w:rPr>
          <w:rFonts w:ascii="Times New Roman" w:hAnsi="Times New Roman"/>
          <w:sz w:val="20"/>
        </w:rPr>
        <w:t xml:space="preserve">Dear [                ], </w:t>
      </w:r>
    </w:p>
    <w:p>
      <w:pPr>
        <w:pStyle w:val="TextBody"/>
        <w:spacing w:before="240" w:after="0"/>
        <w:jc w:val="left"/>
        <w:rPr>
          <w:rFonts w:ascii="Times New Roman" w:hAnsi="Times New Roman"/>
          <w:sz w:val="20"/>
        </w:rPr>
      </w:pPr>
      <w:r>
        <w:rPr>
          <w:rFonts w:ascii="Times New Roman" w:hAnsi="Times New Roman"/>
          <w:sz w:val="20"/>
        </w:rPr>
        <w:t>We are pleased to present you with offer of employment, subject to the terms and conditions outlined in this Employment Agreement and the attached Appendices [                 ]. These collectively constitute the </w:t>
      </w:r>
      <w:r>
        <w:rPr>
          <w:rFonts w:ascii="Times New Roman" w:hAnsi="Times New Roman"/>
          <w:b/>
          <w:sz w:val="20"/>
        </w:rPr>
        <w:t>Agreement</w:t>
      </w:r>
      <w:r>
        <w:rPr>
          <w:rFonts w:ascii="Times New Roman" w:hAnsi="Times New Roman"/>
          <w:sz w:val="20"/>
        </w:rPr>
        <w:t> between you and [                 ] (the </w:t>
      </w:r>
      <w:r>
        <w:rPr>
          <w:rFonts w:ascii="Times New Roman" w:hAnsi="Times New Roman"/>
          <w:b/>
          <w:sz w:val="20"/>
        </w:rPr>
        <w:t>Company</w:t>
      </w:r>
      <w:r>
        <w:rPr>
          <w:rFonts w:ascii="Times New Roman" w:hAnsi="Times New Roman"/>
          <w:sz w:val="20"/>
        </w:rPr>
        <w:t>), a company duly incorporated and existing under the laws of [the Hong Kong Special Administrative Region of the Peoples Republic of China (</w:t>
      </w:r>
      <w:r>
        <w:rPr>
          <w:rFonts w:ascii="Times New Roman" w:hAnsi="Times New Roman"/>
          <w:b/>
          <w:sz w:val="20"/>
        </w:rPr>
        <w:t>Hong Kong</w:t>
      </w:r>
      <w:r>
        <w:rPr>
          <w:rFonts w:ascii="Times New Roman" w:hAnsi="Times New Roman"/>
          <w:sz w:val="20"/>
        </w:rPr>
        <w:t> or </w:t>
      </w:r>
      <w:r>
        <w:rPr>
          <w:rFonts w:ascii="Times New Roman" w:hAnsi="Times New Roman"/>
          <w:b/>
          <w:sz w:val="20"/>
        </w:rPr>
        <w:t>HK</w:t>
      </w:r>
      <w:r>
        <w:rPr>
          <w:rFonts w:ascii="Times New Roman" w:hAnsi="Times New Roman"/>
          <w:sz w:val="20"/>
        </w:rPr>
        <w:t xml:space="preserve">)] whose registered address is [                ].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Appointment</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You will be appointed to the position of [                 ]</w:t>
      </w:r>
      <w:r>
        <w:rPr>
          <w:rFonts w:ascii="Times New Roman" w:hAnsi="Times New Roman"/>
          <w:b/>
          <w:sz w:val="20"/>
        </w:rPr>
        <w:t xml:space="preserve">, </w:t>
      </w:r>
      <w:r>
        <w:rPr>
          <w:rFonts w:ascii="Times New Roman" w:hAnsi="Times New Roman"/>
          <w:sz w:val="20"/>
        </w:rPr>
        <w:t xml:space="preserve">[                ], or any other positions as the Company may reasonably designate to you as may be suitable to your background. </w:t>
      </w:r>
    </w:p>
    <w:p>
      <w:pPr>
        <w:pStyle w:val="TextBody"/>
        <w:spacing w:before="120" w:after="0"/>
        <w:jc w:val="left"/>
        <w:rPr>
          <w:rFonts w:ascii="Times New Roman" w:hAnsi="Times New Roman"/>
          <w:sz w:val="20"/>
        </w:rPr>
      </w:pPr>
      <w:r>
        <w:rPr>
          <w:rFonts w:ascii="Times New Roman" w:hAnsi="Times New Roman"/>
          <w:sz w:val="20"/>
        </w:rPr>
        <w:t>This appointment is subject to the satisfactory outcome of a pre-employment reference and probity check by the Company, and the precondition that you have obtained a valid work visa to take up any employment in Hong Kong. Your appointment will be effective from    [                ] or the date when your work visa becomes valid, whichever is the later (the </w:t>
      </w:r>
      <w:r>
        <w:rPr>
          <w:rFonts w:ascii="Times New Roman" w:hAnsi="Times New Roman"/>
          <w:b/>
          <w:sz w:val="20"/>
        </w:rPr>
        <w:t>Commencement Date</w:t>
      </w:r>
      <w:r>
        <w:rPr>
          <w:rFonts w:ascii="Times New Roman" w:hAnsi="Times New Roman"/>
          <w:sz w:val="20"/>
        </w:rPr>
        <w:t>). Your appointment will continue until it is terminated in accordance with Clause 5 thereof, or the date when your work visa ceases to be valid or renewed by the relevant authority, whichever is earlier. The period from the Employment Commencement Date until the termination of your employment is hereinafter referred to as the </w:t>
      </w:r>
      <w:r>
        <w:rPr>
          <w:rFonts w:ascii="Times New Roman" w:hAnsi="Times New Roman"/>
          <w:b/>
          <w:sz w:val="20"/>
        </w:rPr>
        <w:t>Term</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Your employment entity is the Company. You hereby confirm to the Company that you have not been rejected for a work visa by Hong Kong authorities before. </w:t>
      </w:r>
    </w:p>
    <w:p>
      <w:pPr>
        <w:pStyle w:val="TextBody"/>
        <w:spacing w:before="120" w:after="0"/>
        <w:jc w:val="left"/>
        <w:rPr>
          <w:rFonts w:ascii="Times New Roman" w:hAnsi="Times New Roman"/>
          <w:sz w:val="20"/>
        </w:rPr>
      </w:pPr>
      <w:r>
        <w:rPr>
          <w:rFonts w:ascii="Times New Roman" w:hAnsi="Times New Roman"/>
          <w:sz w:val="20"/>
        </w:rPr>
        <w:t>You will be under a probation period of [                 ] months from Commencement Date. However, the Company may extend it for a further [                 ] months (the original probationary period together with any extension thereof are collectively referred as </w:t>
      </w:r>
      <w:r>
        <w:rPr>
          <w:rFonts w:ascii="Times New Roman" w:hAnsi="Times New Roman"/>
          <w:b/>
          <w:sz w:val="20"/>
        </w:rPr>
        <w:t>probationary period</w:t>
      </w:r>
      <w:r>
        <w:rPr>
          <w:rFonts w:ascii="Times New Roman" w:hAnsi="Times New Roman"/>
          <w:sz w:val="20"/>
        </w:rPr>
        <w:t xml:space="preserve">). During the probationary period, your employment may be terminated by either party giving to the other one months notice, or payment in lieu of the one months notice at the election of the terminating party.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2.</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Remuneration</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Your base salary will be </w:t>
      </w:r>
      <w:r>
        <w:rPr>
          <w:rFonts w:ascii="Times New Roman" w:hAnsi="Times New Roman"/>
          <w:b/>
          <w:sz w:val="20"/>
        </w:rPr>
        <w:t>HKD</w:t>
      </w:r>
      <w:r>
        <w:rPr>
          <w:rFonts w:ascii="Times New Roman" w:hAnsi="Times New Roman"/>
          <w:sz w:val="20"/>
        </w:rPr>
        <w:t xml:space="preserve"> [                 ] per month (the </w:t>
      </w:r>
      <w:r>
        <w:rPr>
          <w:rFonts w:ascii="Times New Roman" w:hAnsi="Times New Roman"/>
          <w:b/>
          <w:sz w:val="20"/>
        </w:rPr>
        <w:t>Base Salary</w:t>
      </w:r>
      <w:r>
        <w:rPr>
          <w:rFonts w:ascii="Times New Roman" w:hAnsi="Times New Roman"/>
          <w:sz w:val="20"/>
        </w:rPr>
        <w:t xml:space="preserve">). This is payable in arrears on or before the end of each month, provided that your first months base salary may be subject to a delay depending on the processing time required by your bank to validate payment instructions from the Company. Any such delay will not exceed 7 days following the end of your first month of employment. If you are requested to serve as a director or an officer of any additional Group Company and you agree to do so, you will do so for no extra remuneration.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Like any other employees of the Company, you shall be responsible for your own income tax in Hong Kong and any other jurisdiction(s) which you may be subject to depending on your circumstances. You are advised to seek independent professional advice should you believe you are subject to any foreign income tax and/or eligible to any double tax relief treatments. </w:t>
      </w:r>
    </w:p>
    <w:p>
      <w:pPr>
        <w:pStyle w:val="TextBody"/>
        <w:spacing w:before="120" w:after="0"/>
        <w:jc w:val="left"/>
        <w:rPr>
          <w:rFonts w:ascii="Times New Roman" w:hAnsi="Times New Roman"/>
          <w:sz w:val="20"/>
        </w:rPr>
      </w:pPr>
      <w:r>
        <w:rPr>
          <w:rFonts w:ascii="Times New Roman" w:hAnsi="Times New Roman"/>
          <w:sz w:val="20"/>
        </w:rPr>
        <w:t xml:space="preserve">Your base salary will be reviewed annually, in accordance with Company policy which is subject to periodic review. Please note that salary review may not necessarily result in an increase of your Base Salary as this is at the discretion of the Company and is subject to performance and business conditions. To be eligible for your first annual base salary review, you must have completed at least six months of employment with the Company when its annual salary review process is completed. </w:t>
      </w:r>
    </w:p>
    <w:p>
      <w:pPr>
        <w:pStyle w:val="TextBody"/>
        <w:spacing w:before="120" w:after="0"/>
        <w:jc w:val="left"/>
        <w:rPr>
          <w:rFonts w:ascii="Times New Roman" w:hAnsi="Times New Roman"/>
          <w:sz w:val="20"/>
        </w:rPr>
      </w:pPr>
      <w:r>
        <w:rPr>
          <w:rFonts w:ascii="Times New Roman" w:hAnsi="Times New Roman"/>
          <w:sz w:val="20"/>
        </w:rPr>
        <w:t>You will be eligible to participate in the relevant discretionary [                 ] Plan (</w:t>
      </w:r>
      <w:r>
        <w:rPr>
          <w:rFonts w:ascii="Times New Roman" w:hAnsi="Times New Roman"/>
          <w:b/>
          <w:sz w:val="20"/>
        </w:rPr>
        <w:t>Plan</w:t>
      </w:r>
      <w:r>
        <w:rPr>
          <w:rFonts w:ascii="Times New Roman" w:hAnsi="Times New Roman"/>
          <w:sz w:val="20"/>
        </w:rPr>
        <w:t xml:space="preserve">) in accordance with prevailing terms and conditions, as relevant and applicable to your position. The Annual Bonus is at the sole discretion of the Company, and is based on the Company and you having achieved certain targeted financial, organizational, strategic, personal and/or other objectives to be set by the Company. Payment of Annual Bonus shall also take into account the overall performance of the Parent Company (as defined in Appendix 2) and your individual performance. </w:t>
      </w:r>
    </w:p>
    <w:p>
      <w:pPr>
        <w:pStyle w:val="TextBody"/>
        <w:spacing w:before="120" w:after="0"/>
        <w:jc w:val="left"/>
        <w:rPr>
          <w:rFonts w:ascii="Times New Roman" w:hAnsi="Times New Roman"/>
          <w:sz w:val="20"/>
        </w:rPr>
      </w:pPr>
      <w:r>
        <w:rPr>
          <w:rFonts w:ascii="Times New Roman" w:hAnsi="Times New Roman"/>
          <w:sz w:val="20"/>
        </w:rPr>
        <w:t xml:space="preserve">The Plan is an absolute discretionary plan and is not an entitlement. The rules and terms relating to the Plan (including without limitation, the target opportunity, the terms of payment and the continuation of the Bonus Plan) are at the discretion of and subject to the approval of management and/or the Compensation Committee of the Board of Directors and may be amended from time to time at its discretion. </w:t>
      </w:r>
    </w:p>
    <w:p>
      <w:pPr>
        <w:pStyle w:val="TextBody"/>
        <w:spacing w:before="120" w:after="0"/>
        <w:jc w:val="left"/>
        <w:rPr>
          <w:rFonts w:ascii="Times New Roman" w:hAnsi="Times New Roman"/>
          <w:sz w:val="20"/>
        </w:rPr>
      </w:pPr>
      <w:r>
        <w:rPr>
          <w:rFonts w:ascii="Times New Roman" w:hAnsi="Times New Roman"/>
          <w:sz w:val="20"/>
        </w:rPr>
        <w:t xml:space="preserve">Subject to applicable Company Policy, which may be amended from time to time, and other prevailing terms and conditions of the Plan, you shall not be eligible to participate in the Plan if you: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not actively working on payment date (i.e. you are on Garden Leave, etc.);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have served termination notice or have been served termination notice by the Company on or before payment date;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have an unsatisfactory performance rating and/or are subject to any disciplinary action (including without limitation any final written warning) during the Plans relevant cycle.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3.</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Employee Benefits</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You will be provided with a personalized Employee Benefits Plan applicable for your position, which is summarized in [                ]. Our policies concerning employee benefits are subject to periodic review.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4.</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Exemption of working hours</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You agree that the appointed position is a management role. You acknowledge that, due to the inherent nature and responsibilities of the role, you may be required to work over and beyond a regular business schedule. You therefore agree to waive the normal business hours from 9:00 a.m. to 6:00 p.m., Monday to Friday. </w:t>
      </w:r>
    </w:p>
    <w:p>
      <w:pPr>
        <w:pStyle w:val="TextBody"/>
        <w:spacing w:before="120" w:after="0"/>
        <w:jc w:val="left"/>
        <w:rPr>
          <w:rFonts w:ascii="Times New Roman" w:hAnsi="Times New Roman"/>
          <w:sz w:val="20"/>
        </w:rPr>
      </w:pPr>
      <w:r>
        <w:rPr>
          <w:rFonts w:ascii="Times New Roman" w:hAnsi="Times New Roman"/>
          <w:sz w:val="20"/>
        </w:rPr>
        <w:t xml:space="preserve">Furthermore, you acknowledge that your appointment does not encompass any overtime pay, even though you may be required to work outside normal business hours. Notwithstanding this, your statutory rights and entitlement to rest days, holiday and paid leave will be unaffected.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5.</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Termination of Employment</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Your employment may be terminated in any of the following circumstances: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probation period, by either party giving the other not less than one months prior written notice, or payment in lieu of such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After completing the probation period, by either party giving to the other not less than 6 months prior written notice, or payment in lieu of such notice.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immediate written notice if your employment is terminated for Cause, in which case you will have no claim for damages or any other remedy against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employment with the Company shall terminate automatically on the date of your death. In the event of termination of your employment by reason of your death, the Company shall pay you (or your estate, as applicable) the accrued amounts in relation to your employment with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e)</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Notwithstanding any other provision in this Agreement, if the Company wishes to terminate your employment without Cause within the first of [                 ] years of your employment (the </w:t>
            </w:r>
            <w:r>
              <w:rPr>
                <w:rFonts w:ascii="Times New Roman" w:hAnsi="Times New Roman"/>
                <w:b/>
                <w:sz w:val="20"/>
              </w:rPr>
              <w:t>Relevant Period</w:t>
            </w:r>
            <w:r>
              <w:rPr>
                <w:rFonts w:ascii="Times New Roman" w:hAnsi="Times New Roman"/>
                <w:sz w:val="20"/>
              </w:rPr>
              <w:t xml:space="preserve">), the Company shall provide you with: </w:t>
            </w:r>
          </w:p>
        </w:tc>
      </w:tr>
    </w:tbl>
    <w:p>
      <w:pPr>
        <w:pStyle w:val="TextBody"/>
        <w:spacing w:before="120" w:after="0"/>
        <w:jc w:val="left"/>
        <w:rPr>
          <w:rFonts w:ascii="Times New Roman" w:hAnsi="Times New Roman"/>
          <w:sz w:val="20"/>
        </w:rPr>
      </w:pPr>
      <w:r>
        <w:rPr>
          <w:rFonts w:ascii="Times New Roman" w:hAnsi="Times New Roman"/>
          <w:sz w:val="20"/>
        </w:rPr>
        <w:t xml:space="preserve">either a prior written notice for a period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5"/>
        <w:gridCol w:w="407"/>
        <w:gridCol w:w="8883"/>
      </w:tblGrid>
      <w:tr>
        <w:trPr/>
        <w:tc>
          <w:tcPr>
            <w:tcW w:w="91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 6 months;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6"/>
        <w:gridCol w:w="8882"/>
      </w:tblGrid>
      <w:tr>
        <w:trPr/>
        <w:tc>
          <w:tcPr>
            <w:tcW w:w="917"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ii)</w:t>
            </w:r>
          </w:p>
        </w:tc>
        <w:tc>
          <w:tcPr>
            <w:tcW w:w="888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equivalent to the balance of the Relevant Period as from the date of the written notice, whichever is greater; </w:t>
            </w:r>
          </w:p>
        </w:tc>
      </w:tr>
    </w:tbl>
    <w:p>
      <w:pPr>
        <w:pStyle w:val="TextBody"/>
        <w:spacing w:before="120" w:after="0"/>
        <w:jc w:val="left"/>
        <w:rPr>
          <w:rFonts w:ascii="Times New Roman" w:hAnsi="Times New Roman"/>
          <w:sz w:val="20"/>
        </w:rPr>
      </w:pPr>
      <w:r>
        <w:rPr>
          <w:rFonts w:ascii="Times New Roman" w:hAnsi="Times New Roman"/>
          <w:sz w:val="20"/>
        </w:rPr>
        <w:t xml:space="preserve">or payment of the Base Salary in lieu thereof. </w:t>
      </w:r>
    </w:p>
    <w:p>
      <w:pPr>
        <w:pStyle w:val="TextBody"/>
        <w:spacing w:before="120" w:after="0"/>
        <w:jc w:val="left"/>
        <w:rPr>
          <w:rFonts w:ascii="Times New Roman" w:hAnsi="Times New Roman"/>
          <w:sz w:val="20"/>
        </w:rPr>
      </w:pPr>
      <w:r>
        <w:rPr>
          <w:rFonts w:ascii="Times New Roman" w:hAnsi="Times New Roman"/>
          <w:sz w:val="20"/>
        </w:rPr>
        <w:t xml:space="preserve">Please refer to </w:t>
      </w:r>
      <w:r>
        <w:rPr>
          <w:rFonts w:ascii="Times New Roman" w:hAnsi="Times New Roman"/>
          <w:b/>
          <w:sz w:val="20"/>
        </w:rPr>
        <w:t>Clause 5</w:t>
      </w:r>
      <w:r>
        <w:rPr>
          <w:rFonts w:ascii="Times New Roman" w:hAnsi="Times New Roman"/>
          <w:sz w:val="20"/>
        </w:rPr>
        <w:t xml:space="preserve"> in </w:t>
      </w:r>
      <w:r>
        <w:rPr>
          <w:rFonts w:ascii="Times New Roman" w:hAnsi="Times New Roman"/>
          <w:b/>
          <w:sz w:val="20"/>
        </w:rPr>
        <w:t>Appendix 2</w:t>
      </w:r>
      <w:r>
        <w:rPr>
          <w:rFonts w:ascii="Times New Roman" w:hAnsi="Times New Roman"/>
          <w:sz w:val="20"/>
        </w:rPr>
        <w:t xml:space="preserve"> for further terms and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6.</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u w:val="single"/>
              </w:rPr>
              <w:t>Governing Law</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This Employment Agreement and the attached Appendices [                 ] are governed by and shall be interpreted and construed in accordance with the laws of Hong Kong. The parties agree to submit to the non-exclusive jurisdiction of the courts of Hong Kong in the event of any dispute, claim or matter arising from the Agreement.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It should be noted that headings to the clauses contained in the Agreement are inserted for convenience only and shall not affect the construction of the Agreement. The terms and conditions of your employment are considered confidential and should not be disclosed to any unauthorized parties. </w:t>
      </w:r>
    </w:p>
    <w:p>
      <w:pPr>
        <w:pStyle w:val="TextBody"/>
        <w:spacing w:before="120" w:after="0"/>
        <w:jc w:val="left"/>
        <w:rPr>
          <w:rFonts w:ascii="Times New Roman" w:hAnsi="Times New Roman"/>
          <w:sz w:val="20"/>
        </w:rPr>
      </w:pPr>
      <w:r>
        <w:rPr>
          <w:rFonts w:ascii="Times New Roman" w:hAnsi="Times New Roman"/>
          <w:sz w:val="20"/>
        </w:rPr>
        <w:t xml:space="preserve">If the foregoing concurs with your understanding of the terms and conditions of Employment, please sign and return the duplicate original of this Agreement to Human Resources Department, initialing each page, to signify your understanding, acceptance and agreement. </w:t>
      </w:r>
    </w:p>
    <w:p>
      <w:pPr>
        <w:pStyle w:val="TextBody"/>
        <w:spacing w:before="120" w:after="0"/>
        <w:jc w:val="left"/>
        <w:rPr>
          <w:rFonts w:ascii="Times New Roman" w:hAnsi="Times New Roman"/>
          <w:sz w:val="20"/>
        </w:rPr>
      </w:pPr>
      <w:r>
        <w:rPr>
          <w:rFonts w:ascii="Times New Roman" w:hAnsi="Times New Roman"/>
          <w:sz w:val="20"/>
        </w:rPr>
        <w:t xml:space="preserve">We would like to take this opportunity to congratulate you on your new position, and we are looking forward to working with you and welcoming you to our team.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64"/>
        <w:gridCol w:w="120"/>
        <w:gridCol w:w="2194"/>
        <w:gridCol w:w="120"/>
        <w:gridCol w:w="3807"/>
      </w:tblGrid>
      <w:tr>
        <w:trPr/>
        <w:tc>
          <w:tcPr>
            <w:tcW w:w="39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07" w:type="dxa"/>
            <w:tcBorders/>
            <w:shd w:fill="auto" w:val="clear"/>
            <w:vAlign w:val="center"/>
          </w:tcPr>
          <w:p>
            <w:pPr>
              <w:pStyle w:val="TableContents"/>
              <w:spacing w:before="0" w:after="283"/>
              <w:rPr>
                <w:sz w:val="4"/>
                <w:szCs w:val="4"/>
              </w:rPr>
            </w:pPr>
            <w:r>
              <w:rPr>
                <w:sz w:val="4"/>
                <w:szCs w:val="4"/>
              </w:rPr>
            </w:r>
          </w:p>
        </w:tc>
      </w:tr>
      <w:tr>
        <w:trPr/>
        <w:tc>
          <w:tcPr>
            <w:tcW w:w="3964" w:type="dxa"/>
            <w:tcBorders/>
            <w:shd w:fill="auto" w:val="clear"/>
          </w:tcPr>
          <w:p>
            <w:pPr>
              <w:pStyle w:val="TableContents"/>
              <w:spacing w:before="0" w:after="283"/>
              <w:rPr/>
            </w:pPr>
            <w:r>
              <w:rPr/>
              <w:t>For and on behalf of</w:t>
            </w:r>
          </w:p>
        </w:tc>
        <w:tc>
          <w:tcPr>
            <w:tcW w:w="120" w:type="dxa"/>
            <w:tcBorders/>
            <w:shd w:fill="auto" w:val="clear"/>
            <w:vAlign w:val="bottom"/>
          </w:tcPr>
          <w:p>
            <w:pPr>
              <w:pStyle w:val="TableContents"/>
              <w:spacing w:before="0" w:after="283"/>
              <w:rPr/>
            </w:pPr>
            <w:r>
              <w:rPr/>
              <w:t>  </w:t>
            </w:r>
          </w:p>
        </w:tc>
        <w:tc>
          <w:tcPr>
            <w:tcW w:w="219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07" w:type="dxa"/>
            <w:tcBorders/>
            <w:shd w:fill="auto" w:val="clear"/>
          </w:tcPr>
          <w:p>
            <w:pPr>
              <w:pStyle w:val="TableContents"/>
              <w:spacing w:before="0" w:after="20"/>
              <w:rPr>
                <w:rFonts w:ascii="Times New Roman" w:hAnsi="Times New Roman"/>
                <w:sz w:val="20"/>
              </w:rPr>
            </w:pPr>
            <w:r>
              <w:rPr>
                <w:rFonts w:ascii="Times New Roman" w:hAnsi="Times New Roman"/>
                <w:sz w:val="20"/>
              </w:rPr>
              <w:t>Accepted and agreed by:</w:t>
            </w:r>
          </w:p>
        </w:tc>
      </w:tr>
      <w:tr>
        <w:trPr/>
        <w:tc>
          <w:tcPr>
            <w:tcW w:w="3964"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9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07" w:type="dxa"/>
            <w:tcBorders/>
            <w:shd w:fill="auto" w:val="clear"/>
          </w:tcPr>
          <w:p>
            <w:pPr>
              <w:pStyle w:val="TableContents"/>
              <w:spacing w:before="0" w:after="283"/>
              <w:rPr/>
            </w:pPr>
            <w:r>
              <w:rPr/>
              <w:t>[                                ]</w:t>
            </w:r>
          </w:p>
        </w:tc>
      </w:tr>
      <w:tr>
        <w:trPr>
          <w:trHeight w:val="240" w:hRule="atLeast"/>
        </w:trPr>
        <w:tc>
          <w:tcPr>
            <w:tcW w:w="3964" w:type="dxa"/>
            <w:tcBorders/>
            <w:shd w:fill="auto" w:val="clear"/>
            <w:vAlign w:val="center"/>
          </w:tcPr>
          <w:p>
            <w:pPr>
              <w:pStyle w:val="TableContents"/>
              <w:spacing w:before="0" w:after="283"/>
              <w:rPr>
                <w:sz w:val="4"/>
                <w:szCs w:val="4"/>
              </w:rPr>
            </w:pPr>
            <w:r>
              <w:rPr>
                <w:sz w:val="4"/>
                <w:szCs w:val="4"/>
              </w:rPr>
            </w:r>
          </w:p>
        </w:tc>
        <w:tc>
          <w:tcPr>
            <w:tcW w:w="2314" w:type="dxa"/>
            <w:gridSpan w:val="2"/>
            <w:tcBorders/>
            <w:shd w:fill="auto" w:val="clear"/>
            <w:vAlign w:val="center"/>
          </w:tcPr>
          <w:p>
            <w:pPr>
              <w:pStyle w:val="TableContents"/>
              <w:spacing w:before="0" w:after="283"/>
              <w:rPr>
                <w:sz w:val="4"/>
                <w:szCs w:val="4"/>
              </w:rPr>
            </w:pPr>
            <w:r>
              <w:rPr>
                <w:sz w:val="4"/>
                <w:szCs w:val="4"/>
              </w:rPr>
            </w:r>
          </w:p>
        </w:tc>
        <w:tc>
          <w:tcPr>
            <w:tcW w:w="3927" w:type="dxa"/>
            <w:gridSpan w:val="2"/>
            <w:tcBorders/>
            <w:shd w:fill="auto" w:val="clear"/>
            <w:vAlign w:val="center"/>
          </w:tcPr>
          <w:p>
            <w:pPr>
              <w:pStyle w:val="TableContents"/>
              <w:spacing w:before="0" w:after="283"/>
              <w:rPr>
                <w:sz w:val="4"/>
                <w:szCs w:val="4"/>
              </w:rPr>
            </w:pPr>
            <w:r>
              <w:rPr>
                <w:sz w:val="4"/>
                <w:szCs w:val="4"/>
              </w:rPr>
            </w:r>
          </w:p>
        </w:tc>
      </w:tr>
      <w:tr>
        <w:trPr/>
        <w:tc>
          <w:tcPr>
            <w:tcW w:w="3964" w:type="dxa"/>
            <w:tcBorders>
              <w:bottom w:val="single" w:sz="2" w:space="0" w:color="000000"/>
            </w:tcBorders>
            <w:shd w:fill="auto" w:val="clear"/>
            <w:tcMar>
              <w:bottom w:w="28" w:type="dxa"/>
            </w:tcM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94" w:type="dxa"/>
            <w:tcBorders/>
            <w:shd w:fill="auto" w:val="clear"/>
          </w:tcPr>
          <w:p>
            <w:pPr>
              <w:pStyle w:val="TableContents"/>
              <w:spacing w:before="0" w:after="283"/>
              <w:rPr>
                <w:sz w:val="4"/>
                <w:szCs w:val="4"/>
              </w:rPr>
            </w:pPr>
            <w:r>
              <w:rPr>
                <w:sz w:val="4"/>
                <w:szCs w:val="4"/>
              </w:rPr>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3807" w:type="dxa"/>
            <w:tcBorders>
              <w:bottom w:val="single" w:sz="2" w:space="0" w:color="000000"/>
            </w:tcBorders>
            <w:shd w:fill="auto" w:val="clear"/>
            <w:tcMar>
              <w:bottom w:w="28" w:type="dxa"/>
            </w:tcMar>
          </w:tcPr>
          <w:p>
            <w:pPr>
              <w:pStyle w:val="TableContents"/>
              <w:spacing w:before="0" w:after="283"/>
              <w:rPr/>
            </w:pPr>
            <w:r>
              <w:rPr/>
              <w:t> </w:t>
            </w:r>
          </w:p>
        </w:tc>
      </w:tr>
      <w:tr>
        <w:trPr/>
        <w:tc>
          <w:tcPr>
            <w:tcW w:w="3964"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9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07" w:type="dxa"/>
            <w:tcBorders/>
            <w:shd w:fill="auto" w:val="clear"/>
          </w:tcPr>
          <w:p>
            <w:pPr>
              <w:pStyle w:val="TableContents"/>
              <w:spacing w:before="0" w:after="20"/>
              <w:rPr>
                <w:rFonts w:ascii="Times New Roman" w:hAnsi="Times New Roman"/>
                <w:sz w:val="20"/>
              </w:rPr>
            </w:pPr>
            <w:r>
              <w:rPr>
                <w:rFonts w:ascii="Times New Roman" w:hAnsi="Times New Roman"/>
                <w:b/>
                <w:sz w:val="20"/>
              </w:rPr>
              <w:t>Nationality:</w:t>
            </w:r>
            <w:r>
              <w:rPr>
                <w:rFonts w:ascii="Times New Roman" w:hAnsi="Times New Roman"/>
                <w:sz w:val="20"/>
              </w:rPr>
              <w:t xml:space="preserve"> [                                ]</w:t>
            </w:r>
          </w:p>
        </w:tc>
      </w:tr>
      <w:tr>
        <w:trPr/>
        <w:tc>
          <w:tcPr>
            <w:tcW w:w="3964" w:type="dxa"/>
            <w:tcBorders/>
            <w:shd w:fill="auto" w:val="clear"/>
          </w:tcPr>
          <w:p>
            <w:pPr>
              <w:pStyle w:val="TableContents"/>
              <w:spacing w:before="0" w:after="283"/>
              <w:rPr/>
            </w:pPr>
            <w:r>
              <w:rPr/>
              <w:t>Authorized Signatory</w:t>
            </w:r>
          </w:p>
        </w:tc>
        <w:tc>
          <w:tcPr>
            <w:tcW w:w="120" w:type="dxa"/>
            <w:tcBorders/>
            <w:shd w:fill="auto" w:val="clear"/>
            <w:vAlign w:val="bottom"/>
          </w:tcPr>
          <w:p>
            <w:pPr>
              <w:pStyle w:val="TableContents"/>
              <w:spacing w:before="0" w:after="283"/>
              <w:rPr/>
            </w:pPr>
            <w:r>
              <w:rPr/>
              <w:t>  </w:t>
            </w:r>
          </w:p>
        </w:tc>
        <w:tc>
          <w:tcPr>
            <w:tcW w:w="219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07" w:type="dxa"/>
            <w:tcBorders/>
            <w:shd w:fill="auto" w:val="clear"/>
          </w:tcPr>
          <w:p>
            <w:pPr>
              <w:pStyle w:val="TableContents"/>
              <w:spacing w:before="0" w:after="20"/>
              <w:rPr>
                <w:rFonts w:ascii="Times New Roman" w:hAnsi="Times New Roman"/>
                <w:sz w:val="20"/>
              </w:rPr>
            </w:pPr>
            <w:r>
              <w:rPr>
                <w:rFonts w:ascii="Times New Roman" w:hAnsi="Times New Roman"/>
                <w:b/>
                <w:sz w:val="20"/>
              </w:rPr>
              <w:t>Passport/ID Card No.:</w:t>
            </w:r>
            <w:r>
              <w:rPr>
                <w:rFonts w:ascii="Times New Roman" w:hAnsi="Times New Roman"/>
                <w:sz w:val="20"/>
              </w:rPr>
              <w:t xml:space="preserve"> [                                ]</w:t>
            </w:r>
          </w:p>
        </w:tc>
      </w:tr>
      <w:tr>
        <w:trPr/>
        <w:tc>
          <w:tcPr>
            <w:tcW w:w="3964"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19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807" w:type="dxa"/>
            <w:tcBorders/>
            <w:shd w:fill="auto" w:val="clear"/>
            <w:vAlign w:val="bottom"/>
          </w:tcPr>
          <w:p>
            <w:pPr>
              <w:pStyle w:val="TableContents"/>
              <w:spacing w:before="0" w:after="283"/>
              <w:rPr/>
            </w:pPr>
            <w:r>
              <w:rPr/>
              <w:t>Date:</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01"/>
        <w:gridCol w:w="124"/>
        <w:gridCol w:w="295"/>
        <w:gridCol w:w="124"/>
        <w:gridCol w:w="8661"/>
      </w:tblGrid>
      <w:tr>
        <w:trPr/>
        <w:tc>
          <w:tcPr>
            <w:tcW w:w="100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8661" w:type="dxa"/>
            <w:tcBorders/>
            <w:shd w:fill="auto" w:val="clear"/>
            <w:vAlign w:val="center"/>
          </w:tcPr>
          <w:p>
            <w:pPr>
              <w:pStyle w:val="TableContents"/>
              <w:spacing w:before="0" w:after="283"/>
              <w:rPr>
                <w:sz w:val="4"/>
                <w:szCs w:val="4"/>
              </w:rPr>
            </w:pPr>
            <w:r>
              <w:rPr>
                <w:sz w:val="4"/>
                <w:szCs w:val="4"/>
              </w:rPr>
            </w:r>
          </w:p>
        </w:tc>
      </w:tr>
      <w:tr>
        <w:trPr/>
        <w:tc>
          <w:tcPr>
            <w:tcW w:w="1001" w:type="dxa"/>
            <w:tcBorders/>
            <w:shd w:fill="auto" w:val="clear"/>
          </w:tcPr>
          <w:p>
            <w:pPr>
              <w:pStyle w:val="TableContents"/>
              <w:spacing w:before="0" w:after="283"/>
              <w:rPr/>
            </w:pPr>
            <w:r>
              <w:rPr/>
              <w:t>Enclosure:</w:t>
            </w:r>
          </w:p>
        </w:tc>
        <w:tc>
          <w:tcPr>
            <w:tcW w:w="124" w:type="dxa"/>
            <w:tcBorders/>
            <w:shd w:fill="auto" w:val="clear"/>
            <w:vAlign w:val="bottom"/>
          </w:tcPr>
          <w:p>
            <w:pPr>
              <w:pStyle w:val="TableContents"/>
              <w:spacing w:before="0" w:after="283"/>
              <w:rPr/>
            </w:pPr>
            <w:r>
              <w:rPr/>
              <w:t>  </w:t>
            </w:r>
          </w:p>
        </w:tc>
        <w:tc>
          <w:tcPr>
            <w:tcW w:w="295" w:type="dxa"/>
            <w:tcBorders/>
            <w:shd w:fill="auto" w:val="clea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pPr>
            <w:r>
              <w:rPr/>
              <w:t>  </w:t>
            </w:r>
          </w:p>
        </w:tc>
        <w:tc>
          <w:tcPr>
            <w:tcW w:w="8661" w:type="dxa"/>
            <w:tcBorders/>
            <w:shd w:fill="auto" w:val="clear"/>
          </w:tcPr>
          <w:p>
            <w:pPr>
              <w:pStyle w:val="TableContents"/>
              <w:spacing w:before="0" w:after="283"/>
              <w:rPr/>
            </w:pPr>
            <w:r>
              <w:rPr/>
              <w:t>Terms and Conditions</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Other Terms and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Conditions of the Offer of Employment and Regulatory Approval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i)</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offer of employment is subject to the satisfactory outcome of the following Conditions Precedent: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approval of the Compensation Committee of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possession of a valid working visa in Hong Kong or a permanent Hong Kong ID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submission and receipt of satisfactory outcome of reference and probity checks, and other due diligence matters by the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d)</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provision of full satisfaction of all your obligations, undertakings, claims, and responsibilities with your former employer or securing a valid written waiver of such obligations, undertakings, claims and responsibilities from your former employer;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ii)</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Employment shall continue to be subject to the Companys security checks and may be conditional upon you holding and maintaining a relevant license issued by a relevant regulatory authority, including any regulatory authority in Hong Kong or Macau.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iii)</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must advise the Company of any past or present criminal charges and/or convictions against you, any involvement as a party in any civil and/or bankruptcy proceedings regardless of the stage of proceedings, any judgments or orders made against you, or any changes in your personal particulars including your name, address, place of residence, marital status and/or working visa status. Failure to give the Company timely advice on these matters may lead to investigation, warning, suspension, and in more extreme situations disciplinary actions which may lead to termination of your Employment.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iv)</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production of such other items or compliance of any requirements as may be required by the Company, law or local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b/>
              </w:rPr>
            </w:pPr>
            <w:r>
              <w:rPr>
                <w:b/>
              </w:rPr>
              <w:t>2.</w:t>
            </w:r>
          </w:p>
        </w:tc>
        <w:tc>
          <w:tcPr>
            <w:tcW w:w="980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Duties and Responsibilities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must at all times comply with the Companys Group Policies and Procedures as in force from time to time. Such Policies and Procedures shall be deemed to form part of the Agreement. Some of the Companys Group Policies and Procedures provide that a failure to comply may result in disciplinary or other action being taken by the Company. You must familiarize yourself with all Policies and Procedures applicable to you and comply with them. This appointment is subject to your compliance with the Code of Business Conduct and Ethics of the Company.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your Employment, no private software or personal files may be installed or used in the Companys and/or the relevant Group Companys user units, application servers, computer terminals or workstations.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your Employment, you are prohibited from using or downloading any software from the Company server and/or a Group Companys server to any of your private computers, servers computer terminals, workstations, data centres, websites, or any electronic, magnetic and/or optical storage devices.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Exclusive Services</w:t>
            </w:r>
            <w:r>
              <w:rPr>
                <w:rFonts w:ascii="Times New Roman" w:hAnsi="Times New Roman"/>
                <w:sz w:val="20"/>
              </w:rPr>
              <w:t xml:space="preserve">: During the Term of your Employment, you shall: </w:t>
            </w:r>
          </w:p>
        </w:tc>
      </w:tr>
    </w:tbl>
    <w:p>
      <w:pPr>
        <w:pStyle w:val="TextBody"/>
        <w:spacing w:before="120" w:after="0"/>
        <w:jc w:val="left"/>
        <w:rPr>
          <w:rFonts w:ascii="Times New Roman" w:hAnsi="Times New Roman"/>
          <w:sz w:val="20"/>
        </w:rPr>
      </w:pPr>
      <w:r>
        <w:rPr>
          <w:rFonts w:ascii="Times New Roman" w:hAnsi="Times New Roman"/>
          <w:sz w:val="20"/>
        </w:rPr>
        <w:t xml:space="preserve">i) devote your full working time, attention and skill to your duties stated in the Agreement; </w:t>
      </w:r>
    </w:p>
    <w:p>
      <w:pPr>
        <w:pStyle w:val="TextBody"/>
        <w:spacing w:before="120" w:after="0"/>
        <w:jc w:val="left"/>
        <w:rPr>
          <w:rFonts w:ascii="Times New Roman" w:hAnsi="Times New Roman"/>
          <w:sz w:val="20"/>
        </w:rPr>
      </w:pPr>
      <w:r>
        <w:rPr>
          <w:rFonts w:ascii="Times New Roman" w:hAnsi="Times New Roman"/>
          <w:sz w:val="20"/>
        </w:rPr>
        <w:t xml:space="preserve">ii) faithfully serve the Company and the Group; </w:t>
      </w:r>
    </w:p>
    <w:p>
      <w:pPr>
        <w:pStyle w:val="TextBody"/>
        <w:spacing w:before="120" w:after="0"/>
        <w:jc w:val="left"/>
        <w:rPr>
          <w:rFonts w:ascii="Times New Roman" w:hAnsi="Times New Roman"/>
          <w:sz w:val="20"/>
        </w:rPr>
      </w:pPr>
      <w:r>
        <w:rPr>
          <w:rFonts w:ascii="Times New Roman" w:hAnsi="Times New Roman"/>
          <w:sz w:val="20"/>
        </w:rPr>
        <w:t xml:space="preserve">iii) properly perform your duties and exercise your powers in the best interest of the Company and the Group; </w:t>
      </w:r>
    </w:p>
    <w:p>
      <w:pPr>
        <w:pStyle w:val="TextBody"/>
        <w:spacing w:before="120" w:after="0"/>
        <w:jc w:val="left"/>
        <w:rPr>
          <w:rFonts w:ascii="Times New Roman" w:hAnsi="Times New Roman"/>
          <w:sz w:val="20"/>
        </w:rPr>
      </w:pPr>
      <w:r>
        <w:rPr>
          <w:rFonts w:ascii="Times New Roman" w:hAnsi="Times New Roman"/>
          <w:sz w:val="20"/>
        </w:rPr>
        <w:t xml:space="preserve">iv) comply with the Groups policies and procedures as determined or varied from time to time and that such policies and procedures shall form part of the Agreement. Some of the Groups policies and procedures provide that failure to comply may result in disciplinary or other action taken by the Company. You must familiarize yourself with all policies and procedures to ensure compliance. The appointment is subject to your agreement to the Code of Business Conduct and Ethics. </w:t>
      </w:r>
    </w:p>
    <w:p>
      <w:pPr>
        <w:pStyle w:val="TextBody"/>
        <w:spacing w:before="120" w:after="0"/>
        <w:jc w:val="left"/>
        <w:rPr>
          <w:rFonts w:ascii="Times New Roman" w:hAnsi="Times New Roman"/>
          <w:sz w:val="20"/>
        </w:rPr>
      </w:pPr>
      <w:r>
        <w:rPr>
          <w:rFonts w:ascii="Times New Roman" w:hAnsi="Times New Roman"/>
          <w:sz w:val="20"/>
        </w:rPr>
        <w:t xml:space="preserve">v) in all respects, conform to and comply with the lawful directions and instructions given to you by your supervisor and/or the Company and shall use your best efforts to promote and serve the interests and reputation of the Company and the Group Company. </w:t>
      </w:r>
    </w:p>
    <w:p>
      <w:pPr>
        <w:pStyle w:val="TextBody"/>
        <w:spacing w:before="120" w:after="0"/>
        <w:jc w:val="left"/>
        <w:rPr>
          <w:rFonts w:ascii="Times New Roman" w:hAnsi="Times New Roman"/>
          <w:sz w:val="20"/>
        </w:rPr>
      </w:pPr>
      <w:r>
        <w:rPr>
          <w:rFonts w:ascii="Times New Roman" w:hAnsi="Times New Roman"/>
          <w:sz w:val="20"/>
        </w:rPr>
        <w:t xml:space="preserve">vi) comply with the Companys normal hours of work. You may from time to time, due to the work load of the Groups business, be required to work beyond the normal business hours of the Company. You agree that there will be no overtime payment or extra remuneration or compensation time off in this regard. </w:t>
      </w:r>
    </w:p>
    <w:p>
      <w:pPr>
        <w:pStyle w:val="TextBody"/>
        <w:spacing w:before="120" w:after="0"/>
        <w:jc w:val="left"/>
        <w:rPr>
          <w:rFonts w:ascii="Times New Roman" w:hAnsi="Times New Roman"/>
          <w:sz w:val="20"/>
        </w:rPr>
      </w:pPr>
      <w:r>
        <w:rPr>
          <w:rFonts w:ascii="Times New Roman" w:hAnsi="Times New Roman"/>
          <w:sz w:val="20"/>
        </w:rPr>
        <w:t xml:space="preserve">vii) be prohibited, directly or indirectly, from rendering services to any other person or organization without the consent of the supervisor and/or the Company or otherwise from engaging in activities that would interfere with the faithful performance of your duties hereunder.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e)</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Other Duties:</w:t>
            </w:r>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agree that: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a.</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require you to perform duties for any other Group Company whether for the whole or part of your working time. In performing those duties, Clause 2(d) of this Appendix will apply as if references to the Company are to the appropriate Group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b.</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you will keep your immediate supervisor, to be advised by the Company from time to time (</w:t>
            </w:r>
            <w:r>
              <w:rPr>
                <w:rFonts w:ascii="Times New Roman" w:hAnsi="Times New Roman"/>
                <w:b/>
                <w:sz w:val="20"/>
              </w:rPr>
              <w:t>Supervisor</w:t>
            </w:r>
            <w:r>
              <w:rPr>
                <w:rFonts w:ascii="Times New Roman" w:hAnsi="Times New Roman"/>
                <w:sz w:val="20"/>
              </w:rPr>
              <w:t xml:space="preserve">), and/or the Company, fully informed of your conduct of the business, finances or affairs of the Company and other Group Companies in a prompt and timely manner.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will, based on your best information and knowledge, promptly disclose to the Supervisor and/or Company full details of any wrongdoing by any employee of any Group Company where that wrongdoing is material to that employees employment by the relevant Group Company or to the interests or reputation of any Group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will remain responsible for the payments and benefits you are entitled to receive under this Agreement. Save for those matters that are expressly contemplated and dealt with in this Agreement, your entitlements and obligations shall be governed by and subject to the Companys internal codes, practices, policies and procedures as may be in place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3.</w:t>
            </w:r>
          </w:p>
        </w:tc>
        <w:tc>
          <w:tcPr>
            <w:tcW w:w="979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Place of Work </w:t>
            </w:r>
          </w:p>
        </w:tc>
      </w:tr>
    </w:tbl>
    <w:p>
      <w:pPr>
        <w:pStyle w:val="TextBody"/>
        <w:spacing w:before="120" w:after="0"/>
        <w:jc w:val="left"/>
        <w:rPr>
          <w:rFonts w:ascii="Times New Roman" w:hAnsi="Times New Roman"/>
          <w:sz w:val="20"/>
        </w:rPr>
      </w:pPr>
      <w:r>
        <w:rPr>
          <w:rFonts w:ascii="Times New Roman" w:hAnsi="Times New Roman"/>
          <w:sz w:val="20"/>
        </w:rPr>
        <w:t xml:space="preserve">Your principal place of work will be in Hong Kong. You may be required to travel internationally to any of the overseas offices of the Group or other destinations as required by the Company and/or the relevant Group Company with the approval of management.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4.</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Confidentiality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course of your Employment (unless necessary for the performance of your duties hereunder or unless with prior written consent of the Company) and after its termination, you will not directly or indirectly divulge, disclose or communicate to any person, firm or corporation in any manner whatsoever any Confidential Information which may have come to your knowledge during your Employment, and you will not use or attempt to use any such information in any manner which may injure or cause loss either directly or indirectly to the Company, the Shareholders or any Group Companies.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you become legally compelled to disclose any Confidential Information, you shall provide the Company with prompt written notice so that the Company, the relevant Group Company or the relevant Shareholder may seek a protective order or other appropriate remedy. If such protective order or other remedy is not obtained, you shall disclose only that portion of the Confidential Information you are legally compelled to disclose or take only such action as is legally required by binding order and shall exercise your reasonable efforts to obtain reliable assurance that confidential treatment shall be accorded to any such Confidential Information. The Company shall promptly pay (upon receipt of invoices and any other documentation as may be requested by the Company) all reasonable expenses and fees incurred by you, including attorneys fees, in connection with your compliance with the foregoing obligation.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written documents and other tangible sources of Confidential Information relating to the Company, the Shareholders or any Group Company or their business shall belong to the Company, such Shareholder and/or Group Company (as the case may be), and shall be returned to it/them if requested, and in any event, immediately upon the termination of your employment.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5.</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Termination of Employment and Garden Leave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a)</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your Employment is terminated by one party serving notice on the other, or if you purport to terminate the Employment in breach of contract, the Company may in its absolute discretion by written notice require you not to attend work (or to perform only specified services) until your employment ends, subject to Company rules or any applicable policy.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b)</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During any period for which the Company exercises its rights under Clause 5 (a) (</w:t>
            </w:r>
            <w:r>
              <w:rPr>
                <w:rFonts w:ascii="Times New Roman" w:hAnsi="Times New Roman"/>
                <w:b/>
                <w:sz w:val="20"/>
              </w:rPr>
              <w:t>Garden Leave</w:t>
            </w:r>
            <w:r>
              <w:rPr>
                <w:rFonts w:ascii="Times New Roman" w:hAnsi="Times New Roman"/>
                <w:sz w:val="20"/>
              </w:rPr>
              <w:t xml:space="preserve">), the Company shall not be obliged to provide you with any work or vest any powers in you and you shall have no right to perform any services for the Company. Notwithstanding that, during the Garden Leave, you shall continue to comply with all your obligations towards the Company and, if so requested by the Company, you shall attend your place of work and perform any specified duties required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c)</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any period of Garden Leave, you will: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continue to receive your Base Salary and your contractual benefits (for the avoidance of doubt you will not be entitled to any other benefits that may be provided by the Company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remain an employee of the Company and be bound by the terms of this Agreement;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iii)</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without the prior written consent of the Company or otherwise at the request of the Company, attend your place of work or any other premises of the Company or any other Group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iv)</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without the prior written consent of the Company, contact or deal with (or attempt contact or deal with) any officer, employee, consultant, client, customer, supplier, agent, distributor, shareholder, adviser or other business contact of the Company or any other Group Company;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7"/>
        <w:gridCol w:w="9293"/>
      </w:tblGrid>
      <w:tr>
        <w:trPr/>
        <w:tc>
          <w:tcPr>
            <w:tcW w:w="405"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v)</w:t>
            </w:r>
          </w:p>
        </w:tc>
        <w:tc>
          <w:tcPr>
            <w:tcW w:w="92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during any periods taken as holiday in the usual way) ensure that the Company knows where you are and how you can be contacted during working hours.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the Garden Leave you may still be terminated summarily for cause.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e)</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your employment is terminated by one party serving notice on the other, or if you purport to terminate the Employment in breach of this Agreement, the Company may at its absolute discretion alter your duties and/or transfer you to another role (such transfer may involve a relocation if agreed) until your employment ends provided that: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507"/>
        <w:gridCol w:w="9294"/>
      </w:tblGrid>
      <w:tr>
        <w:trPr/>
        <w:tc>
          <w:tcPr>
            <w:tcW w:w="404"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i)</w:t>
            </w:r>
          </w:p>
        </w:tc>
        <w:tc>
          <w:tcPr>
            <w:tcW w:w="92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have necessary skills and competence to perform the duties of the new role;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11"/>
        <w:gridCol w:w="9289"/>
      </w:tblGrid>
      <w:tr>
        <w:trPr/>
        <w:tc>
          <w:tcPr>
            <w:tcW w:w="405"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your Base Salary remains unchanged.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f)</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may suspend you from employment on full Base Salary at any time to investigate any matter in which the Company reasonably believes you are implicated or involved (whether directly or indirectly) and which might amount to Cause.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g)</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termination of your employment or at the start of any Garden Leave (whichever is earlier):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506"/>
        <w:gridCol w:w="9295"/>
      </w:tblGrid>
      <w:tr>
        <w:trPr/>
        <w:tc>
          <w:tcPr>
            <w:tcW w:w="404" w:type="dxa"/>
            <w:tcBorders/>
            <w:shd w:fill="auto" w:val="clear"/>
            <w:vAlign w:val="center"/>
          </w:tcPr>
          <w:p>
            <w:pPr>
              <w:pStyle w:val="TableContents"/>
              <w:spacing w:before="0" w:after="283"/>
              <w:rPr/>
            </w:pPr>
            <w:r>
              <w:rPr/>
              <w:t> </w:t>
            </w:r>
          </w:p>
        </w:tc>
        <w:tc>
          <w:tcPr>
            <w:tcW w:w="506" w:type="dxa"/>
            <w:tcBorders/>
            <w:shd w:fill="auto" w:val="clear"/>
          </w:tcPr>
          <w:p>
            <w:pPr>
              <w:pStyle w:val="TableContents"/>
              <w:spacing w:before="0" w:after="283"/>
              <w:jc w:val="left"/>
              <w:rPr/>
            </w:pPr>
            <w:r>
              <w:rPr/>
              <w:t>i)</w:t>
            </w:r>
          </w:p>
        </w:tc>
        <w:tc>
          <w:tcPr>
            <w:tcW w:w="92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shall forthwith cease to use all software of the Company and/or the relevant Group Company and shall not delete or remove such items from such companys user units, application servers, computer terminals, workstations, data files, designated sites or printed, electronic, magnetic or optical storage device;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must delete all information relating to the business of the Company or any other Group Company stored on any magnetic or optical disk or memory and all matter derived from such sources which is in your possession, custody, care or control outside the premises of the Company or any other Group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must return to the Company or the relevant Group Company all materials, records and other information (in written, oral, visual or electronic form or on any magnetic or optical disk or memory and wherever located) made, compiled or acquired by you during your Employment and relating to the Company or any other Group Company or its or their business contacts, any keys, credit cards and any other property at the Company or any other Group Company which is in your possession, custody, care or control;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iv)</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the request of the Company, you shall confirm in writing your compliance with your obligations under this Clause 5 (g).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6. Restrictions after Termination of Employment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likely to have obtained trade secrets and confidential information and personal knowledge of and influence over suppliers, customers, consultants and employees of the Group Companies during the course of the Employment. To protect these interests of the Company, you agree with the Company that you will not during the Restricted Period, directly or indirectly, on your own account or on behalf of or in association with any person: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 engaged, concerned, interested or otherwise involved in any Capacity with any business carried on within the Restricted Area which is (or intends to be) wholly or partly similar to or in competition with any Restricted Business (save as the holder as a passive investor only of not more than 5% of the issued ordinary shares of any company listed on NASDAQ or any other recognized investment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 engaged, concerned, interested or otherwise involved in any Capacity with any business carried on within the Other Restricted Area which is (or intends to be) wholly or partly similar to or in competition with any Restricted Business (save as the holder as a passive investor only of not more than 5% if the issued ordinary shares of any company listed on NASDAQ or any other recognized investment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iii)</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 or seek or endeavour to entice away from any Group Company any business orders or customs of any Customer with a view to providing services to that Customer in competition with or similar to any Restricted Business in whole or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iv)</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induce, solicit or entice or endeavour to induce, solicit or entice away from any Group Company any Restricted Employee or offer employment or engagement to any Restricted Employee with a view to the specific knowledge or skills of such person being used by or for the benefit of any person carrying on business which is (or intends to be) similar to or in competition with the Restricted Business in whole or in part;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v)</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induce, solicit or entice or endeavour to induce, solicit or entice away from any Group Company anyone (other than any Restricted Employee) in the engagement or employment by any Group Company or offer employment or engagement to such person with a view to the specific knowledge or skills of such person being used by or for the benefit of any person carrying on business which is (or intends to be) similar to or in competition with the Restricted Business in whole or in part.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the paragraphs contained in Clause 6 (a) constitutes an entirely separate, independent and severable covenant. If any covenant is found to be invalid or unenforceable, this will not affect the validity or enforceability of any of the other covenants. While you and the Company consider the restrictions set out in Clause 6 (a) to be reasonable and necessary in all the circumstances for the protection of the legitimate interests of the Group, it is agreed that if any one or more of such restrictions shall either taken by itself or themselves together be adjudged to go beyond what is reasonable in all the circumstances for the protection of the legitimate interests of the Group but would be adjudged reasonable if any particular restriction or restrictions were deleted or if any part or parts of the wording thereof were deleted, restricted or limited in a particular manner, then the restrictions set out in Clause 6 (a) shall apply with such deletions or restrictions or limitations as the case may be.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c)</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Following the Last Employment Date, you will not represent yourself as being in any way connected with the businesses of the Company or of any other Group Company (except to the extent agreed by such a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d)</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benefit given or deemed to be given by you to any Group Company under the terms hereof is received and held on trust by the Company for the relevant Group Company. You will enter into appropriate restrictive covenants directly with other Group Companies if asked to do so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e)</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Part of your remuneration payable under this Agreement is paid in consideration for your undertakings hereunder. You agree that the provisions of this clause are reasonable and necessary for the protection of the legitimate interests and the goodwill of the Company, do not unduly restrict your ability to find appropriate employment after leaving the Companys employment, and go no further than is necessary to protect the Companys legitimate business interests.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7.</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Surveillance and Data Privacy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a)</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Surveillance</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You understand that the Company (and the Parent Company, the Shareholders or other Group Company where applicable) will operate surveillance devices in and about their properties and at any equivalent overseas property due to operation necessities. You acknowledge and consent to the lawful: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6"/>
        <w:gridCol w:w="9294"/>
      </w:tblGrid>
      <w:tr>
        <w:trPr/>
        <w:tc>
          <w:tcPr>
            <w:tcW w:w="405" w:type="dxa"/>
            <w:tcBorders/>
            <w:shd w:fill="auto" w:val="clear"/>
            <w:vAlign w:val="center"/>
          </w:tcPr>
          <w:p>
            <w:pPr>
              <w:pStyle w:val="TableContents"/>
              <w:spacing w:before="0" w:after="283"/>
              <w:rPr/>
            </w:pPr>
            <w:r>
              <w:rPr/>
              <w:t> </w:t>
            </w:r>
          </w:p>
        </w:tc>
        <w:tc>
          <w:tcPr>
            <w:tcW w:w="506" w:type="dxa"/>
            <w:tcBorders/>
            <w:shd w:fill="auto" w:val="clear"/>
          </w:tcPr>
          <w:p>
            <w:pPr>
              <w:pStyle w:val="TableContents"/>
              <w:spacing w:before="0" w:after="283"/>
              <w:jc w:val="left"/>
              <w:rPr/>
            </w:pPr>
            <w:r>
              <w:rPr/>
              <w:t>i)</w:t>
            </w:r>
          </w:p>
        </w:tc>
        <w:tc>
          <w:tcPr>
            <w:tcW w:w="92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audio, optical and other surveillance of your activities, including monitoring and recording of your conversations;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8"/>
        <w:gridCol w:w="9292"/>
      </w:tblGrid>
      <w:tr>
        <w:trPr/>
        <w:tc>
          <w:tcPr>
            <w:tcW w:w="405"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collection and use of your personal data by the Company, transfer to other Group Companies, for all purposes relating to your Employment, including, without limitation, administering and maintaining personnel records, paying and reviewing salary and other remuneration and benefits, providing and administering benefits, undertaking performance appraisals and reviews, maintaining sickness and other absence records, taking decisions as to your fitness for work, providing information and references to future employers, and if necessary, governmental and quasi-government bodies, providing information to future purchasers and potential purchasers of the Company or any other Group Company, transferring information concerning you outside Hong Kong and Macau, and the lawful monitoring of communications via the Companys or any other Group Companys system.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Data Privacy:</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For the purposes of the </w:t>
      </w:r>
      <w:r>
        <w:rPr>
          <w:rFonts w:ascii="Times New Roman" w:hAnsi="Times New Roman"/>
          <w:b/>
          <w:sz w:val="20"/>
        </w:rPr>
        <w:t>Personal Data (Privacy) Ordinance</w:t>
      </w:r>
      <w:r>
        <w:rPr>
          <w:rFonts w:ascii="Times New Roman" w:hAnsi="Times New Roman"/>
          <w:sz w:val="20"/>
        </w:rPr>
        <w:t xml:space="preserve">, its implementing rules, regulations and policies as may be in force or amended from time to time, you, throughout the Term, give your express written consent to the collection, processing and use of your personal data by the Company and other Group Companies for all purposes relating to the Employment, which may include (but not be limited to) the use of such personal data in the systems or database of the Companys Human Resource Department, Information Technology Department and Investigations Department, among others, whether such systems are presently used, or may be used in the future. </w:t>
      </w:r>
    </w:p>
    <w:p>
      <w:pPr>
        <w:pStyle w:val="TextBody"/>
        <w:spacing w:before="120" w:after="0"/>
        <w:jc w:val="left"/>
        <w:rPr>
          <w:rFonts w:ascii="Times New Roman" w:hAnsi="Times New Roman"/>
          <w:sz w:val="20"/>
        </w:rPr>
      </w:pPr>
      <w:r>
        <w:rPr>
          <w:rFonts w:ascii="Times New Roman" w:hAnsi="Times New Roman"/>
          <w:sz w:val="20"/>
        </w:rPr>
        <w:t xml:space="preserve">You agree and hereby consent to collection and use of your personal data by the Company, transfer to other Group Companies, for all purposes relating to your Employment, including, without limitation, administering and maintaining personnel records, paying and reviewing salary and other remuneration and benefits, providing and administering benefits, undertaking performance appraisals and reviews, maintaining sickness and other absence records, taking decisions as to your fitness for work, providing information and references to future employers, and if necessary, governmental and quasi-government bodies, providing information to future purchasers and potential purchasers of the Company or any other Group Company, transferring information concerning you outside Hong Kong and/or Macau SAR, and the lawful monitoring of communications via the Companys or any other Group Companys system.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8.</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Other Terms and Conditions </w:t>
            </w:r>
          </w:p>
        </w:tc>
      </w:tr>
    </w:tbl>
    <w:p>
      <w:pPr>
        <w:pStyle w:val="TextBody"/>
        <w:spacing w:before="120" w:after="0"/>
        <w:jc w:val="left"/>
        <w:rPr>
          <w:rFonts w:ascii="Times New Roman" w:hAnsi="Times New Roman"/>
          <w:sz w:val="20"/>
        </w:rPr>
      </w:pPr>
      <w:r>
        <w:rPr>
          <w:rFonts w:ascii="Times New Roman" w:hAnsi="Times New Roman"/>
          <w:sz w:val="20"/>
        </w:rPr>
        <w:t xml:space="preserve">The Company reserves the right to transfer you during the course of Employment between the Group Companies and/or companies within the Shareholders group to meet business requirements or for operational reasons. Upon acceptance by you, such transfer will be constructed as a continuation of employment under this Agreement (subject only to the change of the employment entity and, if applicable, any adjusted terms to be mutually agreed between the parties).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9.</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Intellectual Property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hereby agree that any Intellectual Property Rights (as defined below) either alone or jointly with others created, generated, made, conceived, authored, developed or acquired by you at any time (whether or not during normal working hours) during the Term, made in the course of the Employment, or made in conjunction with or in any way affecting or relating to the business of the Company or of any of its affiliates or capable of being used or adapted for use therein or in conjunction therewith, shall forthwith be disclosed immediately to the Company and shall belong to and be the absolute property of the Company or any of its affiliate as the Company may direct.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hereby irrevocably assign, transfer and convey to the Company without further consideration all of its right, title and interest in such Intellectual Property Rights. You agree to execute any documents or take any other actions as may reasonably be necessary, or as the Company may reasonably request, to perfect the Companys ownership of any such Intellectual Property Rights, without additional consideration and regardless of whether during or after the Term.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hereby waive unconditionally and irrevocably all of your moral rights and rights of a similar nature (including those rights arising under laws) in respect of any work (including works which may come into existence after the date hereof) in which copyright may subsist, created by you during the employment in each jurisdiction throughout the world, to the extent that such rights may be waived in each respective jurisdiction. This waiver extends to any and all acts of the Company and its successors, assigns and licensees and acts of third persons done with the authority of the Company and its successors and assigns.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d)</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agree, covenant and undertake that any Intellectual Property made, or discovered, or otherwise obtained by you as defined in section (a) above shall not and does not infringe any third party rights, or put the Company or the Group into disrepute, and shall be original.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e)</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For the purposes of this Agreement, the term </w:t>
            </w:r>
            <w:r>
              <w:rPr>
                <w:rFonts w:ascii="Times New Roman" w:hAnsi="Times New Roman"/>
                <w:b/>
                <w:sz w:val="20"/>
              </w:rPr>
              <w:t>Intellectual Property Rights</w:t>
            </w:r>
            <w:r>
              <w:rPr>
                <w:rFonts w:ascii="Times New Roman" w:hAnsi="Times New Roman"/>
                <w:sz w:val="20"/>
              </w:rPr>
              <w:t xml:space="preserve"> means a category of tangible and intangible rights protecting commercially valuable products of the human intellect covering industrial property rights, unfair competition and copyrights, including but not limited to: trademarks, trade names, service marks, designs, character names, domain names, business names, patent rights, inventions, confidential information and trade secret rights, know how, publicity rights, copy and moral rights, rights against unfair competition, database rights, topography rights, photographs, electronic video or images, all computer generated drawings and designs in their original format or design rights or any rights similar or analogous to any of the foregoing whether registered or unregistered or any right or any application for registration of the same or interest of any kind arising out of or created in respect of any of the foregoing together with rights in logos, symbols, emblems, insignia, trade dress, know-how and other identifying material and any other similar industrial and intellectual property in any country in the world, in, or arising as a result of, the provision of the Employment, including any such rights not yet in existence.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f)</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clause shall survive after the termination of this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10.</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Prohibition of Gambling and Responsible Gaming Commitment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a)</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with the written permission of the CEO of the Group or his authorized delegate, you acknowledge that during your Employment and for a six month period following the expiration of the Term, you are prohibited from gambling at any gaming facility or operation (including any electronic or internet-based gaming facility or operation) operated or offered by the Company or any of the Group Companies. The Company will strictly enforce this prohibition and any contravention may subject you to disciplinary action (including termination of employment for cause).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you serve as a director on the board of the Groups Macau gaming concession holder, you note that you will be prohibited from gambling at any gaming facility or operation in Macau by Macau law and you agree to comply with such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is fully committed in promoting responsible gaming and a healthy lifestyle for its staff and families. In this regard, the Company strongly believes that a person working for the gaming industry or its ancillary industries should not use its free time to gamble or to go to casinos. As part of the Company´s pro-active approach to responsible gaming we strongly recommend that while not on duty and during your free time you do not gamble and do not go to casinos or other gaming facility operations such as slots machines clubs.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11.</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 Conflicting Agreement </w:t>
            </w:r>
          </w:p>
        </w:tc>
      </w:tr>
    </w:tbl>
    <w:p>
      <w:pPr>
        <w:pStyle w:val="TextBody"/>
        <w:spacing w:before="120" w:after="0"/>
        <w:jc w:val="left"/>
        <w:rPr>
          <w:rFonts w:ascii="Times New Roman" w:hAnsi="Times New Roman"/>
          <w:sz w:val="20"/>
        </w:rPr>
      </w:pPr>
      <w:r>
        <w:rPr>
          <w:rFonts w:ascii="Times New Roman" w:hAnsi="Times New Roman"/>
          <w:sz w:val="20"/>
        </w:rPr>
        <w:t xml:space="preserve">You represent and warrant to the Company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have not taken, and/or will return or (with the consent of your former employer) destroy without retaining copies, all proprietary and confidential materials of your former employer;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have not used any confidential, proprietary or trade secret information in violation of any contractual or common law obligation to your former employer;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c)</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except as previously disclosed to the Company in writing, you are not party to any agreement, whether written or oral, that would prevent or restrict you from engaging in activities competitive with the activities of your former employer, from directly or indirectly soliciting any employee, client or customer to leave the employ of, or transfer its business away from, your former employer or, if you are subject to such an agreement or policy, you have complied with it;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d)</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are not a party to any agreement, whether written or oral, that would be breached by or would prevent or interfere with the execution by you of this Agreement or the fulfillment by the you of your obligations hereunder. </w:t>
            </w:r>
          </w:p>
        </w:tc>
      </w:tr>
    </w:tbl>
    <w:p>
      <w:pPr>
        <w:pStyle w:val="TextBody"/>
        <w:spacing w:before="120" w:after="0"/>
        <w:jc w:val="left"/>
        <w:rPr>
          <w:rFonts w:ascii="Times New Roman" w:hAnsi="Times New Roman"/>
          <w:sz w:val="20"/>
        </w:rPr>
      </w:pPr>
      <w:r>
        <w:rPr>
          <w:rFonts w:ascii="Times New Roman" w:hAnsi="Times New Roman"/>
          <w:sz w:val="20"/>
        </w:rPr>
        <w:t xml:space="preserve">The Company represents and warrants to you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a)</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execution, this Agreement will constitute a valid and binding obligation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is not party to any agreement, whether written or oral, that would prevent or restrict it from entering into this Agreement or performing its obligations under this Agreement in accordance with the terms hereof;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 is not a party to any agreement, whether written or oral, that would be breached by or would prevent or interfere with the execution by the Company of this Agreement or the fulfillment by the Company of its obligations hereunder.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12.</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Non-Assignability; Binding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a)</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By the Employee</w:t>
            </w:r>
            <w:r>
              <w:rPr>
                <w:rFonts w:ascii="Times New Roman" w:hAnsi="Times New Roman"/>
                <w:sz w:val="20"/>
              </w:rPr>
              <w:t xml:space="preserve">. You shall not be permitted to assign this Agreement and any or all of the rights, duties, obligations or interests hereunder.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b)</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By the Company</w:t>
            </w:r>
            <w:r>
              <w:rPr>
                <w:rFonts w:ascii="Times New Roman" w:hAnsi="Times New Roman"/>
                <w:sz w:val="20"/>
              </w:rPr>
              <w:t xml:space="preserve">. The Company may assign, transfer or otherwise dispose of any of its rights, interests or obligations under or in respect of this Agreement by way of security in favour of any lender or other financier, or any agent or trustee therefor, to the Company or any of its affiliates. You shall enter into such direct agreement or provide such acknowledgment and do such other things in connection therewith as any such lender, financier, agent or trustee may require.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Binding Effect</w:t>
            </w:r>
            <w:r>
              <w:rPr>
                <w:rFonts w:ascii="Times New Roman" w:hAnsi="Times New Roman"/>
                <w:sz w:val="20"/>
              </w:rPr>
              <w:t xml:space="preserve">. This Agreement shall be binding upon, and inure to the benefit of, the parties hereto, any successors to or assigns of the Company and your heirs and the personal representatives of your estate.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13.</w:t>
            </w:r>
          </w:p>
        </w:tc>
        <w:tc>
          <w:tcPr>
            <w:tcW w:w="979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Amendment; Waiver </w:t>
            </w:r>
          </w:p>
        </w:tc>
      </w:tr>
    </w:tbl>
    <w:p>
      <w:pPr>
        <w:pStyle w:val="TextBody"/>
        <w:spacing w:before="120" w:after="0"/>
        <w:jc w:val="left"/>
        <w:rPr>
          <w:rFonts w:ascii="Times New Roman" w:hAnsi="Times New Roman"/>
          <w:sz w:val="20"/>
        </w:rPr>
      </w:pPr>
      <w:r>
        <w:rPr>
          <w:rFonts w:ascii="Times New Roman" w:hAnsi="Times New Roman"/>
          <w:sz w:val="20"/>
        </w:rPr>
        <w:t xml:space="preserve">This Agreement may not be modified, amended or waived in any manner, except by an instrument in writing signed by you and the Companys duly authorized representative. </w:t>
      </w:r>
    </w:p>
    <w:p>
      <w:pPr>
        <w:pStyle w:val="TextBody"/>
        <w:spacing w:before="120" w:after="0"/>
        <w:jc w:val="left"/>
        <w:rPr>
          <w:rFonts w:ascii="Times New Roman" w:hAnsi="Times New Roman"/>
          <w:sz w:val="20"/>
        </w:rPr>
      </w:pPr>
      <w:r>
        <w:rPr>
          <w:rFonts w:ascii="Times New Roman" w:hAnsi="Times New Roman"/>
          <w:sz w:val="20"/>
        </w:rPr>
        <w:t xml:space="preserve">The written waiver by you or the Company of compliance with any provision of this Agreement by the other party shall not operate or be construed as a waiver of any other provision of this Agreement, or of any subsequent breach by such party of a provision of this Agreement.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14.</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Entire Agreement; Supersedes Previous Agreements </w:t>
            </w:r>
          </w:p>
        </w:tc>
      </w:tr>
    </w:tbl>
    <w:p>
      <w:pPr>
        <w:pStyle w:val="TextBody"/>
        <w:spacing w:before="120" w:after="0"/>
        <w:jc w:val="left"/>
        <w:rPr>
          <w:rFonts w:ascii="Times New Roman" w:hAnsi="Times New Roman"/>
          <w:sz w:val="20"/>
        </w:rPr>
      </w:pPr>
      <w:r>
        <w:rPr>
          <w:rFonts w:ascii="Times New Roman" w:hAnsi="Times New Roman"/>
          <w:sz w:val="20"/>
        </w:rPr>
        <w:t xml:space="preserve">This Agreement contains the entire agreement and understanding between you and the Company and supersedes all other negotiations, commitments, agreements and writings with respect to your Employment. </w:t>
      </w:r>
    </w:p>
    <w:p>
      <w:pPr>
        <w:pStyle w:val="TextBody"/>
        <w:spacing w:before="120" w:after="0"/>
        <w:jc w:val="left"/>
        <w:rPr>
          <w:rFonts w:ascii="Times New Roman" w:hAnsi="Times New Roman"/>
          <w:sz w:val="20"/>
        </w:rPr>
      </w:pPr>
      <w:r>
        <w:rPr>
          <w:rFonts w:ascii="Times New Roman" w:hAnsi="Times New Roman"/>
          <w:sz w:val="20"/>
        </w:rPr>
        <w:t xml:space="preserve">You acknowledge that you have not been induced to enter into this Agreement by any representation, warranty or undertaking not expressly stated therein. You agree and acknowledge that your only rights and remedies in relation to any representation, warranty or undertaking made or given in connection with this Agreement (unless such representation, warranty or undertaking was made fraudulently) will be for breach of the terms of this Agreement, to the exclusion of all other rights and remedies (including those in tort or arising under statute).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15.</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Counterparts </w:t>
            </w:r>
          </w:p>
        </w:tc>
      </w:tr>
    </w:tbl>
    <w:p>
      <w:pPr>
        <w:pStyle w:val="TextBody"/>
        <w:spacing w:before="120" w:after="0"/>
        <w:jc w:val="left"/>
        <w:rPr>
          <w:rFonts w:ascii="Times New Roman" w:hAnsi="Times New Roman"/>
          <w:sz w:val="20"/>
        </w:rPr>
      </w:pPr>
      <w:r>
        <w:rPr>
          <w:rFonts w:ascii="Times New Roman" w:hAnsi="Times New Roman"/>
          <w:sz w:val="20"/>
        </w:rPr>
        <w:t xml:space="preserve">This Agreement may be executed by you or the Company in counterparts, each of which shall be deemed to be an original, but all such counterparts shall together constitute one and the same instrument.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16.</w:t>
            </w:r>
          </w:p>
        </w:tc>
        <w:tc>
          <w:tcPr>
            <w:tcW w:w="979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spacing w:before="120" w:after="0"/>
        <w:jc w:val="left"/>
        <w:rPr>
          <w:rFonts w:ascii="Times New Roman" w:hAnsi="Times New Roman"/>
          <w:sz w:val="20"/>
        </w:rPr>
      </w:pPr>
      <w:r>
        <w:rPr>
          <w:rFonts w:ascii="Times New Roman" w:hAnsi="Times New Roman"/>
          <w:sz w:val="20"/>
        </w:rPr>
        <w:t xml:space="preserve">Throughout this Agreement (including its Appendices), the following terms shall have the meanings set forth below unless the context clearly indicates the contrary: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3"/>
        <w:gridCol w:w="101"/>
        <w:gridCol w:w="9801"/>
      </w:tblGrid>
      <w:tr>
        <w:trPr/>
        <w:tc>
          <w:tcPr>
            <w:tcW w:w="10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 Salary has the meaning given in this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Capacity means as agent, consultant, director, employee, owner, partner, shareholder or in any other capacity;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Cause means (1) any serious breach by you of the terms of Employment, (2) continued failure to perform your duties and responsibilities of your job position to the standard reasonably required by the Company (or to follow a lawful order or direction of the Company), other than any such failure resulting from your sickness or disability, (3) serious misconduct, willful act or omission not done in good faith or in furtherance of the interests or business of the Company, (4) dishonesty, fraud, embezzlement or any other serious criminal offence committed by you (other than trivial traffic offence), (5) habitual neglect of your duties under the Agreement, (6) any act that brings disrepute to the Group and/or the Shareholders or such other mischief or unauthorized act as mentioned in the Employee Handbook and/or Group Company policies, or (7) any other ground on which the Company is entitled to terminate your Employment;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Commencement Date has the meaning given in the Employment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Company means the employer company to the Agreement as set out in the opening paragraph of the Employment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204"/>
        <w:gridCol w:w="101"/>
        <w:gridCol w:w="9800"/>
      </w:tblGrid>
      <w:tr>
        <w:trPr/>
        <w:tc>
          <w:tcPr>
            <w:tcW w:w="10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Confidential Information</w:t>
            </w:r>
            <w:r>
              <w:rPr>
                <w:rFonts w:ascii="Times New Roman" w:hAnsi="Times New Roman"/>
                <w:sz w:val="20"/>
              </w:rPr>
              <w:t xml:space="preserve"> means all private, personal, confidential or proprietary information, tangible or intangible, owned by or pertaining to the Company, the Shareholders or any other Group Company, which information was learned or acquired by you as a result of the Employment with the Company. Without limiting the generality of the preceding sentence Confidential Information shall include, but not limited to, all the Company, the Shareholders or any other Group Companys ideas, trade secrets, training programs and techniques, proprietary ideas and concepts, business methods, lists of customers, strategic plans, recipes, legal advice, financial, commercial or competitive information, technical knowledge, concepts, decisions, programs, processes, procedures, innovations, inventions, market intelligence and database information, secret formulas, player rating and credit line information, customer information and data, sales data, costs data, profit data, marketing methods, credit and collection techniques, strategic planning data and financial planning data, analyses, compilations, studies or other documents, whether prepared by you or not; however Confidential Information shall not include information or data that: (i) is or becomes generally available to the public, (ii) is or becomes available to you from a third party which is entitled to disclose it without restriction, or (iii) was known to you from previous business experience before the Employment;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101"/>
        <w:gridCol w:w="203"/>
        <w:gridCol w:w="102"/>
        <w:gridCol w:w="9799"/>
      </w:tblGrid>
      <w:tr>
        <w:trPr/>
        <w:tc>
          <w:tcPr>
            <w:tcW w:w="101"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Customer means any person with whom you or anyone working under your supervision or control deals personally who, at the Last Employment Date, is negotiating with the Company or any Group Company for Restricted Business or with whom the Company or any Group Company has conducted any Restricted Business at any time during the final 12 months of the Employment;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0"/>
        <w:gridCol w:w="103"/>
        <w:gridCol w:w="9790"/>
      </w:tblGrid>
      <w:tr>
        <w:trPr/>
        <w:tc>
          <w:tcPr>
            <w:tcW w:w="102"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Employment means the employment between you and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Group means together (i) the Company, (ii) Parent Company and (iii) every company which is for the time being a direct or indirect Holding company or subsidiary of the Company or Parent Company or, in respect of which either the Company or Parent Company holds at least 30% of the voting rights;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Group Company means a member of the Group and the expression Group Companies will be interpreted accordingly;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Holding Company and Subsidiary have the meanings given in section 2 of the Companies Ordinance, Cap 622 of the Laws of the Hong Kong SAR ;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Last Employment Date means the date on which your Employment terminates for any reason whatsoever;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3"/>
        <w:gridCol w:w="213"/>
        <w:gridCol w:w="104"/>
        <w:gridCol w:w="9785"/>
      </w:tblGrid>
      <w:tr>
        <w:trPr/>
        <w:tc>
          <w:tcPr>
            <w:tcW w:w="103"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7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Melco Resorts (Macau) Limited means a company in which the Parent Company is the major shareholder that is the holder of license to carry out games of fortune and chance and other games in casino in Macau;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Other Restricted Area means any country, territory or region in Asia and Australasia, other than the Restricted Area, in which any competitor of the Company or any Group Company carries on or intends to carry on any business wholly or partly similar to or in competition with any Restricted Business as at the Last Employment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2"/>
        <w:gridCol w:w="9798"/>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Parent Company means Melco Resorts &amp; Entertainment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Restricted Area means Hong Kong, Macau, Philippines, Cyprus and any other country, territory or region in which the Company or any Group Company carries on or intends to carry on any Restricted Business as at the Last Employment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Restricted Business means and includes the operation of gaming machines and the ownership and/or management of gaming venues or casinos and all other commercial activities carried on or to be carried on by the Company or any other Group Company in which you worked or about which you knew Confidential Information to a material extent at any time during the final two years of the Employment;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Restricted Employee means any person who is employed or engaged by any Group Company and who could damage the interests of any Group Company if he were involved in any Capacity in any business concern which competes with or is similar to any Restricted Business in whole or in part, and with whom you dealt in the course of your Employment;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Restricted Period </w:t>
            </w:r>
            <w:r>
              <w:rPr>
                <w:rFonts w:ascii="Times New Roman" w:hAnsi="Times New Roman"/>
                <w:sz w:val="20"/>
              </w:rPr>
              <w:t xml:space="preserve">means the period of </w:t>
            </w:r>
            <w:r>
              <w:rPr>
                <w:rFonts w:ascii="Times New Roman" w:hAnsi="Times New Roman"/>
                <w:b/>
                <w:sz w:val="20"/>
              </w:rPr>
              <w:t xml:space="preserve">six months </w:t>
            </w:r>
            <w:r>
              <w:rPr>
                <w:rFonts w:ascii="Times New Roman" w:hAnsi="Times New Roman"/>
                <w:sz w:val="20"/>
              </w:rPr>
              <w:t xml:space="preserve">after the Last Employment Date for Clause 6 a) i) and Clause 6 a) ii); and the period of </w:t>
            </w:r>
            <w:r>
              <w:rPr>
                <w:rFonts w:ascii="Times New Roman" w:hAnsi="Times New Roman"/>
                <w:b/>
                <w:sz w:val="20"/>
              </w:rPr>
              <w:t>one year</w:t>
            </w:r>
            <w:r>
              <w:rPr>
                <w:rFonts w:ascii="Times New Roman" w:hAnsi="Times New Roman"/>
                <w:sz w:val="20"/>
              </w:rPr>
              <w:t xml:space="preserve"> after the Last Employment Date for Clause 6 a) iii), Clause 6 a) iv), and Clause 6 a) v)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204"/>
        <w:gridCol w:w="101"/>
        <w:gridCol w:w="9799"/>
      </w:tblGrid>
      <w:tr>
        <w:trPr/>
        <w:tc>
          <w:tcPr>
            <w:tcW w:w="101"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Shareholder(s) means any direct or indirect shareholders of the Company, including Melco International Development Limited, together with their respective subsidiaries, and their successors;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
        <w:gridCol w:w="212"/>
        <w:gridCol w:w="103"/>
        <w:gridCol w:w="9788"/>
      </w:tblGrid>
      <w:tr>
        <w:trPr/>
        <w:tc>
          <w:tcPr>
            <w:tcW w:w="102"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7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and you means the employee to the Agreement as set out in the opening paragraph of the Employment Agreement. </w:t>
            </w:r>
          </w:p>
        </w:tc>
      </w:tr>
    </w:tbl>
    <w:p>
      <w:pPr>
        <w:pStyle w:val="TextBody"/>
        <w:spacing w:before="360" w:after="0"/>
        <w:jc w:val="left"/>
        <w:rPr>
          <w:rFonts w:ascii="Times New Roman" w:hAnsi="Times New Roman"/>
          <w:b/>
          <w:sz w:val="20"/>
        </w:rPr>
      </w:pPr>
      <w:r>
        <w:rPr>
          <w:rFonts w:ascii="Times New Roman" w:hAnsi="Times New Roman"/>
          <w:b/>
          <w:sz w:val="20"/>
        </w:rPr>
        <w:t xml:space="preserve">Acknowledgement and acceptance of the terms of this Appendix 2 as part of the Agreement </w:t>
      </w:r>
    </w:p>
    <w:p>
      <w:pPr>
        <w:pStyle w:val="TextBody"/>
        <w:spacing w:before="120" w:after="0"/>
        <w:jc w:val="left"/>
        <w:rPr>
          <w:rFonts w:ascii="Times New Roman" w:hAnsi="Times New Roman"/>
          <w:sz w:val="20"/>
        </w:rPr>
      </w:pPr>
      <w:r>
        <w:rPr>
          <w:rFonts w:ascii="Times New Roman" w:hAnsi="Times New Roman"/>
          <w:sz w:val="20"/>
        </w:rPr>
        <w:t xml:space="preserve">Accepted and agreed by: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 </w:t>
            </w:r>
          </w:p>
        </w:tc>
      </w:tr>
      <w:tr>
        <w:trPr/>
        <w:tc>
          <w:tcPr>
            <w:tcW w:w="4082" w:type="dxa"/>
            <w:tcBorders/>
            <w:shd w:fill="auto" w:val="clear"/>
          </w:tcPr>
          <w:p>
            <w:pPr>
              <w:pStyle w:val="TableContents"/>
              <w:spacing w:before="0" w:after="283"/>
              <w:rPr/>
            </w:pPr>
            <w:r>
              <w:rPr/>
              <w:t>Name: [                        ]</w:t>
            </w:r>
          </w:p>
        </w:tc>
      </w:tr>
      <w:tr>
        <w:trPr/>
        <w:tc>
          <w:tcPr>
            <w:tcW w:w="4082" w:type="dxa"/>
            <w:tcBorders/>
            <w:shd w:fill="auto" w:val="clear"/>
          </w:tcPr>
          <w:p>
            <w:pPr>
              <w:pStyle w:val="TableContents"/>
              <w:spacing w:before="0" w:after="283"/>
              <w:rPr/>
            </w:pPr>
            <w:r>
              <w:rPr/>
              <w:t>Nationality: [                        ]</w:t>
            </w:r>
          </w:p>
        </w:tc>
      </w:tr>
      <w:tr>
        <w:trPr/>
        <w:tc>
          <w:tcPr>
            <w:tcW w:w="4082" w:type="dxa"/>
            <w:tcBorders/>
            <w:shd w:fill="auto" w:val="clear"/>
          </w:tcPr>
          <w:p>
            <w:pPr>
              <w:pStyle w:val="TableContents"/>
              <w:spacing w:before="0" w:after="283"/>
              <w:rPr/>
            </w:pPr>
            <w:r>
              <w:rPr/>
              <w:t>ID / Passport Type and No.: [                    ]</w:t>
            </w:r>
          </w:p>
        </w:tc>
      </w:tr>
      <w:tr>
        <w:trPr/>
        <w:tc>
          <w:tcPr>
            <w:tcW w:w="4082" w:type="dxa"/>
            <w:tcBorders/>
            <w:shd w:fill="auto" w:val="clear"/>
          </w:tcPr>
          <w:p>
            <w:pPr>
              <w:pStyle w:val="TableContents"/>
              <w:spacing w:before="0" w:after="283"/>
              <w:rPr/>
            </w:pPr>
            <w:r>
              <w:rPr/>
              <w:t>Date: [                        ]</w:t>
            </w:r>
          </w:p>
        </w:tc>
      </w:tr>
    </w:tbl>
    <w:p>
      <w:pPr>
        <w:pStyle w:val="TextBody"/>
        <w:spacing w:before="0" w:after="0"/>
        <w:jc w:val="right"/>
        <w:rPr>
          <w:rFonts w:ascii="Times New Roman" w:hAnsi="Times New Roman"/>
          <w:b/>
          <w:sz w:val="20"/>
        </w:rPr>
      </w:pPr>
      <w:r>
        <w:br w:type="page"/>
      </w:r>
      <w:bookmarkStart w:id="88" w:name="d396630dex81.htm"/>
      <w:bookmarkStart w:id="89" w:name="ksd396630dex81"/>
      <w:bookmarkEnd w:id="88"/>
      <w:bookmarkEnd w:id="89"/>
      <w:r>
        <w:rPr>
          <w:rFonts w:ascii="Times New Roman" w:hAnsi="Times New Roman"/>
          <w:b/>
          <w:sz w:val="20"/>
        </w:rPr>
        <w:t xml:space="preserve">Exhibit 8.1 </w:t>
      </w:r>
    </w:p>
    <w:p>
      <w:pPr>
        <w:pStyle w:val="TextBody"/>
        <w:spacing w:before="24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spacing w:before="0" w:after="0"/>
        <w:jc w:val="center"/>
        <w:rPr>
          <w:rFonts w:ascii="Times New Roman" w:hAnsi="Times New Roman"/>
          <w:b/>
          <w:sz w:val="20"/>
        </w:rPr>
      </w:pPr>
      <w:r>
        <w:rPr>
          <w:rFonts w:ascii="Times New Roman" w:hAnsi="Times New Roman"/>
          <w:b/>
          <w:sz w:val="20"/>
        </w:rPr>
        <w:t xml:space="preserve">List of Significant Subsidiaries </w:t>
      </w:r>
    </w:p>
    <w:p>
      <w:pPr>
        <w:pStyle w:val="TextBody"/>
        <w:spacing w:before="0" w:after="0"/>
        <w:jc w:val="center"/>
        <w:rPr>
          <w:rFonts w:ascii="Times New Roman" w:hAnsi="Times New Roman"/>
          <w:b/>
          <w:sz w:val="20"/>
        </w:rPr>
      </w:pPr>
      <w:r>
        <w:rPr>
          <w:rFonts w:ascii="Times New Roman" w:hAnsi="Times New Roman"/>
          <w:b/>
          <w:sz w:val="20"/>
        </w:rPr>
        <w:t xml:space="preserve">As of December 31,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COD Resorts Limited, incorporated in the Macau Special Administrative Region of the Peoples Republic of China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2.</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MCO Cotai Investments Limited, incorporated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MCO Holdings Limited, incorporated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MCO International Limited, incorporated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5.</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MCO Investments Limited, incorporated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MCO Nominee One Limited, incorporated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Melco Resorts (Macau) Limited, incorporated in the Macau Special Administrative Region of the Peoples Republic of China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Melco Resorts Finance Limited, incorporated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MSC Cotai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SCP Holdings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SCP One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SCP Two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Company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Developments Limited, incorporated in the Macau Special Administrative Region of the Peoples Republic of China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Finance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Holdings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Holdings Two Limited, incorporated in the British Virgin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International Holdings Limited, incorporated in the Cayman Islands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Studio City Investments Limited, incorporated in the British Virgin Islands </w:t>
            </w:r>
          </w:p>
        </w:tc>
      </w:tr>
    </w:tbl>
    <w:p>
      <w:pPr>
        <w:pStyle w:val="TextBody"/>
        <w:spacing w:before="0" w:after="0"/>
        <w:jc w:val="right"/>
        <w:rPr>
          <w:rFonts w:ascii="Times New Roman" w:hAnsi="Times New Roman"/>
          <w:b/>
          <w:sz w:val="20"/>
        </w:rPr>
      </w:pPr>
      <w:r>
        <w:br w:type="page"/>
      </w:r>
      <w:bookmarkStart w:id="90" w:name="d396630dex121.htm"/>
      <w:bookmarkStart w:id="91" w:name="ksd396630dex121"/>
      <w:bookmarkEnd w:id="90"/>
      <w:bookmarkEnd w:id="91"/>
      <w:r>
        <w:rPr>
          <w:rFonts w:ascii="Times New Roman" w:hAnsi="Times New Roman"/>
          <w:b/>
          <w:sz w:val="20"/>
        </w:rPr>
        <w:t xml:space="preserve">Exhibit 12.1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spacing w:before="240" w:after="0"/>
        <w:jc w:val="left"/>
        <w:rPr>
          <w:rFonts w:ascii="Times New Roman" w:hAnsi="Times New Roman"/>
          <w:sz w:val="20"/>
        </w:rPr>
      </w:pPr>
      <w:r>
        <w:rPr>
          <w:rFonts w:ascii="Times New Roman" w:hAnsi="Times New Roman"/>
          <w:sz w:val="20"/>
        </w:rPr>
        <w:t xml:space="preserve">I, Lawrence Yau Lung Ho,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Melco Resorts &amp; Entertainment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tbl>
      <w:tblPr>
        <w:tblW w:w="2000" w:type="pct"/>
        <w:jc w:val="left"/>
        <w:tblInd w:w="0" w:type="dxa"/>
        <w:tblCellMar>
          <w:top w:w="0" w:type="dxa"/>
          <w:left w:w="0" w:type="dxa"/>
          <w:bottom w:w="0" w:type="dxa"/>
          <w:right w:w="0" w:type="dxa"/>
        </w:tblCellMar>
      </w:tblPr>
      <w:tblGrid>
        <w:gridCol w:w="309"/>
        <w:gridCol w:w="60"/>
        <w:gridCol w:w="3713"/>
      </w:tblGrid>
      <w:tr>
        <w:trPr/>
        <w:tc>
          <w:tcPr>
            <w:tcW w:w="3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13"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09" w:type="dxa"/>
            <w:tcBorders/>
            <w:shd w:fill="auto" w:val="clear"/>
            <w:vAlign w:val="center"/>
          </w:tcPr>
          <w:p>
            <w:pPr>
              <w:pStyle w:val="TableContents"/>
              <w:spacing w:before="0" w:after="283"/>
              <w:rPr>
                <w:sz w:val="4"/>
                <w:szCs w:val="4"/>
              </w:rPr>
            </w:pPr>
            <w:r>
              <w:rPr>
                <w:sz w:val="4"/>
                <w:szCs w:val="4"/>
              </w:rPr>
            </w:r>
          </w:p>
        </w:tc>
        <w:tc>
          <w:tcPr>
            <w:tcW w:w="3773" w:type="dxa"/>
            <w:gridSpan w:val="2"/>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713" w:type="dxa"/>
            <w:tcBorders>
              <w:bottom w:val="single" w:sz="2" w:space="0" w:color="000000"/>
            </w:tcBorders>
            <w:shd w:fill="auto" w:val="clear"/>
            <w:tcMar>
              <w:bottom w:w="28" w:type="dxa"/>
            </w:tcMar>
          </w:tcPr>
          <w:p>
            <w:pPr>
              <w:pStyle w:val="TableContents"/>
              <w:spacing w:before="0" w:after="283"/>
              <w:rPr/>
            </w:pPr>
            <w:r>
              <w:rPr/>
              <w:t>/s/ Lawrence Yau Lung Ho</w:t>
            </w:r>
          </w:p>
        </w:tc>
      </w:tr>
      <w:tr>
        <w:trPr/>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Lawrence Yau Lung Ho</w:t>
            </w:r>
          </w:p>
          <w:p>
            <w:pPr>
              <w:pStyle w:val="TableContents"/>
              <w:spacing w:before="0" w:after="20"/>
              <w:rPr>
                <w:rFonts w:ascii="Times New Roman" w:hAnsi="Times New Roman"/>
                <w:sz w:val="20"/>
              </w:rPr>
            </w:pPr>
            <w:r>
              <w:rPr>
                <w:rFonts w:ascii="Times New Roman" w:hAnsi="Times New Roman"/>
                <w:sz w:val="20"/>
              </w:rPr>
              <w:t>Title: Chairman and Chief Executive Officer</w:t>
            </w:r>
          </w:p>
        </w:tc>
      </w:tr>
    </w:tbl>
    <w:p>
      <w:pPr>
        <w:pStyle w:val="TextBody"/>
        <w:spacing w:before="0" w:after="0"/>
        <w:jc w:val="right"/>
        <w:rPr>
          <w:rFonts w:ascii="Times New Roman" w:hAnsi="Times New Roman"/>
          <w:b/>
          <w:sz w:val="20"/>
        </w:rPr>
      </w:pPr>
      <w:r>
        <w:br w:type="page"/>
      </w:r>
      <w:bookmarkStart w:id="92" w:name="d396630dex122.htm"/>
      <w:bookmarkStart w:id="93" w:name="ksd396630dex122"/>
      <w:bookmarkEnd w:id="92"/>
      <w:bookmarkEnd w:id="93"/>
      <w:r>
        <w:rPr>
          <w:rFonts w:ascii="Times New Roman" w:hAnsi="Times New Roman"/>
          <w:b/>
          <w:sz w:val="20"/>
        </w:rPr>
        <w:t xml:space="preserve">Exhibit 12.2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spacing w:before="240" w:after="0"/>
        <w:jc w:val="left"/>
        <w:rPr>
          <w:rFonts w:ascii="Times New Roman" w:hAnsi="Times New Roman"/>
          <w:sz w:val="20"/>
        </w:rPr>
      </w:pPr>
      <w:r>
        <w:rPr>
          <w:rFonts w:ascii="Times New Roman" w:hAnsi="Times New Roman"/>
          <w:sz w:val="20"/>
        </w:rPr>
        <w:t xml:space="preserve">I, Geoffrey Stuart Davis,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20-F of Melco Resorts &amp; Entertainment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tbl>
      <w:tblPr>
        <w:tblW w:w="2000" w:type="pct"/>
        <w:jc w:val="left"/>
        <w:tblInd w:w="0" w:type="dxa"/>
        <w:tblCellMar>
          <w:top w:w="0" w:type="dxa"/>
          <w:left w:w="0" w:type="dxa"/>
          <w:bottom w:w="0" w:type="dxa"/>
          <w:right w:w="0" w:type="dxa"/>
        </w:tblCellMar>
      </w:tblPr>
      <w:tblGrid>
        <w:gridCol w:w="374"/>
        <w:gridCol w:w="60"/>
        <w:gridCol w:w="3648"/>
      </w:tblGrid>
      <w:tr>
        <w:trPr/>
        <w:tc>
          <w:tcPr>
            <w:tcW w:w="3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48"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74" w:type="dxa"/>
            <w:tcBorders/>
            <w:shd w:fill="auto" w:val="clear"/>
            <w:vAlign w:val="center"/>
          </w:tcPr>
          <w:p>
            <w:pPr>
              <w:pStyle w:val="TableContents"/>
              <w:spacing w:before="0" w:after="283"/>
              <w:rPr>
                <w:sz w:val="4"/>
                <w:szCs w:val="4"/>
              </w:rPr>
            </w:pPr>
            <w:r>
              <w:rPr>
                <w:sz w:val="4"/>
                <w:szCs w:val="4"/>
              </w:rPr>
            </w:r>
          </w:p>
        </w:tc>
        <w:tc>
          <w:tcPr>
            <w:tcW w:w="3708" w:type="dxa"/>
            <w:gridSpan w:val="2"/>
            <w:tcBorders/>
            <w:shd w:fill="auto" w:val="clear"/>
            <w:vAlign w:val="center"/>
          </w:tcPr>
          <w:p>
            <w:pPr>
              <w:pStyle w:val="TableContents"/>
              <w:spacing w:before="0" w:after="283"/>
              <w:rPr>
                <w:sz w:val="4"/>
                <w:szCs w:val="4"/>
              </w:rPr>
            </w:pPr>
            <w:r>
              <w:rPr>
                <w:sz w:val="4"/>
                <w:szCs w:val="4"/>
              </w:rPr>
            </w:r>
          </w:p>
        </w:tc>
      </w:tr>
      <w:tr>
        <w:trPr/>
        <w:tc>
          <w:tcPr>
            <w:tcW w:w="374"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48" w:type="dxa"/>
            <w:tcBorders>
              <w:bottom w:val="single" w:sz="2" w:space="0" w:color="000000"/>
            </w:tcBorders>
            <w:shd w:fill="auto" w:val="clear"/>
            <w:tcMar>
              <w:bottom w:w="28" w:type="dxa"/>
            </w:tcMar>
          </w:tcPr>
          <w:p>
            <w:pPr>
              <w:pStyle w:val="TableContents"/>
              <w:spacing w:before="0" w:after="283"/>
              <w:rPr/>
            </w:pPr>
            <w:r>
              <w:rPr/>
              <w:t>/s/ Geoffrey Stuart Davis</w:t>
            </w:r>
          </w:p>
        </w:tc>
      </w:tr>
      <w:tr>
        <w:trPr/>
        <w:tc>
          <w:tcPr>
            <w:tcW w:w="37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4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Geoffrey Stuart Davis</w:t>
            </w:r>
          </w:p>
          <w:p>
            <w:pPr>
              <w:pStyle w:val="TableContents"/>
              <w:spacing w:before="0" w:after="20"/>
              <w:rPr>
                <w:rFonts w:ascii="Times New Roman" w:hAnsi="Times New Roman"/>
                <w:sz w:val="20"/>
              </w:rPr>
            </w:pPr>
            <w:r>
              <w:rPr>
                <w:rFonts w:ascii="Times New Roman" w:hAnsi="Times New Roman"/>
                <w:sz w:val="20"/>
              </w:rPr>
              <w:t>Title: Chief Financial Officer</w:t>
            </w:r>
          </w:p>
        </w:tc>
      </w:tr>
    </w:tbl>
    <w:p>
      <w:pPr>
        <w:pStyle w:val="TextBody"/>
        <w:spacing w:before="0" w:after="0"/>
        <w:jc w:val="right"/>
        <w:rPr>
          <w:rFonts w:ascii="Times New Roman" w:hAnsi="Times New Roman"/>
          <w:b/>
          <w:sz w:val="20"/>
        </w:rPr>
      </w:pPr>
      <w:r>
        <w:br w:type="page"/>
      </w:r>
      <w:bookmarkStart w:id="94" w:name="d396630dex131.htm"/>
      <w:bookmarkStart w:id="95" w:name="ksd396630dex131"/>
      <w:bookmarkEnd w:id="94"/>
      <w:bookmarkEnd w:id="95"/>
      <w:r>
        <w:rPr>
          <w:rFonts w:ascii="Times New Roman" w:hAnsi="Times New Roman"/>
          <w:b/>
          <w:sz w:val="20"/>
        </w:rPr>
        <w:t xml:space="preserve">Exhibit 13.1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Melco Resorts &amp; Entertainment Limited (the Company) on Form 20-F for the year ended December 31, 2022 as filed with the Securities and Exchange Commission on the date hereof (the Report), I, Lawrence Yau Lung Ho, Chairman and Chief Executive Officer of the Company, certify, pursuant to 18 U.S.C. Section 1350, as adopted pursuant to Section 906 of the Sarbanes-Oxley Act of 2002, that to my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09"/>
        <w:gridCol w:w="60"/>
        <w:gridCol w:w="3713"/>
      </w:tblGrid>
      <w:tr>
        <w:trPr/>
        <w:tc>
          <w:tcPr>
            <w:tcW w:w="3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13" w:type="dxa"/>
            <w:tcBorders/>
            <w:shd w:fill="auto" w:val="clear"/>
            <w:vAlign w:val="center"/>
          </w:tcPr>
          <w:p>
            <w:pPr>
              <w:pStyle w:val="TableContents"/>
              <w:spacing w:before="0" w:after="283"/>
              <w:rPr>
                <w:sz w:val="4"/>
                <w:szCs w:val="4"/>
              </w:rPr>
            </w:pPr>
            <w:r>
              <w:rPr>
                <w:sz w:val="4"/>
                <w:szCs w:val="4"/>
              </w:rPr>
            </w:r>
          </w:p>
        </w:tc>
      </w:tr>
      <w:tr>
        <w:trPr/>
        <w:tc>
          <w:tcPr>
            <w:tcW w:w="309"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713" w:type="dxa"/>
            <w:tcBorders>
              <w:bottom w:val="single" w:sz="2" w:space="0" w:color="000000"/>
            </w:tcBorders>
            <w:shd w:fill="auto" w:val="clear"/>
            <w:tcMar>
              <w:bottom w:w="28" w:type="dxa"/>
            </w:tcMar>
          </w:tcPr>
          <w:p>
            <w:pPr>
              <w:pStyle w:val="TableContents"/>
              <w:spacing w:before="0" w:after="283"/>
              <w:rPr/>
            </w:pPr>
            <w:r>
              <w:rPr/>
              <w:t>/s/ Lawrence Yau Lung Ho</w:t>
            </w:r>
          </w:p>
        </w:tc>
      </w:tr>
      <w:tr>
        <w:trPr/>
        <w:tc>
          <w:tcPr>
            <w:tcW w:w="30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Lawrence Yau Lung Ho</w:t>
            </w:r>
          </w:p>
          <w:p>
            <w:pPr>
              <w:pStyle w:val="TableContents"/>
              <w:spacing w:before="0" w:after="20"/>
              <w:rPr>
                <w:rFonts w:ascii="Times New Roman" w:hAnsi="Times New Roman"/>
                <w:sz w:val="20"/>
              </w:rPr>
            </w:pPr>
            <w:r>
              <w:rPr>
                <w:rFonts w:ascii="Times New Roman" w:hAnsi="Times New Roman"/>
                <w:sz w:val="20"/>
              </w:rPr>
              <w:t>Title: Chairman and Chief Executive Officer</w:t>
            </w:r>
          </w:p>
        </w:tc>
      </w:tr>
    </w:tbl>
    <w:p>
      <w:pPr>
        <w:pStyle w:val="TextBody"/>
        <w:spacing w:before="0" w:after="0"/>
        <w:jc w:val="right"/>
        <w:rPr>
          <w:rFonts w:ascii="Times New Roman" w:hAnsi="Times New Roman"/>
          <w:b/>
          <w:sz w:val="20"/>
        </w:rPr>
      </w:pPr>
      <w:r>
        <w:br w:type="page"/>
      </w:r>
      <w:bookmarkStart w:id="96" w:name="d396630dex132.htm"/>
      <w:bookmarkStart w:id="97" w:name="ksd396630dex132"/>
      <w:bookmarkEnd w:id="96"/>
      <w:bookmarkEnd w:id="97"/>
      <w:r>
        <w:rPr>
          <w:rFonts w:ascii="Times New Roman" w:hAnsi="Times New Roman"/>
          <w:b/>
          <w:sz w:val="20"/>
        </w:rPr>
        <w:t xml:space="preserve">Exhibit 13.2 </w:t>
      </w:r>
    </w:p>
    <w:p>
      <w:pPr>
        <w:pStyle w:val="TextBody"/>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Melco Resorts &amp; Entertainment Limited (the Company) on Form 20-F for the year ended December 31, 2022 as filed with the Securities and Exchange Commission on the date hereof (the Report), I, Geoffrey Stuart Davis, Chief Financial Officer of the Company, certify, pursuant to 18 U.S.C. Section 1350, as adopted pursuant to Section 906 of the Sarbanes-Oxley Act of 2002, that to my knowledge: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Report fully complies with the requirements of Section 13(a) or 15(d) of the Securities Exchange Act of 1934;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2023 </w:t>
      </w:r>
    </w:p>
    <w:tbl>
      <w:tblPr>
        <w:tblW w:w="2000" w:type="pct"/>
        <w:jc w:val="left"/>
        <w:tblInd w:w="0" w:type="dxa"/>
        <w:tblCellMar>
          <w:top w:w="0" w:type="dxa"/>
          <w:left w:w="0" w:type="dxa"/>
          <w:bottom w:w="0" w:type="dxa"/>
          <w:right w:w="0" w:type="dxa"/>
        </w:tblCellMar>
      </w:tblPr>
      <w:tblGrid>
        <w:gridCol w:w="365"/>
        <w:gridCol w:w="60"/>
        <w:gridCol w:w="3657"/>
      </w:tblGrid>
      <w:tr>
        <w:trPr/>
        <w:tc>
          <w:tcPr>
            <w:tcW w:w="3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7"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65" w:type="dxa"/>
            <w:tcBorders/>
            <w:shd w:fill="auto" w:val="clear"/>
            <w:vAlign w:val="center"/>
          </w:tcPr>
          <w:p>
            <w:pPr>
              <w:pStyle w:val="TableContents"/>
              <w:spacing w:before="0" w:after="283"/>
              <w:rPr>
                <w:sz w:val="4"/>
                <w:szCs w:val="4"/>
              </w:rPr>
            </w:pPr>
            <w:r>
              <w:rPr>
                <w:sz w:val="4"/>
                <w:szCs w:val="4"/>
              </w:rPr>
            </w:r>
          </w:p>
        </w:tc>
        <w:tc>
          <w:tcPr>
            <w:tcW w:w="3717" w:type="dxa"/>
            <w:gridSpan w:val="2"/>
            <w:tcBorders/>
            <w:shd w:fill="auto" w:val="clear"/>
            <w:vAlign w:val="center"/>
          </w:tcPr>
          <w:p>
            <w:pPr>
              <w:pStyle w:val="TableContents"/>
              <w:spacing w:before="0" w:after="283"/>
              <w:rPr>
                <w:sz w:val="4"/>
                <w:szCs w:val="4"/>
              </w:rPr>
            </w:pPr>
            <w:r>
              <w:rPr>
                <w:sz w:val="4"/>
                <w:szCs w:val="4"/>
              </w:rPr>
            </w:r>
          </w:p>
        </w:tc>
      </w:tr>
      <w:tr>
        <w:trPr/>
        <w:tc>
          <w:tcPr>
            <w:tcW w:w="365"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57" w:type="dxa"/>
            <w:tcBorders>
              <w:bottom w:val="single" w:sz="2" w:space="0" w:color="000000"/>
            </w:tcBorders>
            <w:shd w:fill="auto" w:val="clear"/>
            <w:tcMar>
              <w:bottom w:w="28" w:type="dxa"/>
            </w:tcMar>
          </w:tcPr>
          <w:p>
            <w:pPr>
              <w:pStyle w:val="TableContents"/>
              <w:spacing w:before="0" w:after="283"/>
              <w:rPr/>
            </w:pPr>
            <w:r>
              <w:rPr/>
              <w:t>/s/ Geoffrey Stuart Davis</w:t>
            </w:r>
          </w:p>
        </w:tc>
      </w:tr>
      <w:tr>
        <w:trPr/>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7" w:type="dxa"/>
            <w:tcBorders/>
            <w:shd w:fill="auto" w:val="clear"/>
            <w:vAlign w:val="bottom"/>
          </w:tcPr>
          <w:p>
            <w:pPr>
              <w:pStyle w:val="TableContents"/>
              <w:spacing w:before="0" w:after="283"/>
              <w:rPr/>
            </w:pPr>
            <w:r>
              <w:rPr/>
              <w:t>Name: Geoffrey Stuart Davis</w:t>
            </w:r>
          </w:p>
        </w:tc>
      </w:tr>
      <w:tr>
        <w:trPr/>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7" w:type="dxa"/>
            <w:tcBorders/>
            <w:shd w:fill="auto" w:val="clear"/>
            <w:vAlign w:val="bottom"/>
          </w:tcPr>
          <w:p>
            <w:pPr>
              <w:pStyle w:val="TableContents"/>
              <w:spacing w:before="0" w:after="283"/>
              <w:rPr/>
            </w:pPr>
            <w:r>
              <w:rPr/>
              <w:t>Title: Chief Financial Officer</w:t>
            </w:r>
          </w:p>
        </w:tc>
      </w:tr>
    </w:tbl>
    <w:p>
      <w:pPr>
        <w:pStyle w:val="TextBody"/>
        <w:spacing w:before="0" w:after="0"/>
        <w:jc w:val="right"/>
        <w:rPr>
          <w:rFonts w:ascii="Times New Roman" w:hAnsi="Times New Roman"/>
          <w:b/>
          <w:sz w:val="20"/>
        </w:rPr>
      </w:pPr>
      <w:r>
        <w:br w:type="page"/>
      </w:r>
      <w:bookmarkStart w:id="98" w:name="d396630dex151.htm"/>
      <w:bookmarkStart w:id="99" w:name="ksd396630dex151"/>
      <w:bookmarkEnd w:id="98"/>
      <w:bookmarkEnd w:id="99"/>
      <w:r>
        <w:rPr>
          <w:rFonts w:ascii="Times New Roman" w:hAnsi="Times New Roman"/>
          <w:b/>
          <w:sz w:val="20"/>
        </w:rPr>
        <w:t xml:space="preserve">Exhibit 15.1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01"/>
        <w:gridCol w:w="304"/>
        <w:gridCol w:w="4900"/>
      </w:tblGrid>
      <w:tr>
        <w:trPr/>
        <w:tc>
          <w:tcPr>
            <w:tcW w:w="500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auto" w:val="clear"/>
          </w:tcPr>
          <w:p>
            <w:pPr>
              <w:pStyle w:val="TableContents"/>
              <w:spacing w:before="0" w:after="0"/>
              <w:rPr>
                <w:rFonts w:ascii="Times New Roman" w:hAnsi="Times New Roman"/>
                <w:sz w:val="20"/>
              </w:rPr>
            </w:pPr>
            <w:r>
              <w:rPr>
                <w:rFonts w:ascii="Times New Roman" w:hAnsi="Times New Roman"/>
                <w:sz w:val="20"/>
              </w:rPr>
              <w:t>31 March 2023</w:t>
            </w:r>
          </w:p>
        </w:tc>
        <w:tc>
          <w:tcPr>
            <w:tcW w:w="304"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right"/>
              <w:rPr/>
            </w:pPr>
            <w:r>
              <w:rPr/>
              <w:t>Our Ref: JT/WL/M6207-S10414</w:t>
            </w:r>
          </w:p>
        </w:tc>
      </w:tr>
      <w:tr>
        <w:trPr/>
        <w:tc>
          <w:tcPr>
            <w:tcW w:w="10205" w:type="dxa"/>
            <w:gridSpan w:val="3"/>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Board of Directors</w:t>
            </w:r>
          </w:p>
          <w:p>
            <w:pPr>
              <w:pStyle w:val="TableContents"/>
              <w:spacing w:before="0" w:after="0"/>
              <w:rPr>
                <w:rFonts w:ascii="Times New Roman" w:hAnsi="Times New Roman"/>
                <w:sz w:val="20"/>
              </w:rPr>
            </w:pPr>
            <w:r>
              <w:rPr>
                <w:rFonts w:ascii="Times New Roman" w:hAnsi="Times New Roman"/>
                <w:sz w:val="20"/>
              </w:rPr>
              <w:t>Melco Resorts &amp; Entertainment Limited</w:t>
            </w:r>
          </w:p>
          <w:p>
            <w:pPr>
              <w:pStyle w:val="TableContents"/>
              <w:spacing w:before="0" w:after="0"/>
              <w:rPr>
                <w:rFonts w:ascii="Times New Roman" w:hAnsi="Times New Roman"/>
                <w:sz w:val="20"/>
              </w:rPr>
            </w:pPr>
            <w:r>
              <w:rPr>
                <w:rFonts w:ascii="Times New Roman" w:hAnsi="Times New Roman"/>
                <w:sz w:val="20"/>
              </w:rPr>
              <w:t>c/o Intertrust Corporate Services (Cayman) Limited</w:t>
            </w:r>
          </w:p>
          <w:p>
            <w:pPr>
              <w:pStyle w:val="TableContents"/>
              <w:spacing w:before="0" w:after="0"/>
              <w:rPr>
                <w:rFonts w:ascii="Times New Roman" w:hAnsi="Times New Roman"/>
                <w:sz w:val="20"/>
              </w:rPr>
            </w:pPr>
            <w:r>
              <w:rPr>
                <w:rFonts w:ascii="Times New Roman" w:hAnsi="Times New Roman"/>
                <w:sz w:val="20"/>
              </w:rPr>
              <w:t>One Nexus Way</w:t>
            </w:r>
          </w:p>
          <w:p>
            <w:pPr>
              <w:pStyle w:val="TableContents"/>
              <w:spacing w:before="0" w:after="0"/>
              <w:rPr>
                <w:rFonts w:ascii="Times New Roman" w:hAnsi="Times New Roman"/>
                <w:sz w:val="20"/>
              </w:rPr>
            </w:pPr>
            <w:r>
              <w:rPr>
                <w:rFonts w:ascii="Times New Roman" w:hAnsi="Times New Roman"/>
                <w:sz w:val="20"/>
              </w:rPr>
              <w:t>Camana Bay</w:t>
            </w:r>
          </w:p>
          <w:p>
            <w:pPr>
              <w:pStyle w:val="TableContents"/>
              <w:spacing w:before="0" w:after="0"/>
              <w:rPr>
                <w:rFonts w:ascii="Times New Roman" w:hAnsi="Times New Roman"/>
                <w:sz w:val="20"/>
              </w:rPr>
            </w:pPr>
            <w:r>
              <w:rPr>
                <w:rFonts w:ascii="Times New Roman" w:hAnsi="Times New Roman"/>
                <w:sz w:val="20"/>
              </w:rPr>
              <w:t>Grand Cayman KY1-9005</w:t>
            </w:r>
          </w:p>
          <w:p>
            <w:pPr>
              <w:pStyle w:val="TableContents"/>
              <w:spacing w:before="0" w:after="0"/>
              <w:rPr>
                <w:rFonts w:ascii="Times New Roman" w:hAnsi="Times New Roman"/>
                <w:sz w:val="20"/>
              </w:rPr>
            </w:pPr>
            <w:r>
              <w:rPr>
                <w:rFonts w:ascii="Times New Roman" w:hAnsi="Times New Roman"/>
                <w:sz w:val="20"/>
              </w:rPr>
              <w:t>Cayman Islands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Dear Sirs</w:t>
            </w:r>
          </w:p>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FORM 20-F</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We consent to the reference to our firm under the heading Board Practices, the heading Documents on Display and the heading Corporate Governance in the Annual Report on Form 20-F of Melco Resorts &amp; Entertainment Limited for the year ended 31 December 2022, which will be filed with the U.S. Securities and Exchange Commission (the Commission) on 31 March 2023 under the U.S. Securities Exchange Act of 1934, as amended (the Exchange Act). In giving such consent, we do not thereby admit that we come within the category of persons whose consent is required under the Exchange Act, or the Rules and Regulations of the Commission thereunder.</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Yours faithfully</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/s/ WALKERS</w:t>
            </w:r>
          </w:p>
          <w:p>
            <w:pPr>
              <w:pStyle w:val="TableContents"/>
              <w:spacing w:before="0" w:after="20"/>
              <w:rPr>
                <w:rFonts w:ascii="Times New Roman" w:hAnsi="Times New Roman"/>
                <w:b/>
                <w:sz w:val="20"/>
              </w:rPr>
            </w:pPr>
            <w:r>
              <w:rPr>
                <w:rFonts w:ascii="Times New Roman" w:hAnsi="Times New Roman"/>
                <w:b/>
                <w:sz w:val="20"/>
              </w:rPr>
              <w:t>WALKERS (HONG KONG)</w:t>
            </w:r>
          </w:p>
        </w:tc>
      </w:tr>
    </w:tbl>
    <w:p>
      <w:pPr>
        <w:pStyle w:val="TextBody"/>
        <w:spacing w:before="0" w:after="0"/>
        <w:jc w:val="right"/>
        <w:rPr>
          <w:rFonts w:ascii="Times New Roman" w:hAnsi="Times New Roman"/>
          <w:b/>
          <w:sz w:val="20"/>
        </w:rPr>
      </w:pPr>
      <w:r>
        <w:br w:type="page"/>
      </w:r>
      <w:bookmarkStart w:id="100" w:name="d396630dex152.htm"/>
      <w:bookmarkStart w:id="101" w:name="ksd396630dex152"/>
      <w:bookmarkEnd w:id="100"/>
      <w:bookmarkEnd w:id="101"/>
      <w:r>
        <w:rPr>
          <w:rFonts w:ascii="Times New Roman" w:hAnsi="Times New Roman"/>
          <w:b/>
          <w:sz w:val="20"/>
        </w:rPr>
        <w:t xml:space="preserve">Exhibit 15.2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the following Registration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(Form F-3 No. 333-255390) of Melco Resorts &amp; Entertainment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(Form S-8 No. 333-185477) pertaining to the 2011 Share Incentive Plan of Melco Resorts &amp; Entertainment Limited,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(Form S-8 No. 333-261554) pertaining to the 2021 Share Incentive Plan of Melco Resorts &amp; Entertainment Limited; </w:t>
            </w:r>
          </w:p>
        </w:tc>
      </w:tr>
    </w:tbl>
    <w:p>
      <w:pPr>
        <w:pStyle w:val="TextBody"/>
        <w:spacing w:before="240" w:after="0"/>
        <w:jc w:val="left"/>
        <w:rPr>
          <w:rFonts w:ascii="Times New Roman" w:hAnsi="Times New Roman"/>
          <w:sz w:val="20"/>
        </w:rPr>
      </w:pPr>
      <w:r>
        <w:rPr>
          <w:rFonts w:ascii="Times New Roman" w:hAnsi="Times New Roman"/>
          <w:sz w:val="20"/>
        </w:rPr>
        <w:t xml:space="preserve">of our report dated March 31, 2022, with respect to the consolidated financial statements of Melco Resorts &amp; Entertainment Limited as of December 31, 2021 and for the years ended December 31, 2021 and 2020, included in this Annual Report (Form 20-F) of Melco Resorts &amp; Entertainment Limited for the year ended December 31, 2022.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Ernst &amp; Young</w:t>
            </w:r>
          </w:p>
        </w:tc>
      </w:tr>
      <w:tr>
        <w:trPr/>
        <w:tc>
          <w:tcPr>
            <w:tcW w:w="4082" w:type="dxa"/>
            <w:tcBorders/>
            <w:shd w:fill="auto" w:val="clear"/>
          </w:tcPr>
          <w:p>
            <w:pPr>
              <w:pStyle w:val="TableContents"/>
              <w:spacing w:before="0" w:after="283"/>
              <w:rPr/>
            </w:pPr>
            <w:r>
              <w:rPr/>
              <w:t>Hong Kong, The Peoples Republic of China</w:t>
            </w:r>
          </w:p>
        </w:tc>
      </w:tr>
      <w:tr>
        <w:trPr/>
        <w:tc>
          <w:tcPr>
            <w:tcW w:w="4082" w:type="dxa"/>
            <w:tcBorders/>
            <w:shd w:fill="auto" w:val="clear"/>
          </w:tcPr>
          <w:p>
            <w:pPr>
              <w:pStyle w:val="TableContents"/>
              <w:spacing w:before="0" w:after="283"/>
              <w:rPr/>
            </w:pPr>
            <w:r>
              <w:rPr/>
              <w:t>March 31, 2023</w:t>
            </w:r>
          </w:p>
        </w:tc>
      </w:tr>
    </w:tbl>
    <w:p>
      <w:pPr>
        <w:pStyle w:val="TextBody"/>
        <w:spacing w:before="0" w:after="0"/>
        <w:jc w:val="right"/>
        <w:rPr>
          <w:rFonts w:ascii="Times New Roman" w:hAnsi="Times New Roman"/>
          <w:b/>
          <w:sz w:val="20"/>
        </w:rPr>
      </w:pPr>
      <w:r>
        <w:br w:type="page"/>
      </w:r>
      <w:bookmarkStart w:id="102" w:name="d396630dex153.htm"/>
      <w:bookmarkStart w:id="103" w:name="ksd396630dex153"/>
      <w:bookmarkEnd w:id="102"/>
      <w:bookmarkEnd w:id="103"/>
      <w:r>
        <w:rPr>
          <w:rFonts w:ascii="Times New Roman" w:hAnsi="Times New Roman"/>
          <w:b/>
          <w:sz w:val="20"/>
        </w:rPr>
        <w:t xml:space="preserve">Exhibit 15.3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the following Registration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(Form F-3 No. 333-255390) of Melco Resorts &amp; Entertainment Limited,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(Form S-8 No. 333-185477) pertaining to the 2011 Share Incentive Plan of Melco Resorts &amp; Entertainment Limited,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Registration Statement (Form S-8 No. 333-261554) pertaining to the 2021 Share Incentive Plan of Melco Resorts &amp; Entertainment Limited; </w:t>
            </w:r>
          </w:p>
        </w:tc>
      </w:tr>
    </w:tbl>
    <w:p>
      <w:pPr>
        <w:pStyle w:val="TextBody"/>
        <w:spacing w:before="240" w:after="0"/>
        <w:jc w:val="left"/>
        <w:rPr>
          <w:rFonts w:ascii="Times New Roman" w:hAnsi="Times New Roman"/>
          <w:sz w:val="20"/>
        </w:rPr>
      </w:pPr>
      <w:r>
        <w:rPr>
          <w:rFonts w:ascii="Times New Roman" w:hAnsi="Times New Roman"/>
          <w:sz w:val="20"/>
        </w:rPr>
        <w:t xml:space="preserve">of our reports dated March 31, 2023, with respect to the consolidated financial statements of Melco Resorts &amp; Entertainment Limited and the effectiveness of internal control over financial reporting of Melco Resorts &amp; Entertainment Limited included in this Annual Report (Form 20-F) of Melco Resorts &amp; Entertainment Limited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0" w:after="0"/>
        <w:jc w:val="left"/>
        <w:rPr>
          <w:rFonts w:ascii="Times New Roman" w:hAnsi="Times New Roman"/>
          <w:sz w:val="20"/>
        </w:rPr>
      </w:pPr>
      <w:r>
        <w:rPr>
          <w:rFonts w:ascii="Times New Roman" w:hAnsi="Times New Roman"/>
          <w:sz w:val="20"/>
        </w:rPr>
        <w:t xml:space="preserve">Singapore </w:t>
      </w:r>
    </w:p>
    <w:p>
      <w:pPr>
        <w:pStyle w:val="TextBody"/>
        <w:spacing w:before="0" w:after="0"/>
        <w:jc w:val="left"/>
        <w:rPr>
          <w:rFonts w:ascii="Times New Roman" w:hAnsi="Times New Roman"/>
          <w:sz w:val="20"/>
        </w:rPr>
      </w:pPr>
      <w:r>
        <w:rPr>
          <w:rFonts w:ascii="Times New Roman" w:hAnsi="Times New Roman"/>
          <w:sz w:val="20"/>
        </w:rPr>
        <w:t xml:space="preserve">March 31, 2023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81640/000119312517119393/d259833dex11.htm" TargetMode="External"/><Relationship Id="rId4" Type="http://schemas.openxmlformats.org/officeDocument/2006/relationships/hyperlink" Target="http://www.sec.gov/Archives/edgar/data/1381640/000095012711000296/a11-132_ex4.htm" TargetMode="External"/><Relationship Id="rId5" Type="http://schemas.openxmlformats.org/officeDocument/2006/relationships/hyperlink" Target="http://www.sec.gov/Archives/edgar/data/1381640/000119312506245453/dex42.htm" TargetMode="External"/><Relationship Id="rId6" Type="http://schemas.openxmlformats.org/officeDocument/2006/relationships/hyperlink" Target="http://www.sec.gov/Archives/edgar/data/1381640/000095012711000296/a11-132_ex4.htm" TargetMode="External"/><Relationship Id="rId7" Type="http://schemas.openxmlformats.org/officeDocument/2006/relationships/hyperlink" Target="http://www.sec.gov/Archives/edgar/data/1381640/000119312507220974/dex411.htm" TargetMode="External"/><Relationship Id="rId8" Type="http://schemas.openxmlformats.org/officeDocument/2006/relationships/hyperlink" Target="http://www.sec.gov/Archives/edgar/data/1381640/000119312506250469/dex410.htm" TargetMode="External"/><Relationship Id="rId9" Type="http://schemas.openxmlformats.org/officeDocument/2006/relationships/hyperlink" Target="http://www.sec.gov/Archives/edgar/data/1381640/000119312517119393/d259833dex219.htm" TargetMode="External"/><Relationship Id="rId10" Type="http://schemas.openxmlformats.org/officeDocument/2006/relationships/hyperlink" Target="http://www.sec.gov/Archives/edgar/data/1381640/000119312518115018/d403262dex224.htm" TargetMode="External"/><Relationship Id="rId11" Type="http://schemas.openxmlformats.org/officeDocument/2006/relationships/hyperlink" Target="http://www.sec.gov/Archives/edgar/data/1381640/000119312513159811/d480016dex216.htm" TargetMode="External"/><Relationship Id="rId12" Type="http://schemas.openxmlformats.org/officeDocument/2006/relationships/hyperlink" Target="http://www.sec.gov/Archives/edgar/data/1381640/000119312513159811/d480016dex218.htm" TargetMode="External"/><Relationship Id="rId13" Type="http://schemas.openxmlformats.org/officeDocument/2006/relationships/hyperlink" Target="http://www.sec.gov/Archives/edgar/data/1381640/000119312518115018/d403262dex225.htm" TargetMode="External"/><Relationship Id="rId14" Type="http://schemas.openxmlformats.org/officeDocument/2006/relationships/hyperlink" Target="http://www.sec.gov/Archives/edgar/data/1381640/000119312520091982/d837105dex228.htm" TargetMode="External"/><Relationship Id="rId15" Type="http://schemas.openxmlformats.org/officeDocument/2006/relationships/hyperlink" Target="http://www.sec.gov/Archives/edgar/data/1381640/000119312520091982/d837105dex229.htm" TargetMode="External"/><Relationship Id="rId16" Type="http://schemas.openxmlformats.org/officeDocument/2006/relationships/hyperlink" Target="http://www.sec.gov/Archives/edgar/data/1381640/000119312520091982/d837105dex230.htm" TargetMode="External"/><Relationship Id="rId17" Type="http://schemas.openxmlformats.org/officeDocument/2006/relationships/hyperlink" Target="http://www.sec.gov/Archives/edgar/data/0001381640/000119312521101281/d51718dex232.htm" TargetMode="External"/><Relationship Id="rId18" Type="http://schemas.openxmlformats.org/officeDocument/2006/relationships/hyperlink" Target="http://www.sec.gov/Archives/edgar/data/0001381640/000119312521101281/d51718dex233.htm" TargetMode="External"/><Relationship Id="rId19" Type="http://schemas.openxmlformats.org/officeDocument/2006/relationships/hyperlink" Target="http://www.sec.gov/Archives/edgar/data/0001381640/000119312521101281/d51718dex234.htm" TargetMode="External"/><Relationship Id="rId20" Type="http://schemas.openxmlformats.org/officeDocument/2006/relationships/hyperlink" Target="http://www.sec.gov/Archives/edgar/data/0001381640/000119312521101281/d51718dex235.htm" TargetMode="External"/><Relationship Id="rId21" Type="http://schemas.openxmlformats.org/officeDocument/2006/relationships/hyperlink" Target="http://www.sec.gov/Archives/edgar/data/0001381640/000119312521101281/d51718dex236.htm" TargetMode="External"/><Relationship Id="rId22" Type="http://schemas.openxmlformats.org/officeDocument/2006/relationships/hyperlink" Target="http://www.sec.gov/Archives/edgar/data/0001381640/000119312521101281/d51718dex237.htm" TargetMode="External"/><Relationship Id="rId23" Type="http://schemas.openxmlformats.org/officeDocument/2006/relationships/hyperlink" Target="http://www.sec.gov/Archives/edgar/data/1381640/000119312522090588/d202624dex224.htm" TargetMode="External"/><Relationship Id="rId24" Type="http://schemas.openxmlformats.org/officeDocument/2006/relationships/hyperlink" Target="http://www.sec.gov/Archives/edgar/data/1381640/000119312522090588/d202624dex225.htm" TargetMode="External"/><Relationship Id="rId25" Type="http://schemas.openxmlformats.org/officeDocument/2006/relationships/hyperlink" Target="http://www.sec.gov/Archives/edgar/data/1381640/000119312522090588/d202624dex226.htm" TargetMode="External"/><Relationship Id="rId26" Type="http://schemas.openxmlformats.org/officeDocument/2006/relationships/hyperlink" Target="http://www.sec.gov/Archives/edgar/data/1381640/000119312506250469/dex101.htm" TargetMode="External"/><Relationship Id="rId27" Type="http://schemas.openxmlformats.org/officeDocument/2006/relationships/hyperlink" Target="http://www.sec.gov/Archives/edgar/data/1381640/000119312506250469/dex102.htm" TargetMode="External"/><Relationship Id="rId28" Type="http://schemas.openxmlformats.org/officeDocument/2006/relationships/hyperlink" Target="http://www.sec.gov/Archives/edgar/data/1381640/000119312506245453/dex1013.htm" TargetMode="External"/><Relationship Id="rId29" Type="http://schemas.openxmlformats.org/officeDocument/2006/relationships/hyperlink" Target="http://www.sec.gov/Archives/edgar/data/1381640/000095012311031782/c13917exv4w30.htm" TargetMode="External"/><Relationship Id="rId30" Type="http://schemas.openxmlformats.org/officeDocument/2006/relationships/hyperlink" Target="http://www.sec.gov/Archives/edgar/data/1381640/000119312513159811/d480016dex436.htm" TargetMode="External"/><Relationship Id="rId31" Type="http://schemas.openxmlformats.org/officeDocument/2006/relationships/hyperlink" Target="http://www.sec.gov/Archives/edgar/data/1381640/000119312513159811/d480016dex437.htm" TargetMode="External"/><Relationship Id="rId32" Type="http://schemas.openxmlformats.org/officeDocument/2006/relationships/hyperlink" Target="http://www.sec.gov/Archives/edgar/data/1381640/000119312513159811/d480016dex438.htm" TargetMode="External"/><Relationship Id="rId33" Type="http://schemas.openxmlformats.org/officeDocument/2006/relationships/hyperlink" Target="http://www.sec.gov/Archives/edgar/data/1381640/000119312513159811/d480016dex442.htm" TargetMode="External"/><Relationship Id="rId34" Type="http://schemas.openxmlformats.org/officeDocument/2006/relationships/hyperlink" Target="http://www.sec.gov/Archives/edgar/data/1381640/000119312517119393/d259833dex425.htm" TargetMode="External"/><Relationship Id="rId35" Type="http://schemas.openxmlformats.org/officeDocument/2006/relationships/hyperlink" Target="http://www.sec.gov/Archives/edgar/data/1381640/000119312516537953/d215050dex445.htm" TargetMode="External"/><Relationship Id="rId36" Type="http://schemas.openxmlformats.org/officeDocument/2006/relationships/hyperlink" Target="http://www.sec.gov/Archives/edgar/data/1381640/000119312516537953/d215050dex446.htm" TargetMode="External"/><Relationship Id="rId37" Type="http://schemas.openxmlformats.org/officeDocument/2006/relationships/hyperlink" Target="http://www.sec.gov/Archives/edgar/data/1381640/000119312516537953/d215050dex447.htm" TargetMode="External"/><Relationship Id="rId38" Type="http://schemas.openxmlformats.org/officeDocument/2006/relationships/hyperlink" Target="http://www.sec.gov/Archives/edgar/data/1381640/000119312516793135/d298555dex997.htm" TargetMode="External"/><Relationship Id="rId39" Type="http://schemas.openxmlformats.org/officeDocument/2006/relationships/hyperlink" Target="http://www.sec.gov/Archives/edgar/data/1381640/000119312516793135/d298555dex9910.htm" TargetMode="External"/><Relationship Id="rId40" Type="http://schemas.openxmlformats.org/officeDocument/2006/relationships/hyperlink" Target="http://www.sec.gov/Archives/edgar/data/1381640/000119312518115018/d403262dex435.htm" TargetMode="External"/><Relationship Id="rId41" Type="http://schemas.openxmlformats.org/officeDocument/2006/relationships/hyperlink" Target="http://www.sec.gov/Archives/edgar/data/1381640/000119312518115018/d403262dex436.htm" TargetMode="External"/><Relationship Id="rId42" Type="http://schemas.openxmlformats.org/officeDocument/2006/relationships/hyperlink" Target="http://www.sec.gov/Archives/edgar/data/1381640/000119312519091845/d493392dex425.htm" TargetMode="External"/><Relationship Id="rId43" Type="http://schemas.openxmlformats.org/officeDocument/2006/relationships/hyperlink" Target="http://www.sec.gov/Archives/edgar/data/1381640/000119312520091982/d837105dex427.htm" TargetMode="External"/><Relationship Id="rId44" Type="http://schemas.openxmlformats.org/officeDocument/2006/relationships/hyperlink" Target="http://www.sec.gov/Archives/edgar/data/1381640/000119312520091982/d837105dex429.htm" TargetMode="External"/><Relationship Id="rId45" Type="http://schemas.openxmlformats.org/officeDocument/2006/relationships/hyperlink" Target="http://www.sec.gov/Archives/edgar/data/1381640/000119312520091982/d837105dex430.htm" TargetMode="External"/><Relationship Id="rId46" Type="http://schemas.openxmlformats.org/officeDocument/2006/relationships/hyperlink" Target="http://www.sec.gov/Archives/edgar/data/1381640/000119312520091982/d837105dex431.htm" TargetMode="External"/><Relationship Id="rId47" Type="http://schemas.openxmlformats.org/officeDocument/2006/relationships/hyperlink" Target="http://www.sec.gov/Archives/edgar/data/1381640/000119312520091982/d837105dex433.htm" TargetMode="External"/><Relationship Id="rId48" Type="http://schemas.openxmlformats.org/officeDocument/2006/relationships/hyperlink" Target="http://www.sec.gov/Archives/edgar/data/0001381640/000119312521101281/d51718dex435.htm" TargetMode="External"/><Relationship Id="rId49" Type="http://schemas.openxmlformats.org/officeDocument/2006/relationships/hyperlink" Target="http://www.sec.gov/Archives/edgar/data/0001381640/000119312521101281/d51718dex436.htm" TargetMode="External"/><Relationship Id="rId50" Type="http://schemas.openxmlformats.org/officeDocument/2006/relationships/hyperlink" Target="http://www.sec.gov/Archives/edgar/data/1381640/000119312521352054/d237604dex45.htm" TargetMode="External"/><Relationship Id="rId51" Type="http://schemas.openxmlformats.org/officeDocument/2006/relationships/hyperlink" Target="http://www.sec.gov/Archives/edgar/data/1381640/000119312522307814/d408504dex993.htm" TargetMode="External"/><Relationship Id="rId52" Type="http://schemas.openxmlformats.org/officeDocument/2006/relationships/hyperlink" Target="http://www.sec.gov/Archives/edgar/data/1381640/000119312516793135/d298555df3asr.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249</Pages>
  <Words>180013</Words>
  <CharactersWithSpaces>1159175</CharactersWithSpaces>
  <Paragraphs>23968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EX-15.3</dc:title>
</cp:coreProperties>
</file>